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D9620" w14:textId="77777777" w:rsidR="00EB0121" w:rsidRPr="00E30DA3" w:rsidRDefault="00EB0121" w:rsidP="00EB0121">
      <w:pPr>
        <w:pStyle w:val="Covertitle"/>
        <w:spacing w:after="480"/>
        <w:rPr>
          <w:sz w:val="80"/>
          <w:szCs w:val="80"/>
        </w:rPr>
      </w:pPr>
      <w:bookmarkStart w:id="0" w:name="_GoBack"/>
      <w:bookmarkEnd w:id="0"/>
      <w:r>
        <w:t>Corporate Plan 2022–23</w:t>
      </w:r>
    </w:p>
    <w:p w14:paraId="12A50DE3" w14:textId="77777777" w:rsidR="00EB0121" w:rsidRPr="004359DF" w:rsidRDefault="00EB0121" w:rsidP="00EB0121">
      <w:pPr>
        <w:pBdr>
          <w:left w:val="single" w:sz="48" w:space="4" w:color="9DC44D" w:themeColor="accent6"/>
        </w:pBdr>
        <w:spacing w:before="0"/>
        <w:ind w:left="284"/>
        <w:rPr>
          <w:color w:val="FFFFFF" w:themeColor="background1"/>
          <w:sz w:val="40"/>
          <w:szCs w:val="40"/>
        </w:rPr>
        <w:sectPr w:rsidR="00EB0121" w:rsidRPr="004359DF" w:rsidSect="00EB0121">
          <w:headerReference w:type="default" r:id="rId8"/>
          <w:footerReference w:type="default" r:id="rId9"/>
          <w:headerReference w:type="first" r:id="rId10"/>
          <w:footerReference w:type="first" r:id="rId11"/>
          <w:type w:val="continuous"/>
          <w:pgSz w:w="11906" w:h="16838" w:code="9"/>
          <w:pgMar w:top="1440" w:right="1440" w:bottom="1440" w:left="1440" w:header="284" w:footer="397" w:gutter="0"/>
          <w:cols w:space="340"/>
          <w:titlePg/>
          <w:docGrid w:linePitch="360"/>
        </w:sectPr>
      </w:pPr>
      <w:r>
        <w:rPr>
          <w:color w:val="FFFFFF" w:themeColor="background1"/>
          <w:sz w:val="40"/>
          <w:szCs w:val="40"/>
        </w:rPr>
        <w:t>T</w:t>
      </w:r>
      <w:r w:rsidRPr="00B97FEC">
        <w:rPr>
          <w:color w:val="FFFFFF" w:themeColor="background1"/>
          <w:sz w:val="40"/>
          <w:szCs w:val="40"/>
        </w:rPr>
        <w:t>he NDIS Quality and Safeguards Commission is an independent agency established to improve the quality and safety of NDIS supports and services.</w:t>
      </w:r>
    </w:p>
    <w:p w14:paraId="61128326" w14:textId="77777777" w:rsidR="00297DD0" w:rsidRDefault="00297DD0" w:rsidP="00297DD0">
      <w:pPr>
        <w:suppressAutoHyphens w:val="0"/>
        <w:spacing w:before="120" w:after="120" w:line="240" w:lineRule="auto"/>
      </w:pPr>
      <w:r>
        <w:lastRenderedPageBreak/>
        <w:t>This document, the NDIS Quality and Safeguards Commission 2022–23 Corporate Plan, is licensed under the Creative Commons Attribution 4.0 International Licence.</w:t>
      </w:r>
    </w:p>
    <w:p w14:paraId="1E3E36CD" w14:textId="5C399F07" w:rsidR="00297DD0" w:rsidRDefault="00297DD0" w:rsidP="00297DD0">
      <w:pPr>
        <w:suppressAutoHyphens w:val="0"/>
        <w:spacing w:before="120" w:after="120" w:line="240" w:lineRule="auto"/>
      </w:pPr>
      <w:r>
        <w:t xml:space="preserve">Licence URL: </w:t>
      </w:r>
      <w:hyperlink r:id="rId12" w:tooltip="Creative Commons Attribution 4.0 International Licence" w:history="1">
        <w:r w:rsidRPr="00686753">
          <w:rPr>
            <w:rStyle w:val="Hyperlink"/>
          </w:rPr>
          <w:t>creativecommons.org/licenses/by/4.0/legalcode</w:t>
        </w:r>
      </w:hyperlink>
    </w:p>
    <w:p w14:paraId="53C922D3" w14:textId="77777777" w:rsidR="00297DD0" w:rsidRDefault="00297DD0" w:rsidP="00297DD0">
      <w:pPr>
        <w:suppressAutoHyphens w:val="0"/>
        <w:spacing w:before="120" w:after="120" w:line="240" w:lineRule="auto"/>
      </w:pPr>
      <w:r>
        <w:t>Please attribute: © Commonwealth of Australia (National Disability Insurance Scheme Quality and Safeguards Commission) 2022.</w:t>
      </w:r>
    </w:p>
    <w:p w14:paraId="6649D603" w14:textId="77777777" w:rsidR="00297DD0" w:rsidRDefault="00297DD0" w:rsidP="00297DD0">
      <w:pPr>
        <w:suppressAutoHyphens w:val="0"/>
        <w:spacing w:before="120" w:after="120" w:line="240" w:lineRule="auto"/>
      </w:pPr>
      <w:r>
        <w:t>ISSN 2652-2608 (Online)</w:t>
      </w:r>
    </w:p>
    <w:p w14:paraId="39A4175E" w14:textId="77777777" w:rsidR="00297DD0" w:rsidRPr="00175690" w:rsidRDefault="00297DD0" w:rsidP="00297DD0">
      <w:pPr>
        <w:pStyle w:val="H2-16pts"/>
        <w:rPr>
          <w:sz w:val="24"/>
          <w:szCs w:val="24"/>
        </w:rPr>
      </w:pPr>
      <w:bookmarkStart w:id="1" w:name="_Toc112642076"/>
      <w:r w:rsidRPr="00175690">
        <w:rPr>
          <w:sz w:val="24"/>
          <w:szCs w:val="24"/>
        </w:rPr>
        <w:t>Notice:</w:t>
      </w:r>
      <w:bookmarkEnd w:id="1"/>
    </w:p>
    <w:p w14:paraId="672148AA" w14:textId="77777777" w:rsidR="00297DD0" w:rsidRDefault="00297DD0" w:rsidP="00297DD0">
      <w:pPr>
        <w:pStyle w:val="List1Numbered1"/>
      </w:pPr>
      <w:r>
        <w:t>If you create a derivative of this document, the NDIS Quality and Safeguards Commission requests the following notice be placed on your derivative: Based on Commonwealth of Australia</w:t>
      </w:r>
    </w:p>
    <w:p w14:paraId="02ED8198" w14:textId="77777777" w:rsidR="00297DD0" w:rsidRDefault="00297DD0" w:rsidP="00297DD0">
      <w:pPr>
        <w:suppressAutoHyphens w:val="0"/>
        <w:spacing w:before="120" w:after="120" w:line="240" w:lineRule="auto"/>
      </w:pPr>
      <w:r>
        <w:t>(NDIS Quality and Safeguards Commission) data.</w:t>
      </w:r>
    </w:p>
    <w:p w14:paraId="6C9163E8" w14:textId="11B5754C" w:rsidR="00297DD0" w:rsidRDefault="00297DD0" w:rsidP="00297DD0">
      <w:pPr>
        <w:suppressAutoHyphens w:val="0"/>
        <w:spacing w:before="120" w:after="120" w:line="240" w:lineRule="auto"/>
      </w:pPr>
      <w:r>
        <w:t xml:space="preserve">Inquiries regarding this licence or any other use of this document are welcome. Please contact: Director – Education, Engagement and Communications, NDIS Quality and Safeguards Commission. Email: </w:t>
      </w:r>
      <w:hyperlink r:id="rId13" w:tooltip="Communications team email" w:history="1">
        <w:r w:rsidR="00686753">
          <w:rPr>
            <w:rStyle w:val="Hyperlink"/>
          </w:rPr>
          <w:t>communications@ndiscommission.gov.au</w:t>
        </w:r>
      </w:hyperlink>
    </w:p>
    <w:p w14:paraId="20B2A443" w14:textId="77777777" w:rsidR="00297DD0" w:rsidRDefault="00297DD0" w:rsidP="00297DD0">
      <w:pPr>
        <w:suppressAutoHyphens w:val="0"/>
        <w:spacing w:before="120" w:after="120" w:line="240" w:lineRule="auto"/>
      </w:pPr>
      <w:r>
        <w:t>Notice identifying other material or rights in this publication:</w:t>
      </w:r>
    </w:p>
    <w:p w14:paraId="005454D1" w14:textId="4EB7378F" w:rsidR="00297DD0" w:rsidRDefault="00297DD0" w:rsidP="00297DD0">
      <w:pPr>
        <w:pStyle w:val="List1Numbered1"/>
      </w:pPr>
      <w:r>
        <w:t xml:space="preserve">Australian Commonwealth Coat of Arms — not licensed under Creative Commons, see </w:t>
      </w:r>
      <w:hyperlink r:id="rId14" w:tooltip="Australian Government Coat of Arms" w:history="1">
        <w:r w:rsidRPr="00686753">
          <w:rPr>
            <w:rStyle w:val="Hyperlink"/>
          </w:rPr>
          <w:t>www.pmc.gov.au/government/commonwealth-coat-arms</w:t>
        </w:r>
      </w:hyperlink>
    </w:p>
    <w:p w14:paraId="3E468B6D" w14:textId="77777777" w:rsidR="00297DD0" w:rsidRDefault="00297DD0" w:rsidP="00297DD0">
      <w:pPr>
        <w:pStyle w:val="List1Numbered1"/>
      </w:pPr>
      <w:r>
        <w:t>Certain images and photographs (as marked) — not licensed under Creative Commons.</w:t>
      </w:r>
    </w:p>
    <w:p w14:paraId="335FA29A" w14:textId="77777777" w:rsidR="00297DD0" w:rsidRDefault="00297DD0" w:rsidP="00297DD0">
      <w:pPr>
        <w:suppressAutoHyphens w:val="0"/>
        <w:spacing w:before="120" w:after="120" w:line="240" w:lineRule="auto"/>
      </w:pPr>
      <w:r>
        <w:t>If you are deaf or have a hearing or speech impairment, you can use the National Relay Service to ask for the NDIS Quality and Safeguards Commission on 1800 035 544.</w:t>
      </w:r>
    </w:p>
    <w:p w14:paraId="76EDB32D" w14:textId="77777777" w:rsidR="00297DD0" w:rsidRDefault="00297DD0" w:rsidP="00297DD0">
      <w:pPr>
        <w:suppressAutoHyphens w:val="0"/>
        <w:spacing w:before="120" w:after="120" w:line="240" w:lineRule="auto"/>
      </w:pPr>
      <w:r>
        <w:t>TTY users — phone 133 677 and ask for 1800 035 544.</w:t>
      </w:r>
    </w:p>
    <w:p w14:paraId="17FFBF42" w14:textId="474ADE76" w:rsidR="00297DD0" w:rsidRDefault="00297DD0" w:rsidP="00297DD0">
      <w:pPr>
        <w:suppressAutoHyphens w:val="0"/>
        <w:spacing w:before="120" w:after="120" w:line="240" w:lineRule="auto"/>
      </w:pPr>
      <w:r>
        <w:t xml:space="preserve">Speak and Listen users — phone 1300 555 727 and ask for 1800 035 544. Internet relay users — visit the National Relay Service website at </w:t>
      </w:r>
      <w:hyperlink r:id="rId15" w:tooltip="National Relay Service" w:history="1">
        <w:r w:rsidRPr="00686753">
          <w:rPr>
            <w:rStyle w:val="Hyperlink"/>
          </w:rPr>
          <w:t>https://internet-relay.nrscall.gov.au/</w:t>
        </w:r>
      </w:hyperlink>
    </w:p>
    <w:p w14:paraId="49590ED5" w14:textId="77777777" w:rsidR="00297DD0" w:rsidRDefault="00297DD0" w:rsidP="00297DD0">
      <w:pPr>
        <w:suppressAutoHyphens w:val="0"/>
        <w:spacing w:before="120" w:after="120" w:line="240" w:lineRule="auto"/>
      </w:pPr>
      <w:r>
        <w:t>WARNING: Aboriginal and Torres Strait Islander readers are warned this document may contain images of deceased persons.</w:t>
      </w:r>
    </w:p>
    <w:p w14:paraId="789AE2A2" w14:textId="77777777" w:rsidR="00297DD0" w:rsidRDefault="00297DD0" w:rsidP="00297DD0">
      <w:pPr>
        <w:suppressAutoHyphens w:val="0"/>
        <w:spacing w:before="120" w:after="120" w:line="240" w:lineRule="auto"/>
      </w:pPr>
      <w:r>
        <w:t>Connect with the NDIS Quality and Safeguards Commission via social media:</w:t>
      </w:r>
    </w:p>
    <w:p w14:paraId="68F55836" w14:textId="6C0ED73A" w:rsidR="00297DD0" w:rsidRDefault="008A012F" w:rsidP="00297DD0">
      <w:pPr>
        <w:suppressAutoHyphens w:val="0"/>
        <w:spacing w:before="120" w:after="120" w:line="240" w:lineRule="auto"/>
      </w:pPr>
      <w:hyperlink r:id="rId16" w:tooltip="NDIS Commission on LinkedIn" w:history="1">
        <w:r w:rsidR="00297DD0" w:rsidRPr="00686753">
          <w:rPr>
            <w:rStyle w:val="Hyperlink"/>
          </w:rPr>
          <w:t>www.linkedin.com/company/ndiscommission</w:t>
        </w:r>
      </w:hyperlink>
      <w:r w:rsidR="00297DD0">
        <w:t xml:space="preserve"> </w:t>
      </w:r>
    </w:p>
    <w:p w14:paraId="2745F718" w14:textId="4BAE952A" w:rsidR="00297DD0" w:rsidRDefault="008A012F" w:rsidP="00297DD0">
      <w:pPr>
        <w:suppressAutoHyphens w:val="0"/>
        <w:spacing w:before="120" w:after="120" w:line="240" w:lineRule="auto"/>
      </w:pPr>
      <w:hyperlink r:id="rId17" w:tooltip="NDIS Commission on Facebook" w:history="1">
        <w:r w:rsidR="00297DD0" w:rsidRPr="00686753">
          <w:rPr>
            <w:rStyle w:val="Hyperlink"/>
          </w:rPr>
          <w:t>www.facebook.com/ndiscommission</w:t>
        </w:r>
      </w:hyperlink>
    </w:p>
    <w:p w14:paraId="422527A3" w14:textId="77777777" w:rsidR="00297DD0" w:rsidRDefault="00297DD0" w:rsidP="00297DD0">
      <w:pPr>
        <w:suppressAutoHyphens w:val="0"/>
        <w:spacing w:before="120" w:after="120" w:line="240" w:lineRule="auto"/>
      </w:pPr>
    </w:p>
    <w:p w14:paraId="266E82D7" w14:textId="77777777" w:rsidR="00297DD0" w:rsidRDefault="00297DD0" w:rsidP="00297DD0">
      <w:pPr>
        <w:suppressAutoHyphens w:val="0"/>
        <w:spacing w:before="120" w:after="120" w:line="240" w:lineRule="auto"/>
      </w:pPr>
      <w:r>
        <w:t>Cover image - Rita and Destiny</w:t>
      </w:r>
    </w:p>
    <w:p w14:paraId="789E37C9" w14:textId="77777777" w:rsidR="00297DD0" w:rsidRDefault="00297DD0">
      <w:pPr>
        <w:suppressAutoHyphens w:val="0"/>
        <w:spacing w:before="120" w:after="120" w:line="240" w:lineRule="auto"/>
      </w:pPr>
      <w:r>
        <w:br w:type="page"/>
      </w:r>
    </w:p>
    <w:p w14:paraId="68CF175F" w14:textId="77777777" w:rsidR="007D6085" w:rsidRDefault="007D6085" w:rsidP="007D6085">
      <w:pPr>
        <w:pStyle w:val="Heading1"/>
      </w:pPr>
      <w:bookmarkStart w:id="2" w:name="_Toc112642077"/>
      <w:r>
        <w:lastRenderedPageBreak/>
        <w:t>Acknowledgement of Country</w:t>
      </w:r>
      <w:bookmarkEnd w:id="2"/>
    </w:p>
    <w:p w14:paraId="6BC0935E" w14:textId="77777777" w:rsidR="007D6085" w:rsidRDefault="007D6085" w:rsidP="00C502A2">
      <w:r>
        <w:t>The NDIS Quality and Safeguards Commission acknowledges the traditional custodians of the land on which we work.</w:t>
      </w:r>
    </w:p>
    <w:p w14:paraId="55E260A7" w14:textId="77777777" w:rsidR="007D6085" w:rsidRDefault="007D6085" w:rsidP="00C502A2">
      <w:r>
        <w:t>We pay our respects to their Elders past and present and we believe that as Australians, we can all work together to make a meaningful difference to the lives of Aboriginal and Torres Strait Islanders with disability to create a more inclusive society.</w:t>
      </w:r>
    </w:p>
    <w:p w14:paraId="68A2C8E6" w14:textId="77777777" w:rsidR="007D6085" w:rsidRDefault="007D6085" w:rsidP="007D6085">
      <w:pPr>
        <w:pStyle w:val="Heading1"/>
      </w:pPr>
      <w:bookmarkStart w:id="3" w:name="_Introduction"/>
      <w:bookmarkStart w:id="4" w:name="_Toc112642078"/>
      <w:bookmarkEnd w:id="3"/>
      <w:r>
        <w:t>Introduction</w:t>
      </w:r>
      <w:bookmarkEnd w:id="4"/>
    </w:p>
    <w:p w14:paraId="4801FE6A" w14:textId="77777777" w:rsidR="007D6085" w:rsidRDefault="007D6085" w:rsidP="00C502A2">
      <w:r>
        <w:t>I, Tracy Mackey, as the accountable authority of the NDIS Quality and Safeguards Commission, am pleased to present the 2022–23 NDIS Quality and Safeguards Commission Corporate Plan. The plan covers the periods 2022–23 through to 2025–26, as required under paragraph 35(1)(b) of the Public Governance, Performance and Accountability Act 2013, plus one year 2026–27, to align in aggregate with the Commission’s five-year strategic outlook.</w:t>
      </w:r>
    </w:p>
    <w:p w14:paraId="0F8A00B4" w14:textId="77777777" w:rsidR="00C502A2" w:rsidRPr="002A13ED" w:rsidRDefault="00C502A2" w:rsidP="00C502A2">
      <w:pPr>
        <w:suppressAutoHyphens w:val="0"/>
        <w:spacing w:before="360" w:after="120" w:line="240" w:lineRule="auto"/>
        <w:rPr>
          <w:b/>
        </w:rPr>
      </w:pPr>
      <w:r w:rsidRPr="002A13ED">
        <w:rPr>
          <w:b/>
        </w:rPr>
        <w:t>Tracy Mackey</w:t>
      </w:r>
    </w:p>
    <w:p w14:paraId="3C49A4D9" w14:textId="77777777" w:rsidR="00C502A2" w:rsidRDefault="00C502A2" w:rsidP="00C502A2">
      <w:pPr>
        <w:suppressAutoHyphens w:val="0"/>
        <w:spacing w:before="120" w:after="120" w:line="240" w:lineRule="auto"/>
      </w:pPr>
      <w:r>
        <w:t xml:space="preserve">NDIS Quality and Safeguards Commissioner </w:t>
      </w:r>
    </w:p>
    <w:p w14:paraId="70460028" w14:textId="77777777" w:rsidR="007D6085" w:rsidRDefault="00C502A2" w:rsidP="007D6085">
      <w:pPr>
        <w:suppressAutoHyphens w:val="0"/>
        <w:spacing w:before="120" w:after="120" w:line="240" w:lineRule="auto"/>
      </w:pPr>
      <w:r>
        <w:t>31 August 2022</w:t>
      </w:r>
      <w:r w:rsidR="007D6085">
        <w:t xml:space="preserve"> </w:t>
      </w:r>
    </w:p>
    <w:p w14:paraId="4880EAE1" w14:textId="77777777" w:rsidR="007D6085" w:rsidRDefault="007D6085" w:rsidP="007D6085">
      <w:pPr>
        <w:suppressAutoHyphens w:val="0"/>
        <w:spacing w:before="120" w:after="120" w:line="240" w:lineRule="auto"/>
      </w:pPr>
      <w:r>
        <w:br w:type="page"/>
      </w:r>
    </w:p>
    <w:p w14:paraId="14BF8665" w14:textId="77777777" w:rsidR="007D6085" w:rsidRDefault="007D6085" w:rsidP="007D6085">
      <w:pPr>
        <w:pStyle w:val="Heading1"/>
      </w:pPr>
      <w:bookmarkStart w:id="5" w:name="_Toc112642079"/>
      <w:r>
        <w:lastRenderedPageBreak/>
        <w:t>Commissioner’s statement</w:t>
      </w:r>
      <w:bookmarkEnd w:id="5"/>
    </w:p>
    <w:p w14:paraId="12937D34" w14:textId="77777777" w:rsidR="007D6085" w:rsidRDefault="007D6085" w:rsidP="00E26583">
      <w:pPr>
        <w:pStyle w:val="firstparagraph"/>
      </w:pPr>
      <w:r>
        <w:t xml:space="preserve">The NDIS Quality and Safeguards </w:t>
      </w:r>
      <w:r w:rsidRPr="00EF784D">
        <w:t>Commission</w:t>
      </w:r>
      <w:r>
        <w:t xml:space="preserve"> is Australia’s regulatory authority responsible for upholding the rights of people with disability accessing the National Disability Insurance Scheme (NDIS).</w:t>
      </w:r>
    </w:p>
    <w:p w14:paraId="3F36E352" w14:textId="0FB10A06" w:rsidR="007D6085" w:rsidRDefault="007D6085" w:rsidP="007D6085">
      <w:pPr>
        <w:suppressAutoHyphens w:val="0"/>
        <w:spacing w:before="120" w:after="120" w:line="240" w:lineRule="auto"/>
      </w:pPr>
      <w:r>
        <w:t xml:space="preserve">We develop policy and maintain a regulatory framework that strengthens the quality and safeguards of NDIS services and supports offered through the Scheme. We manage compliance with the </w:t>
      </w:r>
      <w:hyperlink r:id="rId18" w:tooltip="NDIS Code of Conduct" w:history="1">
        <w:r w:rsidRPr="00686753">
          <w:rPr>
            <w:rStyle w:val="Hyperlink"/>
          </w:rPr>
          <w:t>NDIS Code of Conduct</w:t>
        </w:r>
      </w:hyperlink>
      <w:r>
        <w:t xml:space="preserve"> and </w:t>
      </w:r>
      <w:hyperlink r:id="rId19" w:tooltip="NDIS Practice Standards" w:history="1">
        <w:r w:rsidRPr="00686753">
          <w:rPr>
            <w:rStyle w:val="Hyperlink"/>
          </w:rPr>
          <w:t>NDIS Practice Standards</w:t>
        </w:r>
      </w:hyperlink>
      <w:r>
        <w:t xml:space="preserve"> and promote continuous improvement through engagement, education and training.</w:t>
      </w:r>
    </w:p>
    <w:p w14:paraId="37BB99CE" w14:textId="77777777" w:rsidR="007D6085" w:rsidRDefault="007D6085" w:rsidP="007D6085">
      <w:pPr>
        <w:suppressAutoHyphens w:val="0"/>
        <w:spacing w:before="120" w:after="120" w:line="240" w:lineRule="auto"/>
      </w:pPr>
      <w:r>
        <w:t>It was my honour to join the NDIS Quality and Safeguards Commission (NDIS Commission) during its first full year of operation as the national regulator for the NDIS. Being able to pursue consistent operations across the country is an important step toward strengthening the quality, safety and choice of the services and supports NDIS participants receive or purchase.</w:t>
      </w:r>
    </w:p>
    <w:p w14:paraId="33084595" w14:textId="77777777" w:rsidR="007D6085" w:rsidRDefault="007D6085" w:rsidP="007D6085">
      <w:pPr>
        <w:suppressAutoHyphens w:val="0"/>
        <w:spacing w:before="120" w:after="120" w:line="240" w:lineRule="auto"/>
      </w:pPr>
      <w:r>
        <w:t>Our Corporate Plan 2022–23 sees the NDIS Commission move into a new phase of maturity. From a newly formed and independent entity gradually establishing its operations across Australia, we are growing into a nationally focused regulator refining its purpose, cultural identity, and regulatory posture.</w:t>
      </w:r>
    </w:p>
    <w:p w14:paraId="5F62457C" w14:textId="77777777" w:rsidR="007D6085" w:rsidRDefault="007D6085" w:rsidP="007D6085">
      <w:pPr>
        <w:suppressAutoHyphens w:val="0"/>
        <w:spacing w:before="120" w:after="120" w:line="240" w:lineRule="auto"/>
      </w:pPr>
      <w:r>
        <w:t>I would like to acknowledge how much the NDIS Commission has already achieved since its establishment less than five years ago – in July 2018 – in just two states (New South Wales and South Australia). During that time, the NDIS Commission was necessarily focused on establishing the essential systems and processes needed to meet its legislated responsibilities, as well as progressively increasing its scale of governance as it expanded operations to become a national entity.</w:t>
      </w:r>
    </w:p>
    <w:p w14:paraId="58109683" w14:textId="77777777" w:rsidR="007D6085" w:rsidRDefault="007D6085" w:rsidP="007D6085">
      <w:pPr>
        <w:suppressAutoHyphens w:val="0"/>
        <w:spacing w:before="120" w:after="120" w:line="240" w:lineRule="auto"/>
      </w:pPr>
      <w:r>
        <w:t>Now, partnering with the National Disability Insurance Agency (NDIA), state and federal governments and the disability sector, we are working to improve the quality of NDIS providers over time, support and maintain diverse, sustainable NDIS markets, and safeguard NDIS participants and all people with disability. We will achieve this by encouraging provider excellence and innovation through the use of informed and adaptive regulatory practices. This is central to our vision to empower people with disability to achieve their aspirations.</w:t>
      </w:r>
    </w:p>
    <w:p w14:paraId="0F6B1215" w14:textId="0E610A1F" w:rsidR="007D6085" w:rsidRDefault="007D6085" w:rsidP="007D6085">
      <w:pPr>
        <w:suppressAutoHyphens w:val="0"/>
        <w:spacing w:before="120" w:after="120" w:line="240" w:lineRule="auto"/>
      </w:pPr>
      <w:r>
        <w:t xml:space="preserve">In addition to our enduring commitment to the Commissioner’s Core Functions, as outlined in the </w:t>
      </w:r>
      <w:hyperlink r:id="rId20" w:tooltip="National Disability Insurance Scheme Act 2013" w:history="1">
        <w:r w:rsidRPr="00686753">
          <w:rPr>
            <w:rStyle w:val="Hyperlink"/>
          </w:rPr>
          <w:t>National Disability Insurance Scheme Act 2013</w:t>
        </w:r>
      </w:hyperlink>
      <w:r>
        <w:t xml:space="preserve"> (the NDIS Act), our 2022–23 Corporate Plan outlines our planned activities for the next 12 months, and pays particular attention to our three overarching impact areas:</w:t>
      </w:r>
    </w:p>
    <w:p w14:paraId="19A17816" w14:textId="77777777" w:rsidR="007D6085" w:rsidRPr="003E2823" w:rsidRDefault="00D2537F" w:rsidP="009C4C04">
      <w:pPr>
        <w:pStyle w:val="Bullet1"/>
        <w:spacing w:before="240" w:after="120" w:line="240" w:lineRule="auto"/>
        <w:ind w:left="454" w:right="227"/>
      </w:pPr>
      <w:r>
        <w:rPr>
          <w:noProof/>
          <w:lang w:eastAsia="en-AU"/>
        </w:rPr>
        <mc:AlternateContent>
          <mc:Choice Requires="wps">
            <w:drawing>
              <wp:anchor distT="0" distB="0" distL="114300" distR="114300" simplePos="0" relativeHeight="251659264" behindDoc="1" locked="0" layoutInCell="1" allowOverlap="1" wp14:anchorId="5A629DD8" wp14:editId="144E44D5">
                <wp:simplePos x="0" y="0"/>
                <wp:positionH relativeFrom="margin">
                  <wp:align>right</wp:align>
                </wp:positionH>
                <wp:positionV relativeFrom="paragraph">
                  <wp:posOffset>7758</wp:posOffset>
                </wp:positionV>
                <wp:extent cx="5723614" cy="1176627"/>
                <wp:effectExtent l="0" t="0" r="0" b="5080"/>
                <wp:wrapNone/>
                <wp:docPr id="57" name="Rectangle 57" descr="decorative"/>
                <wp:cNvGraphicFramePr/>
                <a:graphic xmlns:a="http://schemas.openxmlformats.org/drawingml/2006/main">
                  <a:graphicData uri="http://schemas.microsoft.com/office/word/2010/wordprocessingShape">
                    <wps:wsp>
                      <wps:cNvSpPr/>
                      <wps:spPr>
                        <a:xfrm>
                          <a:off x="0" y="0"/>
                          <a:ext cx="5723614" cy="1176627"/>
                        </a:xfrm>
                        <a:prstGeom prst="rect">
                          <a:avLst/>
                        </a:prstGeom>
                        <a:solidFill>
                          <a:srgbClr val="612C69">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5F921" id="Rectangle 57" o:spid="_x0000_s1026" alt="decorative" style="position:absolute;margin-left:399.5pt;margin-top:.6pt;width:450.7pt;height:92.6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" fillcolor="#612c69" stroked="f" strokeweight="1pt">
                <v:fill opacity="6682f"/>
                <w10:wrap anchorx="margin"/>
              </v:rect>
            </w:pict>
          </mc:Fallback>
        </mc:AlternateContent>
      </w:r>
      <w:r w:rsidR="007D6085" w:rsidRPr="003E2823">
        <w:t xml:space="preserve">Promote and amplify the rights of </w:t>
      </w:r>
      <w:r w:rsidR="007D6085" w:rsidRPr="003E2823">
        <w:rPr>
          <w:spacing w:val="-3"/>
        </w:rPr>
        <w:t xml:space="preserve">people </w:t>
      </w:r>
      <w:r w:rsidR="007D6085" w:rsidRPr="003E2823">
        <w:t>with</w:t>
      </w:r>
      <w:r w:rsidR="007D6085" w:rsidRPr="003E2823">
        <w:rPr>
          <w:spacing w:val="-1"/>
        </w:rPr>
        <w:t xml:space="preserve"> </w:t>
      </w:r>
      <w:r w:rsidR="007D6085" w:rsidRPr="003E2823">
        <w:t>disability.</w:t>
      </w:r>
    </w:p>
    <w:p w14:paraId="6288B044" w14:textId="77777777" w:rsidR="007D6085" w:rsidRPr="003E2823" w:rsidRDefault="007D6085" w:rsidP="009C4C04">
      <w:pPr>
        <w:pStyle w:val="Bullet1"/>
        <w:spacing w:before="120" w:after="120" w:line="240" w:lineRule="auto"/>
        <w:ind w:left="454" w:right="227"/>
      </w:pPr>
      <w:r w:rsidRPr="003E2823">
        <w:t xml:space="preserve">Ensure each NDIS participant has safeguards in place and access to </w:t>
      </w:r>
      <w:r w:rsidRPr="003E2823">
        <w:rPr>
          <w:spacing w:val="-4"/>
        </w:rPr>
        <w:t xml:space="preserve">high </w:t>
      </w:r>
      <w:r w:rsidRPr="003E2823">
        <w:t>quality providers and</w:t>
      </w:r>
      <w:r w:rsidRPr="003E2823">
        <w:rPr>
          <w:spacing w:val="-3"/>
        </w:rPr>
        <w:t xml:space="preserve"> </w:t>
      </w:r>
      <w:r w:rsidRPr="003E2823">
        <w:t>workers.</w:t>
      </w:r>
    </w:p>
    <w:p w14:paraId="30DF1D76" w14:textId="77777777" w:rsidR="00BD2AFB" w:rsidRDefault="007D6085" w:rsidP="009C4C04">
      <w:pPr>
        <w:pStyle w:val="Bullet1"/>
        <w:spacing w:before="120" w:after="240" w:line="240" w:lineRule="auto"/>
        <w:ind w:left="454" w:right="227"/>
      </w:pPr>
      <w:r w:rsidRPr="003E2823">
        <w:t xml:space="preserve">Support a thriving and diverse market with regulatory frameworks that promote, and remove barriers to, quality and </w:t>
      </w:r>
      <w:r w:rsidRPr="003E2823">
        <w:rPr>
          <w:spacing w:val="-4"/>
        </w:rPr>
        <w:t>safety.</w:t>
      </w:r>
    </w:p>
    <w:p w14:paraId="7A79FBE6" w14:textId="6828C8BD" w:rsidR="007D6085" w:rsidRPr="003E2823" w:rsidRDefault="007D6085" w:rsidP="007D6085">
      <w:pPr>
        <w:suppressAutoHyphens w:val="0"/>
        <w:spacing w:before="120" w:after="120" w:line="240" w:lineRule="auto"/>
        <w:rPr>
          <w:color w:val="auto"/>
        </w:rPr>
      </w:pPr>
      <w:r>
        <w:t xml:space="preserve">These impact areas are defined in the NDIS Commission’s five-year </w:t>
      </w:r>
      <w:hyperlink r:id="rId21" w:tooltip="Strategic Plan" w:history="1">
        <w:r w:rsidRPr="00686753">
          <w:rPr>
            <w:rStyle w:val="Hyperlink"/>
          </w:rPr>
          <w:t>Strategic Plan</w:t>
        </w:r>
      </w:hyperlink>
      <w:r>
        <w:t>, which was developed under the guidance of our Executive Leadership Team (ELT) and reflects input and ideas from our people, partners, regulating peers and disability sector stakeholders.</w:t>
      </w:r>
    </w:p>
    <w:p w14:paraId="34C1A410" w14:textId="77777777" w:rsidR="00EB0121" w:rsidRDefault="00EB0121">
      <w:pPr>
        <w:suppressAutoHyphens w:val="0"/>
        <w:spacing w:before="120" w:after="120" w:line="240" w:lineRule="auto"/>
        <w:rPr>
          <w:color w:val="612C69"/>
          <w:sz w:val="32"/>
        </w:rPr>
      </w:pPr>
      <w:r>
        <w:br w:type="page"/>
      </w:r>
    </w:p>
    <w:p w14:paraId="03BFB6E2" w14:textId="77777777" w:rsidR="007D6085" w:rsidRDefault="007D6085" w:rsidP="007D6085">
      <w:pPr>
        <w:pStyle w:val="H2-16pts"/>
      </w:pPr>
      <w:bookmarkStart w:id="6" w:name="_Toc112642080"/>
      <w:r>
        <w:lastRenderedPageBreak/>
        <w:t>The rights of people with disability</w:t>
      </w:r>
      <w:bookmarkEnd w:id="6"/>
    </w:p>
    <w:p w14:paraId="6CD7B100" w14:textId="77777777" w:rsidR="007D6085" w:rsidRDefault="007D6085" w:rsidP="007D6085">
      <w:pPr>
        <w:suppressAutoHyphens w:val="0"/>
        <w:spacing w:before="120" w:after="120" w:line="240" w:lineRule="auto"/>
      </w:pPr>
      <w:r>
        <w:t>We want to see people with disability flourish as active members of the communities of their choosing. The priorities we outline in our 2022–23 Corporate Plan seek to empower NDIS participants to gain greater independence, by better understanding their rights and by confidently exercising those rights when supports and services have not met legislated obligations or standards.</w:t>
      </w:r>
    </w:p>
    <w:p w14:paraId="29AE2FFB" w14:textId="77777777" w:rsidR="007D6085" w:rsidRDefault="007D6085" w:rsidP="007D6085">
      <w:pPr>
        <w:pStyle w:val="H2-16pts"/>
      </w:pPr>
      <w:bookmarkStart w:id="7" w:name="_Toc112642081"/>
      <w:r>
        <w:t>Quality providers and workers</w:t>
      </w:r>
      <w:bookmarkEnd w:id="7"/>
    </w:p>
    <w:p w14:paraId="1A738814" w14:textId="77777777" w:rsidR="007D6085" w:rsidRDefault="007D6085" w:rsidP="007D6085">
      <w:pPr>
        <w:suppressAutoHyphens w:val="0"/>
        <w:spacing w:before="120" w:after="120" w:line="240" w:lineRule="auto"/>
      </w:pPr>
      <w:r>
        <w:t>We expect the best for NDIS participants and place their rights and wellbeing at the centre of our decision-making and regulatory practices.</w:t>
      </w:r>
    </w:p>
    <w:p w14:paraId="5D381D36" w14:textId="77777777" w:rsidR="007D6085" w:rsidRDefault="007D6085" w:rsidP="007D6085">
      <w:pPr>
        <w:suppressAutoHyphens w:val="0"/>
        <w:spacing w:before="120" w:after="120" w:line="240" w:lineRule="auto"/>
      </w:pPr>
      <w:r>
        <w:t>This Corporate Plan outlines how we will work to educate providers on their legislated commitments, including those set out in the</w:t>
      </w:r>
    </w:p>
    <w:p w14:paraId="4CC5986D" w14:textId="77777777" w:rsidR="007D6085" w:rsidRDefault="007D6085" w:rsidP="007D6085">
      <w:pPr>
        <w:suppressAutoHyphens w:val="0"/>
        <w:spacing w:before="120" w:after="120" w:line="240" w:lineRule="auto"/>
      </w:pPr>
      <w:r>
        <w:t>NDIS Code of Conduct and Practice Standards, and use our compliance and enforcement powers to address any failure to meet those obligations. It also shows how we plan to encourage greater innovation and investment among service providers and, together with targeted engagement, support and ongoing skills development, significantly reduce the frequency of reported incidents.</w:t>
      </w:r>
    </w:p>
    <w:p w14:paraId="53757872" w14:textId="77777777" w:rsidR="007D6085" w:rsidRDefault="007D6085" w:rsidP="007D6085">
      <w:pPr>
        <w:pStyle w:val="H2-16pts"/>
      </w:pPr>
      <w:bookmarkStart w:id="8" w:name="_Toc112642082"/>
      <w:r>
        <w:t>Thriving and diverse markets</w:t>
      </w:r>
      <w:bookmarkEnd w:id="8"/>
    </w:p>
    <w:p w14:paraId="5C9A8800" w14:textId="77777777" w:rsidR="007D6085" w:rsidRDefault="007D6085" w:rsidP="007D6085">
      <w:pPr>
        <w:suppressAutoHyphens w:val="0"/>
        <w:spacing w:before="120" w:after="120" w:line="240" w:lineRule="auto"/>
      </w:pPr>
      <w:r>
        <w:t>Ensuring NDIS participants have access to both high quality and a diverse range of supports and services is essential to their independence as consumers. We are particularly aware that in rural and remote communities, as well as many Aboriginal and Torres Strait Islander communities, access to supports and services can be limited.</w:t>
      </w:r>
    </w:p>
    <w:p w14:paraId="2F6058FE" w14:textId="77777777" w:rsidR="007D6085" w:rsidRDefault="007D6085" w:rsidP="007D6085">
      <w:pPr>
        <w:suppressAutoHyphens w:val="0"/>
        <w:spacing w:before="120" w:after="120" w:line="240" w:lineRule="auto"/>
      </w:pPr>
      <w:r>
        <w:t xml:space="preserve">Using a purpose-centred blend of regulatory levers, we seek to encourage existing providers to consider </w:t>
      </w:r>
      <w:r w:rsidR="00C502A2">
        <w:t xml:space="preserve">alternative models of services, </w:t>
      </w:r>
      <w:r>
        <w:t>and attract more providers into the NDIS with innovative delivery of services and relevant skills- building programs.</w:t>
      </w:r>
    </w:p>
    <w:p w14:paraId="1E42DED1" w14:textId="77777777" w:rsidR="007D6085" w:rsidRDefault="007D6085" w:rsidP="007D6085">
      <w:pPr>
        <w:suppressAutoHyphens w:val="0"/>
        <w:spacing w:before="120" w:after="120" w:line="240" w:lineRule="auto"/>
      </w:pPr>
      <w:r>
        <w:t>There are many benefits to upholding the consumer independence of people with disability. In addition to enabling their active participation in communities of their choosing, and the achievement of their aspirations, it also enriches our social fabric with a diverse mix of ideas and abilities.</w:t>
      </w:r>
    </w:p>
    <w:p w14:paraId="066AC9E7" w14:textId="77777777" w:rsidR="007D6085" w:rsidRDefault="007D6085" w:rsidP="007D6085">
      <w:pPr>
        <w:suppressAutoHyphens w:val="0"/>
        <w:spacing w:before="120" w:after="120" w:line="240" w:lineRule="auto"/>
      </w:pPr>
      <w:r>
        <w:t>Together with our whole team at the NDIS Commission, I look forward to achieving the priorities outlined in this Corporate Plan, and working hard to identify the improvements that will give NDIS participants – and all people with disability – an ever-greater variety of safe, high- quality supports and services.</w:t>
      </w:r>
    </w:p>
    <w:p w14:paraId="49D04B74" w14:textId="77777777" w:rsidR="007D6085" w:rsidRPr="002A13ED" w:rsidRDefault="007D6085" w:rsidP="00C502A2">
      <w:pPr>
        <w:suppressAutoHyphens w:val="0"/>
        <w:spacing w:before="360" w:after="120" w:line="240" w:lineRule="auto"/>
        <w:rPr>
          <w:b/>
        </w:rPr>
      </w:pPr>
      <w:r w:rsidRPr="002A13ED">
        <w:rPr>
          <w:b/>
        </w:rPr>
        <w:t>Tracy Mackey</w:t>
      </w:r>
    </w:p>
    <w:p w14:paraId="56EB853E" w14:textId="77777777" w:rsidR="007D6085" w:rsidRDefault="007D6085" w:rsidP="007D6085">
      <w:pPr>
        <w:suppressAutoHyphens w:val="0"/>
        <w:spacing w:before="120" w:after="120" w:line="240" w:lineRule="auto"/>
      </w:pPr>
      <w:r>
        <w:t xml:space="preserve">NDIS Quality and Safeguards Commissioner </w:t>
      </w:r>
    </w:p>
    <w:p w14:paraId="24638F24" w14:textId="77777777" w:rsidR="007D6085" w:rsidRDefault="007D6085" w:rsidP="007D6085">
      <w:pPr>
        <w:suppressAutoHyphens w:val="0"/>
        <w:spacing w:before="120" w:after="120" w:line="240" w:lineRule="auto"/>
      </w:pPr>
      <w:r>
        <w:t>31 August 2022</w:t>
      </w:r>
    </w:p>
    <w:p w14:paraId="1A7715F9" w14:textId="77777777" w:rsidR="007D6085" w:rsidRDefault="007D6085" w:rsidP="007D6085">
      <w:pPr>
        <w:suppressAutoHyphens w:val="0"/>
        <w:spacing w:before="120" w:after="120" w:line="240" w:lineRule="auto"/>
      </w:pPr>
      <w:r>
        <w:br w:type="page"/>
      </w:r>
    </w:p>
    <w:sdt>
      <w:sdtPr>
        <w:rPr>
          <w:rFonts w:eastAsiaTheme="minorHAnsi" w:cstheme="minorBidi"/>
          <w:b w:val="0"/>
          <w:color w:val="auto"/>
          <w:sz w:val="24"/>
          <w:szCs w:val="20"/>
        </w:rPr>
        <w:id w:val="801731270"/>
        <w:docPartObj>
          <w:docPartGallery w:val="Table of Contents"/>
          <w:docPartUnique/>
        </w:docPartObj>
      </w:sdtPr>
      <w:sdtEndPr>
        <w:rPr>
          <w:bCs/>
          <w:noProof/>
        </w:rPr>
      </w:sdtEndPr>
      <w:sdtContent>
        <w:p w14:paraId="4601F42B" w14:textId="77777777" w:rsidR="00875A29" w:rsidRDefault="00875A29">
          <w:pPr>
            <w:pStyle w:val="TOCHeading"/>
          </w:pPr>
          <w:r>
            <w:t>Contents</w:t>
          </w:r>
        </w:p>
        <w:p w14:paraId="4B13C308" w14:textId="408DD04E" w:rsidR="005D44D8" w:rsidRPr="005D44D8" w:rsidRDefault="00875A29" w:rsidP="005D44D8">
          <w:pPr>
            <w:pStyle w:val="TOC2"/>
            <w:rPr>
              <w:rFonts w:asciiTheme="minorHAnsi" w:eastAsiaTheme="minorEastAsia" w:hAnsiTheme="minorHAnsi"/>
              <w:lang w:eastAsia="en-AU"/>
            </w:rPr>
          </w:pPr>
          <w:r>
            <w:fldChar w:fldCharType="begin"/>
          </w:r>
          <w:r>
            <w:instrText xml:space="preserve"> TOC \o "1-3" \h \z \u </w:instrText>
          </w:r>
          <w:r>
            <w:fldChar w:fldCharType="separate"/>
          </w:r>
          <w:hyperlink w:anchor="_Toc112642077" w:history="1">
            <w:r w:rsidR="005D44D8" w:rsidRPr="005D44D8">
              <w:rPr>
                <w:rStyle w:val="Hyperlink"/>
              </w:rPr>
              <w:t>Acknowledgement of Country</w:t>
            </w:r>
            <w:r w:rsidR="005D44D8" w:rsidRPr="005D44D8">
              <w:rPr>
                <w:webHidden/>
              </w:rPr>
              <w:tab/>
            </w:r>
            <w:r w:rsidR="005D44D8" w:rsidRPr="005D44D8">
              <w:rPr>
                <w:webHidden/>
              </w:rPr>
              <w:fldChar w:fldCharType="begin"/>
            </w:r>
            <w:r w:rsidR="005D44D8" w:rsidRPr="005D44D8">
              <w:rPr>
                <w:webHidden/>
              </w:rPr>
              <w:instrText xml:space="preserve"> PAGEREF _Toc112642077 \h </w:instrText>
            </w:r>
            <w:r w:rsidR="005D44D8" w:rsidRPr="005D44D8">
              <w:rPr>
                <w:webHidden/>
              </w:rPr>
            </w:r>
            <w:r w:rsidR="005D44D8" w:rsidRPr="005D44D8">
              <w:rPr>
                <w:webHidden/>
              </w:rPr>
              <w:fldChar w:fldCharType="separate"/>
            </w:r>
            <w:r w:rsidR="004B515A">
              <w:rPr>
                <w:webHidden/>
              </w:rPr>
              <w:t>3</w:t>
            </w:r>
            <w:r w:rsidR="005D44D8" w:rsidRPr="005D44D8">
              <w:rPr>
                <w:webHidden/>
              </w:rPr>
              <w:fldChar w:fldCharType="end"/>
            </w:r>
          </w:hyperlink>
        </w:p>
        <w:p w14:paraId="502DF773" w14:textId="29E07C55" w:rsidR="005D44D8" w:rsidRDefault="008A012F">
          <w:pPr>
            <w:pStyle w:val="TOC1"/>
            <w:rPr>
              <w:rFonts w:asciiTheme="minorHAnsi" w:eastAsiaTheme="minorEastAsia" w:hAnsiTheme="minorHAnsi"/>
              <w:noProof/>
              <w:sz w:val="22"/>
              <w:szCs w:val="22"/>
              <w:lang w:eastAsia="en-AU"/>
            </w:rPr>
          </w:pPr>
          <w:hyperlink w:anchor="_Toc112642078" w:history="1">
            <w:r w:rsidR="005D44D8" w:rsidRPr="004D5C87">
              <w:rPr>
                <w:rStyle w:val="Hyperlink"/>
                <w:noProof/>
              </w:rPr>
              <w:t>Introduction</w:t>
            </w:r>
            <w:r w:rsidR="005D44D8">
              <w:rPr>
                <w:noProof/>
                <w:webHidden/>
              </w:rPr>
              <w:tab/>
            </w:r>
            <w:r w:rsidR="005D44D8">
              <w:rPr>
                <w:noProof/>
                <w:webHidden/>
              </w:rPr>
              <w:fldChar w:fldCharType="begin"/>
            </w:r>
            <w:r w:rsidR="005D44D8">
              <w:rPr>
                <w:noProof/>
                <w:webHidden/>
              </w:rPr>
              <w:instrText xml:space="preserve"> PAGEREF _Toc112642078 \h </w:instrText>
            </w:r>
            <w:r w:rsidR="005D44D8">
              <w:rPr>
                <w:noProof/>
                <w:webHidden/>
              </w:rPr>
            </w:r>
            <w:r w:rsidR="005D44D8">
              <w:rPr>
                <w:noProof/>
                <w:webHidden/>
              </w:rPr>
              <w:fldChar w:fldCharType="separate"/>
            </w:r>
            <w:r w:rsidR="004B515A">
              <w:rPr>
                <w:noProof/>
                <w:webHidden/>
              </w:rPr>
              <w:t>3</w:t>
            </w:r>
            <w:r w:rsidR="005D44D8">
              <w:rPr>
                <w:noProof/>
                <w:webHidden/>
              </w:rPr>
              <w:fldChar w:fldCharType="end"/>
            </w:r>
          </w:hyperlink>
        </w:p>
        <w:p w14:paraId="0E7AE60D" w14:textId="5C46AF66" w:rsidR="005D44D8" w:rsidRDefault="008A012F">
          <w:pPr>
            <w:pStyle w:val="TOC1"/>
            <w:rPr>
              <w:rFonts w:asciiTheme="minorHAnsi" w:eastAsiaTheme="minorEastAsia" w:hAnsiTheme="minorHAnsi"/>
              <w:noProof/>
              <w:sz w:val="22"/>
              <w:szCs w:val="22"/>
              <w:lang w:eastAsia="en-AU"/>
            </w:rPr>
          </w:pPr>
          <w:hyperlink w:anchor="_Toc112642079" w:history="1">
            <w:r w:rsidR="005D44D8" w:rsidRPr="004D5C87">
              <w:rPr>
                <w:rStyle w:val="Hyperlink"/>
                <w:noProof/>
              </w:rPr>
              <w:t>Commissioner’s statement</w:t>
            </w:r>
            <w:r w:rsidR="005D44D8">
              <w:rPr>
                <w:noProof/>
                <w:webHidden/>
              </w:rPr>
              <w:tab/>
            </w:r>
            <w:r w:rsidR="005D44D8">
              <w:rPr>
                <w:noProof/>
                <w:webHidden/>
              </w:rPr>
              <w:fldChar w:fldCharType="begin"/>
            </w:r>
            <w:r w:rsidR="005D44D8">
              <w:rPr>
                <w:noProof/>
                <w:webHidden/>
              </w:rPr>
              <w:instrText xml:space="preserve"> PAGEREF _Toc112642079 \h </w:instrText>
            </w:r>
            <w:r w:rsidR="005D44D8">
              <w:rPr>
                <w:noProof/>
                <w:webHidden/>
              </w:rPr>
            </w:r>
            <w:r w:rsidR="005D44D8">
              <w:rPr>
                <w:noProof/>
                <w:webHidden/>
              </w:rPr>
              <w:fldChar w:fldCharType="separate"/>
            </w:r>
            <w:r w:rsidR="004B515A">
              <w:rPr>
                <w:noProof/>
                <w:webHidden/>
              </w:rPr>
              <w:t>4</w:t>
            </w:r>
            <w:r w:rsidR="005D44D8">
              <w:rPr>
                <w:noProof/>
                <w:webHidden/>
              </w:rPr>
              <w:fldChar w:fldCharType="end"/>
            </w:r>
          </w:hyperlink>
        </w:p>
        <w:p w14:paraId="41E5DE85" w14:textId="588FBC8C" w:rsidR="005D44D8" w:rsidRDefault="008A012F">
          <w:pPr>
            <w:pStyle w:val="TOC1"/>
            <w:rPr>
              <w:rFonts w:asciiTheme="minorHAnsi" w:eastAsiaTheme="minorEastAsia" w:hAnsiTheme="minorHAnsi"/>
              <w:noProof/>
              <w:sz w:val="22"/>
              <w:szCs w:val="22"/>
              <w:lang w:eastAsia="en-AU"/>
            </w:rPr>
          </w:pPr>
          <w:hyperlink w:anchor="_Toc112642084" w:history="1">
            <w:r w:rsidR="005D44D8" w:rsidRPr="004D5C87">
              <w:rPr>
                <w:rStyle w:val="Hyperlink"/>
                <w:noProof/>
              </w:rPr>
              <w:t>Corporate Plan 2022–23</w:t>
            </w:r>
            <w:r w:rsidR="005D44D8">
              <w:rPr>
                <w:noProof/>
                <w:webHidden/>
              </w:rPr>
              <w:tab/>
            </w:r>
            <w:r w:rsidR="005D44D8">
              <w:rPr>
                <w:noProof/>
                <w:webHidden/>
              </w:rPr>
              <w:fldChar w:fldCharType="begin"/>
            </w:r>
            <w:r w:rsidR="005D44D8">
              <w:rPr>
                <w:noProof/>
                <w:webHidden/>
              </w:rPr>
              <w:instrText xml:space="preserve"> PAGEREF _Toc112642084 \h </w:instrText>
            </w:r>
            <w:r w:rsidR="005D44D8">
              <w:rPr>
                <w:noProof/>
                <w:webHidden/>
              </w:rPr>
            </w:r>
            <w:r w:rsidR="005D44D8">
              <w:rPr>
                <w:noProof/>
                <w:webHidden/>
              </w:rPr>
              <w:fldChar w:fldCharType="separate"/>
            </w:r>
            <w:r w:rsidR="004B515A">
              <w:rPr>
                <w:noProof/>
                <w:webHidden/>
              </w:rPr>
              <w:t>7</w:t>
            </w:r>
            <w:r w:rsidR="005D44D8">
              <w:rPr>
                <w:noProof/>
                <w:webHidden/>
              </w:rPr>
              <w:fldChar w:fldCharType="end"/>
            </w:r>
          </w:hyperlink>
        </w:p>
        <w:p w14:paraId="4F268C72" w14:textId="6878EEB6" w:rsidR="005D44D8" w:rsidRDefault="008A012F">
          <w:pPr>
            <w:pStyle w:val="TOC1"/>
            <w:rPr>
              <w:rFonts w:asciiTheme="minorHAnsi" w:eastAsiaTheme="minorEastAsia" w:hAnsiTheme="minorHAnsi"/>
              <w:noProof/>
              <w:sz w:val="22"/>
              <w:szCs w:val="22"/>
              <w:lang w:eastAsia="en-AU"/>
            </w:rPr>
          </w:pPr>
          <w:hyperlink w:anchor="_Toc112642095" w:history="1">
            <w:r w:rsidR="005D44D8" w:rsidRPr="004D5C87">
              <w:rPr>
                <w:rStyle w:val="Hyperlink"/>
                <w:noProof/>
              </w:rPr>
              <w:t>Operating context</w:t>
            </w:r>
            <w:r w:rsidR="005D44D8">
              <w:rPr>
                <w:noProof/>
                <w:webHidden/>
              </w:rPr>
              <w:tab/>
            </w:r>
            <w:r w:rsidR="005D44D8">
              <w:rPr>
                <w:noProof/>
                <w:webHidden/>
              </w:rPr>
              <w:fldChar w:fldCharType="begin"/>
            </w:r>
            <w:r w:rsidR="005D44D8">
              <w:rPr>
                <w:noProof/>
                <w:webHidden/>
              </w:rPr>
              <w:instrText xml:space="preserve"> PAGEREF _Toc112642095 \h </w:instrText>
            </w:r>
            <w:r w:rsidR="005D44D8">
              <w:rPr>
                <w:noProof/>
                <w:webHidden/>
              </w:rPr>
            </w:r>
            <w:r w:rsidR="005D44D8">
              <w:rPr>
                <w:noProof/>
                <w:webHidden/>
              </w:rPr>
              <w:fldChar w:fldCharType="separate"/>
            </w:r>
            <w:r w:rsidR="004B515A">
              <w:rPr>
                <w:noProof/>
                <w:webHidden/>
              </w:rPr>
              <w:t>9</w:t>
            </w:r>
            <w:r w:rsidR="005D44D8">
              <w:rPr>
                <w:noProof/>
                <w:webHidden/>
              </w:rPr>
              <w:fldChar w:fldCharType="end"/>
            </w:r>
          </w:hyperlink>
        </w:p>
        <w:p w14:paraId="14E6E10F" w14:textId="5234F991" w:rsidR="005D44D8" w:rsidRPr="00A11903" w:rsidRDefault="008A012F" w:rsidP="00A11903">
          <w:pPr>
            <w:pStyle w:val="TOC2"/>
            <w:ind w:left="567" w:firstLine="0"/>
            <w:rPr>
              <w:rFonts w:asciiTheme="minorHAnsi" w:eastAsiaTheme="minorEastAsia" w:hAnsiTheme="minorHAnsi"/>
              <w:color w:val="auto"/>
              <w:sz w:val="22"/>
              <w:szCs w:val="22"/>
              <w:lang w:eastAsia="en-AU"/>
            </w:rPr>
          </w:pPr>
          <w:hyperlink w:anchor="_Toc112642096" w:history="1">
            <w:r w:rsidR="005D44D8" w:rsidRPr="00A11903">
              <w:rPr>
                <w:rStyle w:val="Hyperlink"/>
                <w:sz w:val="22"/>
                <w:szCs w:val="22"/>
              </w:rPr>
              <w:t>Government priorities for the NDIS</w:t>
            </w:r>
            <w:r w:rsidR="005D44D8" w:rsidRPr="00A11903">
              <w:rPr>
                <w:webHidden/>
                <w:sz w:val="22"/>
                <w:szCs w:val="22"/>
              </w:rPr>
              <w:tab/>
            </w:r>
            <w:r w:rsidR="005D44D8" w:rsidRPr="00A11903">
              <w:rPr>
                <w:webHidden/>
                <w:sz w:val="22"/>
                <w:szCs w:val="22"/>
              </w:rPr>
              <w:fldChar w:fldCharType="begin"/>
            </w:r>
            <w:r w:rsidR="005D44D8" w:rsidRPr="00A11903">
              <w:rPr>
                <w:webHidden/>
                <w:sz w:val="22"/>
                <w:szCs w:val="22"/>
              </w:rPr>
              <w:instrText xml:space="preserve"> PAGEREF _Toc112642096 \h </w:instrText>
            </w:r>
            <w:r w:rsidR="005D44D8" w:rsidRPr="00A11903">
              <w:rPr>
                <w:webHidden/>
                <w:sz w:val="22"/>
                <w:szCs w:val="22"/>
              </w:rPr>
            </w:r>
            <w:r w:rsidR="005D44D8" w:rsidRPr="00A11903">
              <w:rPr>
                <w:webHidden/>
                <w:sz w:val="22"/>
                <w:szCs w:val="22"/>
              </w:rPr>
              <w:fldChar w:fldCharType="separate"/>
            </w:r>
            <w:r w:rsidR="004B515A">
              <w:rPr>
                <w:webHidden/>
                <w:sz w:val="22"/>
                <w:szCs w:val="22"/>
              </w:rPr>
              <w:t>9</w:t>
            </w:r>
            <w:r w:rsidR="005D44D8" w:rsidRPr="00A11903">
              <w:rPr>
                <w:webHidden/>
                <w:sz w:val="22"/>
                <w:szCs w:val="22"/>
              </w:rPr>
              <w:fldChar w:fldCharType="end"/>
            </w:r>
          </w:hyperlink>
        </w:p>
        <w:p w14:paraId="7854C8A6" w14:textId="073D33D2" w:rsidR="005D44D8" w:rsidRPr="00A11903" w:rsidRDefault="008A012F" w:rsidP="00A11903">
          <w:pPr>
            <w:pStyle w:val="TOC2"/>
            <w:ind w:left="567" w:firstLine="0"/>
            <w:rPr>
              <w:rFonts w:asciiTheme="minorHAnsi" w:eastAsiaTheme="minorEastAsia" w:hAnsiTheme="minorHAnsi"/>
              <w:color w:val="auto"/>
              <w:sz w:val="22"/>
              <w:szCs w:val="22"/>
              <w:lang w:eastAsia="en-AU"/>
            </w:rPr>
          </w:pPr>
          <w:hyperlink w:anchor="_Toc112642097" w:history="1">
            <w:r w:rsidR="005D44D8" w:rsidRPr="00A11903">
              <w:rPr>
                <w:rStyle w:val="Hyperlink"/>
                <w:sz w:val="22"/>
                <w:szCs w:val="22"/>
              </w:rPr>
              <w:t>Contribution to NDIS reviews</w:t>
            </w:r>
            <w:r w:rsidR="005D44D8" w:rsidRPr="00A11903">
              <w:rPr>
                <w:webHidden/>
                <w:sz w:val="22"/>
                <w:szCs w:val="22"/>
              </w:rPr>
              <w:tab/>
            </w:r>
            <w:r w:rsidR="005D44D8" w:rsidRPr="00A11903">
              <w:rPr>
                <w:webHidden/>
                <w:sz w:val="22"/>
                <w:szCs w:val="22"/>
              </w:rPr>
              <w:fldChar w:fldCharType="begin"/>
            </w:r>
            <w:r w:rsidR="005D44D8" w:rsidRPr="00A11903">
              <w:rPr>
                <w:webHidden/>
                <w:sz w:val="22"/>
                <w:szCs w:val="22"/>
              </w:rPr>
              <w:instrText xml:space="preserve"> PAGEREF _Toc112642097 \h </w:instrText>
            </w:r>
            <w:r w:rsidR="005D44D8" w:rsidRPr="00A11903">
              <w:rPr>
                <w:webHidden/>
                <w:sz w:val="22"/>
                <w:szCs w:val="22"/>
              </w:rPr>
            </w:r>
            <w:r w:rsidR="005D44D8" w:rsidRPr="00A11903">
              <w:rPr>
                <w:webHidden/>
                <w:sz w:val="22"/>
                <w:szCs w:val="22"/>
              </w:rPr>
              <w:fldChar w:fldCharType="separate"/>
            </w:r>
            <w:r w:rsidR="004B515A">
              <w:rPr>
                <w:webHidden/>
                <w:sz w:val="22"/>
                <w:szCs w:val="22"/>
              </w:rPr>
              <w:t>9</w:t>
            </w:r>
            <w:r w:rsidR="005D44D8" w:rsidRPr="00A11903">
              <w:rPr>
                <w:webHidden/>
                <w:sz w:val="22"/>
                <w:szCs w:val="22"/>
              </w:rPr>
              <w:fldChar w:fldCharType="end"/>
            </w:r>
          </w:hyperlink>
        </w:p>
        <w:p w14:paraId="67A27E17" w14:textId="74B8EA73" w:rsidR="005D44D8" w:rsidRPr="00A11903" w:rsidRDefault="008A012F" w:rsidP="00A11903">
          <w:pPr>
            <w:pStyle w:val="TOC2"/>
            <w:ind w:left="567" w:firstLine="0"/>
            <w:rPr>
              <w:rFonts w:asciiTheme="minorHAnsi" w:eastAsiaTheme="minorEastAsia" w:hAnsiTheme="minorHAnsi"/>
              <w:color w:val="auto"/>
              <w:sz w:val="22"/>
              <w:szCs w:val="22"/>
              <w:lang w:eastAsia="en-AU"/>
            </w:rPr>
          </w:pPr>
          <w:hyperlink w:anchor="_Toc112642098" w:history="1">
            <w:r w:rsidR="005D44D8" w:rsidRPr="00A11903">
              <w:rPr>
                <w:rStyle w:val="Hyperlink"/>
                <w:sz w:val="22"/>
                <w:szCs w:val="22"/>
              </w:rPr>
              <w:t>Regulatory environment</w:t>
            </w:r>
            <w:r w:rsidR="005D44D8" w:rsidRPr="00A11903">
              <w:rPr>
                <w:webHidden/>
                <w:sz w:val="22"/>
                <w:szCs w:val="22"/>
              </w:rPr>
              <w:tab/>
            </w:r>
            <w:r w:rsidR="005D44D8" w:rsidRPr="00A11903">
              <w:rPr>
                <w:webHidden/>
                <w:sz w:val="22"/>
                <w:szCs w:val="22"/>
              </w:rPr>
              <w:fldChar w:fldCharType="begin"/>
            </w:r>
            <w:r w:rsidR="005D44D8" w:rsidRPr="00A11903">
              <w:rPr>
                <w:webHidden/>
                <w:sz w:val="22"/>
                <w:szCs w:val="22"/>
              </w:rPr>
              <w:instrText xml:space="preserve"> PAGEREF _Toc112642098 \h </w:instrText>
            </w:r>
            <w:r w:rsidR="005D44D8" w:rsidRPr="00A11903">
              <w:rPr>
                <w:webHidden/>
                <w:sz w:val="22"/>
                <w:szCs w:val="22"/>
              </w:rPr>
            </w:r>
            <w:r w:rsidR="005D44D8" w:rsidRPr="00A11903">
              <w:rPr>
                <w:webHidden/>
                <w:sz w:val="22"/>
                <w:szCs w:val="22"/>
              </w:rPr>
              <w:fldChar w:fldCharType="separate"/>
            </w:r>
            <w:r w:rsidR="004B515A">
              <w:rPr>
                <w:webHidden/>
                <w:sz w:val="22"/>
                <w:szCs w:val="22"/>
              </w:rPr>
              <w:t>9</w:t>
            </w:r>
            <w:r w:rsidR="005D44D8" w:rsidRPr="00A11903">
              <w:rPr>
                <w:webHidden/>
                <w:sz w:val="22"/>
                <w:szCs w:val="22"/>
              </w:rPr>
              <w:fldChar w:fldCharType="end"/>
            </w:r>
          </w:hyperlink>
        </w:p>
        <w:p w14:paraId="5FCC26E0" w14:textId="2E1EA32E" w:rsidR="005D44D8" w:rsidRPr="00A11903" w:rsidRDefault="008A012F" w:rsidP="00A11903">
          <w:pPr>
            <w:pStyle w:val="TOC2"/>
            <w:ind w:left="567" w:firstLine="0"/>
            <w:rPr>
              <w:rFonts w:asciiTheme="minorHAnsi" w:eastAsiaTheme="minorEastAsia" w:hAnsiTheme="minorHAnsi"/>
              <w:color w:val="auto"/>
              <w:sz w:val="22"/>
              <w:szCs w:val="22"/>
              <w:lang w:eastAsia="en-AU"/>
            </w:rPr>
          </w:pPr>
          <w:hyperlink w:anchor="_Toc112642099" w:history="1">
            <w:r w:rsidR="005D44D8" w:rsidRPr="00A11903">
              <w:rPr>
                <w:rStyle w:val="Hyperlink"/>
                <w:sz w:val="22"/>
                <w:szCs w:val="22"/>
              </w:rPr>
              <w:t>Market pressures</w:t>
            </w:r>
            <w:r w:rsidR="005D44D8" w:rsidRPr="00A11903">
              <w:rPr>
                <w:webHidden/>
                <w:sz w:val="22"/>
                <w:szCs w:val="22"/>
              </w:rPr>
              <w:tab/>
            </w:r>
            <w:r w:rsidR="005D44D8" w:rsidRPr="00A11903">
              <w:rPr>
                <w:webHidden/>
                <w:sz w:val="22"/>
                <w:szCs w:val="22"/>
              </w:rPr>
              <w:fldChar w:fldCharType="begin"/>
            </w:r>
            <w:r w:rsidR="005D44D8" w:rsidRPr="00A11903">
              <w:rPr>
                <w:webHidden/>
                <w:sz w:val="22"/>
                <w:szCs w:val="22"/>
              </w:rPr>
              <w:instrText xml:space="preserve"> PAGEREF _Toc112642099 \h </w:instrText>
            </w:r>
            <w:r w:rsidR="005D44D8" w:rsidRPr="00A11903">
              <w:rPr>
                <w:webHidden/>
                <w:sz w:val="22"/>
                <w:szCs w:val="22"/>
              </w:rPr>
            </w:r>
            <w:r w:rsidR="005D44D8" w:rsidRPr="00A11903">
              <w:rPr>
                <w:webHidden/>
                <w:sz w:val="22"/>
                <w:szCs w:val="22"/>
              </w:rPr>
              <w:fldChar w:fldCharType="separate"/>
            </w:r>
            <w:r w:rsidR="004B515A">
              <w:rPr>
                <w:webHidden/>
                <w:sz w:val="22"/>
                <w:szCs w:val="22"/>
              </w:rPr>
              <w:t>10</w:t>
            </w:r>
            <w:r w:rsidR="005D44D8" w:rsidRPr="00A11903">
              <w:rPr>
                <w:webHidden/>
                <w:sz w:val="22"/>
                <w:szCs w:val="22"/>
              </w:rPr>
              <w:fldChar w:fldCharType="end"/>
            </w:r>
          </w:hyperlink>
        </w:p>
        <w:p w14:paraId="35FC3625" w14:textId="50C47572" w:rsidR="005D44D8" w:rsidRPr="00A11903" w:rsidRDefault="008A012F" w:rsidP="00A11903">
          <w:pPr>
            <w:pStyle w:val="TOC2"/>
            <w:ind w:left="567" w:firstLine="0"/>
            <w:rPr>
              <w:rFonts w:asciiTheme="minorHAnsi" w:eastAsiaTheme="minorEastAsia" w:hAnsiTheme="minorHAnsi"/>
              <w:color w:val="auto"/>
              <w:sz w:val="22"/>
              <w:szCs w:val="22"/>
              <w:lang w:eastAsia="en-AU"/>
            </w:rPr>
          </w:pPr>
          <w:hyperlink w:anchor="_Toc112642100" w:history="1">
            <w:r w:rsidR="005D44D8" w:rsidRPr="00A11903">
              <w:rPr>
                <w:rStyle w:val="Hyperlink"/>
                <w:sz w:val="22"/>
                <w:szCs w:val="22"/>
              </w:rPr>
              <w:t>Technology and innovation</w:t>
            </w:r>
            <w:r w:rsidR="005D44D8" w:rsidRPr="00A11903">
              <w:rPr>
                <w:webHidden/>
                <w:sz w:val="22"/>
                <w:szCs w:val="22"/>
              </w:rPr>
              <w:tab/>
            </w:r>
            <w:r w:rsidR="005D44D8" w:rsidRPr="00A11903">
              <w:rPr>
                <w:webHidden/>
                <w:sz w:val="22"/>
                <w:szCs w:val="22"/>
              </w:rPr>
              <w:fldChar w:fldCharType="begin"/>
            </w:r>
            <w:r w:rsidR="005D44D8" w:rsidRPr="00A11903">
              <w:rPr>
                <w:webHidden/>
                <w:sz w:val="22"/>
                <w:szCs w:val="22"/>
              </w:rPr>
              <w:instrText xml:space="preserve"> PAGEREF _Toc112642100 \h </w:instrText>
            </w:r>
            <w:r w:rsidR="005D44D8" w:rsidRPr="00A11903">
              <w:rPr>
                <w:webHidden/>
                <w:sz w:val="22"/>
                <w:szCs w:val="22"/>
              </w:rPr>
            </w:r>
            <w:r w:rsidR="005D44D8" w:rsidRPr="00A11903">
              <w:rPr>
                <w:webHidden/>
                <w:sz w:val="22"/>
                <w:szCs w:val="22"/>
              </w:rPr>
              <w:fldChar w:fldCharType="separate"/>
            </w:r>
            <w:r w:rsidR="004B515A">
              <w:rPr>
                <w:webHidden/>
                <w:sz w:val="22"/>
                <w:szCs w:val="22"/>
              </w:rPr>
              <w:t>10</w:t>
            </w:r>
            <w:r w:rsidR="005D44D8" w:rsidRPr="00A11903">
              <w:rPr>
                <w:webHidden/>
                <w:sz w:val="22"/>
                <w:szCs w:val="22"/>
              </w:rPr>
              <w:fldChar w:fldCharType="end"/>
            </w:r>
          </w:hyperlink>
        </w:p>
        <w:p w14:paraId="27B5E9F5" w14:textId="27A96CEC" w:rsidR="005D44D8" w:rsidRPr="00A11903" w:rsidRDefault="008A012F" w:rsidP="00A11903">
          <w:pPr>
            <w:pStyle w:val="TOC2"/>
            <w:ind w:left="567" w:firstLine="0"/>
            <w:rPr>
              <w:rFonts w:asciiTheme="minorHAnsi" w:eastAsiaTheme="minorEastAsia" w:hAnsiTheme="minorHAnsi"/>
              <w:color w:val="auto"/>
              <w:sz w:val="22"/>
              <w:szCs w:val="22"/>
              <w:lang w:eastAsia="en-AU"/>
            </w:rPr>
          </w:pPr>
          <w:hyperlink w:anchor="_Toc112642101" w:history="1">
            <w:r w:rsidR="005D44D8" w:rsidRPr="00A11903">
              <w:rPr>
                <w:rStyle w:val="Hyperlink"/>
                <w:sz w:val="22"/>
                <w:szCs w:val="22"/>
              </w:rPr>
              <w:t>Regulating for consumer rights</w:t>
            </w:r>
            <w:r w:rsidR="005D44D8" w:rsidRPr="00A11903">
              <w:rPr>
                <w:webHidden/>
                <w:sz w:val="22"/>
                <w:szCs w:val="22"/>
              </w:rPr>
              <w:tab/>
            </w:r>
            <w:r w:rsidR="005D44D8" w:rsidRPr="00A11903">
              <w:rPr>
                <w:webHidden/>
                <w:sz w:val="22"/>
                <w:szCs w:val="22"/>
              </w:rPr>
              <w:fldChar w:fldCharType="begin"/>
            </w:r>
            <w:r w:rsidR="005D44D8" w:rsidRPr="00A11903">
              <w:rPr>
                <w:webHidden/>
                <w:sz w:val="22"/>
                <w:szCs w:val="22"/>
              </w:rPr>
              <w:instrText xml:space="preserve"> PAGEREF _Toc112642101 \h </w:instrText>
            </w:r>
            <w:r w:rsidR="005D44D8" w:rsidRPr="00A11903">
              <w:rPr>
                <w:webHidden/>
                <w:sz w:val="22"/>
                <w:szCs w:val="22"/>
              </w:rPr>
            </w:r>
            <w:r w:rsidR="005D44D8" w:rsidRPr="00A11903">
              <w:rPr>
                <w:webHidden/>
                <w:sz w:val="22"/>
                <w:szCs w:val="22"/>
              </w:rPr>
              <w:fldChar w:fldCharType="separate"/>
            </w:r>
            <w:r w:rsidR="004B515A">
              <w:rPr>
                <w:webHidden/>
                <w:sz w:val="22"/>
                <w:szCs w:val="22"/>
              </w:rPr>
              <w:t>10</w:t>
            </w:r>
            <w:r w:rsidR="005D44D8" w:rsidRPr="00A11903">
              <w:rPr>
                <w:webHidden/>
                <w:sz w:val="22"/>
                <w:szCs w:val="22"/>
              </w:rPr>
              <w:fldChar w:fldCharType="end"/>
            </w:r>
          </w:hyperlink>
        </w:p>
        <w:p w14:paraId="08DD1E8B" w14:textId="6F0BB1A9" w:rsidR="005D44D8" w:rsidRDefault="008A012F">
          <w:pPr>
            <w:pStyle w:val="TOC1"/>
            <w:rPr>
              <w:rFonts w:asciiTheme="minorHAnsi" w:eastAsiaTheme="minorEastAsia" w:hAnsiTheme="minorHAnsi"/>
              <w:noProof/>
              <w:sz w:val="22"/>
              <w:szCs w:val="22"/>
              <w:lang w:eastAsia="en-AU"/>
            </w:rPr>
          </w:pPr>
          <w:hyperlink w:anchor="_Toc112642102" w:history="1">
            <w:r w:rsidR="005D44D8" w:rsidRPr="004D5C87">
              <w:rPr>
                <w:rStyle w:val="Hyperlink"/>
                <w:noProof/>
              </w:rPr>
              <w:t>Risk management</w:t>
            </w:r>
            <w:r w:rsidR="005D44D8">
              <w:rPr>
                <w:noProof/>
                <w:webHidden/>
              </w:rPr>
              <w:tab/>
            </w:r>
            <w:r w:rsidR="005D44D8">
              <w:rPr>
                <w:noProof/>
                <w:webHidden/>
              </w:rPr>
              <w:fldChar w:fldCharType="begin"/>
            </w:r>
            <w:r w:rsidR="005D44D8">
              <w:rPr>
                <w:noProof/>
                <w:webHidden/>
              </w:rPr>
              <w:instrText xml:space="preserve"> PAGEREF _Toc112642102 \h </w:instrText>
            </w:r>
            <w:r w:rsidR="005D44D8">
              <w:rPr>
                <w:noProof/>
                <w:webHidden/>
              </w:rPr>
            </w:r>
            <w:r w:rsidR="005D44D8">
              <w:rPr>
                <w:noProof/>
                <w:webHidden/>
              </w:rPr>
              <w:fldChar w:fldCharType="separate"/>
            </w:r>
            <w:r w:rsidR="004B515A">
              <w:rPr>
                <w:noProof/>
                <w:webHidden/>
              </w:rPr>
              <w:t>11</w:t>
            </w:r>
            <w:r w:rsidR="005D44D8">
              <w:rPr>
                <w:noProof/>
                <w:webHidden/>
              </w:rPr>
              <w:fldChar w:fldCharType="end"/>
            </w:r>
          </w:hyperlink>
        </w:p>
        <w:p w14:paraId="25E9795D" w14:textId="06ECB9F9" w:rsidR="005D44D8" w:rsidRDefault="008A012F">
          <w:pPr>
            <w:pStyle w:val="TOC1"/>
            <w:rPr>
              <w:rFonts w:asciiTheme="minorHAnsi" w:eastAsiaTheme="minorEastAsia" w:hAnsiTheme="minorHAnsi"/>
              <w:noProof/>
              <w:sz w:val="22"/>
              <w:szCs w:val="22"/>
              <w:lang w:eastAsia="en-AU"/>
            </w:rPr>
          </w:pPr>
          <w:hyperlink w:anchor="_Toc112642103" w:history="1">
            <w:r w:rsidR="005D44D8" w:rsidRPr="004D5C87">
              <w:rPr>
                <w:rStyle w:val="Hyperlink"/>
                <w:noProof/>
              </w:rPr>
              <w:t>Capability</w:t>
            </w:r>
            <w:r w:rsidR="005D44D8">
              <w:rPr>
                <w:noProof/>
                <w:webHidden/>
              </w:rPr>
              <w:tab/>
            </w:r>
            <w:r w:rsidR="005D44D8">
              <w:rPr>
                <w:noProof/>
                <w:webHidden/>
              </w:rPr>
              <w:fldChar w:fldCharType="begin"/>
            </w:r>
            <w:r w:rsidR="005D44D8">
              <w:rPr>
                <w:noProof/>
                <w:webHidden/>
              </w:rPr>
              <w:instrText xml:space="preserve"> PAGEREF _Toc112642103 \h </w:instrText>
            </w:r>
            <w:r w:rsidR="005D44D8">
              <w:rPr>
                <w:noProof/>
                <w:webHidden/>
              </w:rPr>
            </w:r>
            <w:r w:rsidR="005D44D8">
              <w:rPr>
                <w:noProof/>
                <w:webHidden/>
              </w:rPr>
              <w:fldChar w:fldCharType="separate"/>
            </w:r>
            <w:r w:rsidR="004B515A">
              <w:rPr>
                <w:noProof/>
                <w:webHidden/>
              </w:rPr>
              <w:t>13</w:t>
            </w:r>
            <w:r w:rsidR="005D44D8">
              <w:rPr>
                <w:noProof/>
                <w:webHidden/>
              </w:rPr>
              <w:fldChar w:fldCharType="end"/>
            </w:r>
          </w:hyperlink>
        </w:p>
        <w:p w14:paraId="08E1A77A" w14:textId="25F7C6B6" w:rsidR="005D44D8" w:rsidRDefault="008A012F">
          <w:pPr>
            <w:pStyle w:val="TOC1"/>
            <w:rPr>
              <w:rFonts w:asciiTheme="minorHAnsi" w:eastAsiaTheme="minorEastAsia" w:hAnsiTheme="minorHAnsi"/>
              <w:noProof/>
              <w:sz w:val="22"/>
              <w:szCs w:val="22"/>
              <w:lang w:eastAsia="en-AU"/>
            </w:rPr>
          </w:pPr>
          <w:hyperlink w:anchor="_Toc112642104" w:history="1">
            <w:r w:rsidR="005D44D8" w:rsidRPr="004D5C87">
              <w:rPr>
                <w:rStyle w:val="Hyperlink"/>
                <w:noProof/>
              </w:rPr>
              <w:t>Cooperation</w:t>
            </w:r>
            <w:r w:rsidR="005D44D8">
              <w:rPr>
                <w:noProof/>
                <w:webHidden/>
              </w:rPr>
              <w:tab/>
            </w:r>
            <w:r w:rsidR="005D44D8">
              <w:rPr>
                <w:noProof/>
                <w:webHidden/>
              </w:rPr>
              <w:fldChar w:fldCharType="begin"/>
            </w:r>
            <w:r w:rsidR="005D44D8">
              <w:rPr>
                <w:noProof/>
                <w:webHidden/>
              </w:rPr>
              <w:instrText xml:space="preserve"> PAGEREF _Toc112642104 \h </w:instrText>
            </w:r>
            <w:r w:rsidR="005D44D8">
              <w:rPr>
                <w:noProof/>
                <w:webHidden/>
              </w:rPr>
            </w:r>
            <w:r w:rsidR="005D44D8">
              <w:rPr>
                <w:noProof/>
                <w:webHidden/>
              </w:rPr>
              <w:fldChar w:fldCharType="separate"/>
            </w:r>
            <w:r w:rsidR="004B515A">
              <w:rPr>
                <w:noProof/>
                <w:webHidden/>
              </w:rPr>
              <w:t>14</w:t>
            </w:r>
            <w:r w:rsidR="005D44D8">
              <w:rPr>
                <w:noProof/>
                <w:webHidden/>
              </w:rPr>
              <w:fldChar w:fldCharType="end"/>
            </w:r>
          </w:hyperlink>
        </w:p>
        <w:p w14:paraId="53E299C2" w14:textId="6184FF4A" w:rsidR="005D44D8" w:rsidRDefault="008A012F">
          <w:pPr>
            <w:pStyle w:val="TOC1"/>
            <w:rPr>
              <w:rFonts w:asciiTheme="minorHAnsi" w:eastAsiaTheme="minorEastAsia" w:hAnsiTheme="minorHAnsi"/>
              <w:noProof/>
              <w:sz w:val="22"/>
              <w:szCs w:val="22"/>
              <w:lang w:eastAsia="en-AU"/>
            </w:rPr>
          </w:pPr>
          <w:hyperlink w:anchor="_Toc112642105" w:history="1">
            <w:r w:rsidR="005D44D8" w:rsidRPr="004D5C87">
              <w:rPr>
                <w:rStyle w:val="Hyperlink"/>
                <w:noProof/>
              </w:rPr>
              <w:t>Key activities</w:t>
            </w:r>
            <w:r w:rsidR="005D44D8">
              <w:rPr>
                <w:noProof/>
                <w:webHidden/>
              </w:rPr>
              <w:tab/>
            </w:r>
            <w:r w:rsidR="005D44D8">
              <w:rPr>
                <w:noProof/>
                <w:webHidden/>
              </w:rPr>
              <w:fldChar w:fldCharType="begin"/>
            </w:r>
            <w:r w:rsidR="005D44D8">
              <w:rPr>
                <w:noProof/>
                <w:webHidden/>
              </w:rPr>
              <w:instrText xml:space="preserve"> PAGEREF _Toc112642105 \h </w:instrText>
            </w:r>
            <w:r w:rsidR="005D44D8">
              <w:rPr>
                <w:noProof/>
                <w:webHidden/>
              </w:rPr>
            </w:r>
            <w:r w:rsidR="005D44D8">
              <w:rPr>
                <w:noProof/>
                <w:webHidden/>
              </w:rPr>
              <w:fldChar w:fldCharType="separate"/>
            </w:r>
            <w:r w:rsidR="004B515A">
              <w:rPr>
                <w:noProof/>
                <w:webHidden/>
              </w:rPr>
              <w:t>15</w:t>
            </w:r>
            <w:r w:rsidR="005D44D8">
              <w:rPr>
                <w:noProof/>
                <w:webHidden/>
              </w:rPr>
              <w:fldChar w:fldCharType="end"/>
            </w:r>
          </w:hyperlink>
        </w:p>
        <w:p w14:paraId="37318849" w14:textId="068B2AF5" w:rsidR="005D44D8" w:rsidRDefault="008A012F" w:rsidP="00A11903">
          <w:pPr>
            <w:pStyle w:val="TOC2"/>
            <w:ind w:left="567" w:firstLine="0"/>
            <w:rPr>
              <w:rFonts w:asciiTheme="minorHAnsi" w:eastAsiaTheme="minorEastAsia" w:hAnsiTheme="minorHAnsi"/>
              <w:color w:val="auto"/>
              <w:szCs w:val="22"/>
              <w:lang w:eastAsia="en-AU"/>
            </w:rPr>
          </w:pPr>
          <w:hyperlink w:anchor="_Toc112642106" w:history="1">
            <w:r w:rsidR="005D44D8" w:rsidRPr="004D5C87">
              <w:rPr>
                <w:rStyle w:val="Hyperlink"/>
              </w:rPr>
              <w:t>Commissioner’s core functions</w:t>
            </w:r>
            <w:r w:rsidR="005D44D8">
              <w:rPr>
                <w:webHidden/>
              </w:rPr>
              <w:tab/>
            </w:r>
            <w:r w:rsidR="005D44D8">
              <w:rPr>
                <w:webHidden/>
              </w:rPr>
              <w:fldChar w:fldCharType="begin"/>
            </w:r>
            <w:r w:rsidR="005D44D8">
              <w:rPr>
                <w:webHidden/>
              </w:rPr>
              <w:instrText xml:space="preserve"> PAGEREF _Toc112642106 \h </w:instrText>
            </w:r>
            <w:r w:rsidR="005D44D8">
              <w:rPr>
                <w:webHidden/>
              </w:rPr>
            </w:r>
            <w:r w:rsidR="005D44D8">
              <w:rPr>
                <w:webHidden/>
              </w:rPr>
              <w:fldChar w:fldCharType="separate"/>
            </w:r>
            <w:r w:rsidR="004B515A">
              <w:rPr>
                <w:webHidden/>
              </w:rPr>
              <w:t>16</w:t>
            </w:r>
            <w:r w:rsidR="005D44D8">
              <w:rPr>
                <w:webHidden/>
              </w:rPr>
              <w:fldChar w:fldCharType="end"/>
            </w:r>
          </w:hyperlink>
        </w:p>
        <w:p w14:paraId="02462613" w14:textId="0717F340" w:rsidR="005D44D8" w:rsidRDefault="008A012F" w:rsidP="00A11903">
          <w:pPr>
            <w:pStyle w:val="TOC1"/>
            <w:ind w:left="567"/>
            <w:rPr>
              <w:rFonts w:asciiTheme="minorHAnsi" w:eastAsiaTheme="minorEastAsia" w:hAnsiTheme="minorHAnsi"/>
              <w:noProof/>
              <w:sz w:val="22"/>
              <w:szCs w:val="22"/>
              <w:lang w:eastAsia="en-AU"/>
            </w:rPr>
          </w:pPr>
          <w:hyperlink w:anchor="_Toc112642107" w:history="1">
            <w:r w:rsidR="005D44D8" w:rsidRPr="004D5C87">
              <w:rPr>
                <w:rStyle w:val="Hyperlink"/>
                <w:noProof/>
              </w:rPr>
              <w:t>Enduring activities</w:t>
            </w:r>
            <w:r w:rsidR="005D44D8">
              <w:rPr>
                <w:noProof/>
                <w:webHidden/>
              </w:rPr>
              <w:tab/>
            </w:r>
            <w:r w:rsidR="005D44D8">
              <w:rPr>
                <w:noProof/>
                <w:webHidden/>
              </w:rPr>
              <w:fldChar w:fldCharType="begin"/>
            </w:r>
            <w:r w:rsidR="005D44D8">
              <w:rPr>
                <w:noProof/>
                <w:webHidden/>
              </w:rPr>
              <w:instrText xml:space="preserve"> PAGEREF _Toc112642107 \h </w:instrText>
            </w:r>
            <w:r w:rsidR="005D44D8">
              <w:rPr>
                <w:noProof/>
                <w:webHidden/>
              </w:rPr>
            </w:r>
            <w:r w:rsidR="005D44D8">
              <w:rPr>
                <w:noProof/>
                <w:webHidden/>
              </w:rPr>
              <w:fldChar w:fldCharType="separate"/>
            </w:r>
            <w:r w:rsidR="004B515A">
              <w:rPr>
                <w:noProof/>
                <w:webHidden/>
              </w:rPr>
              <w:t>17</w:t>
            </w:r>
            <w:r w:rsidR="005D44D8">
              <w:rPr>
                <w:noProof/>
                <w:webHidden/>
              </w:rPr>
              <w:fldChar w:fldCharType="end"/>
            </w:r>
          </w:hyperlink>
        </w:p>
        <w:p w14:paraId="582F5A4D" w14:textId="4E753E1D" w:rsidR="005D44D8" w:rsidRDefault="008A012F">
          <w:pPr>
            <w:pStyle w:val="TOC1"/>
            <w:rPr>
              <w:rFonts w:asciiTheme="minorHAnsi" w:eastAsiaTheme="minorEastAsia" w:hAnsiTheme="minorHAnsi"/>
              <w:noProof/>
              <w:sz w:val="22"/>
              <w:szCs w:val="22"/>
              <w:lang w:eastAsia="en-AU"/>
            </w:rPr>
          </w:pPr>
          <w:hyperlink w:anchor="_Toc112642108" w:history="1">
            <w:r w:rsidR="005D44D8" w:rsidRPr="004D5C87">
              <w:rPr>
                <w:rStyle w:val="Hyperlink"/>
                <w:noProof/>
              </w:rPr>
              <w:t>Our priorities for 2022–23</w:t>
            </w:r>
            <w:r w:rsidR="005D44D8">
              <w:rPr>
                <w:noProof/>
                <w:webHidden/>
              </w:rPr>
              <w:tab/>
            </w:r>
            <w:r w:rsidR="005D44D8">
              <w:rPr>
                <w:noProof/>
                <w:webHidden/>
              </w:rPr>
              <w:fldChar w:fldCharType="begin"/>
            </w:r>
            <w:r w:rsidR="005D44D8">
              <w:rPr>
                <w:noProof/>
                <w:webHidden/>
              </w:rPr>
              <w:instrText xml:space="preserve"> PAGEREF _Toc112642108 \h </w:instrText>
            </w:r>
            <w:r w:rsidR="005D44D8">
              <w:rPr>
                <w:noProof/>
                <w:webHidden/>
              </w:rPr>
            </w:r>
            <w:r w:rsidR="005D44D8">
              <w:rPr>
                <w:noProof/>
                <w:webHidden/>
              </w:rPr>
              <w:fldChar w:fldCharType="separate"/>
            </w:r>
            <w:r w:rsidR="004B515A">
              <w:rPr>
                <w:noProof/>
                <w:webHidden/>
              </w:rPr>
              <w:t>19</w:t>
            </w:r>
            <w:r w:rsidR="005D44D8">
              <w:rPr>
                <w:noProof/>
                <w:webHidden/>
              </w:rPr>
              <w:fldChar w:fldCharType="end"/>
            </w:r>
          </w:hyperlink>
        </w:p>
        <w:p w14:paraId="2BA82D0B" w14:textId="67EAB46F" w:rsidR="005D44D8" w:rsidRPr="00A11903" w:rsidRDefault="008A012F" w:rsidP="00A11903">
          <w:pPr>
            <w:pStyle w:val="TOC2"/>
            <w:ind w:left="567" w:firstLine="0"/>
            <w:rPr>
              <w:rFonts w:asciiTheme="minorHAnsi" w:eastAsiaTheme="minorEastAsia" w:hAnsiTheme="minorHAnsi"/>
              <w:color w:val="auto"/>
              <w:sz w:val="22"/>
              <w:szCs w:val="22"/>
              <w:lang w:eastAsia="en-AU"/>
            </w:rPr>
          </w:pPr>
          <w:hyperlink w:anchor="_Toc112642109" w:history="1">
            <w:r w:rsidR="005D44D8" w:rsidRPr="00A11903">
              <w:rPr>
                <w:rStyle w:val="Hyperlink"/>
                <w:sz w:val="22"/>
                <w:szCs w:val="22"/>
              </w:rPr>
              <w:t>Quality</w:t>
            </w:r>
            <w:r w:rsidR="005D44D8" w:rsidRPr="00A11903">
              <w:rPr>
                <w:webHidden/>
                <w:sz w:val="22"/>
                <w:szCs w:val="22"/>
              </w:rPr>
              <w:tab/>
            </w:r>
            <w:r w:rsidR="005D44D8" w:rsidRPr="00A11903">
              <w:rPr>
                <w:webHidden/>
                <w:sz w:val="22"/>
                <w:szCs w:val="22"/>
              </w:rPr>
              <w:fldChar w:fldCharType="begin"/>
            </w:r>
            <w:r w:rsidR="005D44D8" w:rsidRPr="00A11903">
              <w:rPr>
                <w:webHidden/>
                <w:sz w:val="22"/>
                <w:szCs w:val="22"/>
              </w:rPr>
              <w:instrText xml:space="preserve"> PAGEREF _Toc112642109 \h </w:instrText>
            </w:r>
            <w:r w:rsidR="005D44D8" w:rsidRPr="00A11903">
              <w:rPr>
                <w:webHidden/>
                <w:sz w:val="22"/>
                <w:szCs w:val="22"/>
              </w:rPr>
            </w:r>
            <w:r w:rsidR="005D44D8" w:rsidRPr="00A11903">
              <w:rPr>
                <w:webHidden/>
                <w:sz w:val="22"/>
                <w:szCs w:val="22"/>
              </w:rPr>
              <w:fldChar w:fldCharType="separate"/>
            </w:r>
            <w:r w:rsidR="004B515A">
              <w:rPr>
                <w:webHidden/>
                <w:sz w:val="22"/>
                <w:szCs w:val="22"/>
              </w:rPr>
              <w:t>19</w:t>
            </w:r>
            <w:r w:rsidR="005D44D8" w:rsidRPr="00A11903">
              <w:rPr>
                <w:webHidden/>
                <w:sz w:val="22"/>
                <w:szCs w:val="22"/>
              </w:rPr>
              <w:fldChar w:fldCharType="end"/>
            </w:r>
          </w:hyperlink>
        </w:p>
        <w:p w14:paraId="6DD4CD25" w14:textId="0278D01D" w:rsidR="005D44D8" w:rsidRPr="00A11903" w:rsidRDefault="008A012F" w:rsidP="00A11903">
          <w:pPr>
            <w:pStyle w:val="TOC2"/>
            <w:ind w:left="567" w:firstLine="0"/>
            <w:rPr>
              <w:rFonts w:asciiTheme="minorHAnsi" w:eastAsiaTheme="minorEastAsia" w:hAnsiTheme="minorHAnsi"/>
              <w:color w:val="auto"/>
              <w:sz w:val="22"/>
              <w:szCs w:val="22"/>
              <w:lang w:eastAsia="en-AU"/>
            </w:rPr>
          </w:pPr>
          <w:hyperlink w:anchor="_Toc112642110" w:history="1">
            <w:r w:rsidR="005D44D8" w:rsidRPr="00A11903">
              <w:rPr>
                <w:rStyle w:val="Hyperlink"/>
                <w:sz w:val="22"/>
                <w:szCs w:val="22"/>
              </w:rPr>
              <w:t>Market engagement and oversight</w:t>
            </w:r>
            <w:r w:rsidR="005D44D8" w:rsidRPr="00A11903">
              <w:rPr>
                <w:webHidden/>
                <w:sz w:val="22"/>
                <w:szCs w:val="22"/>
              </w:rPr>
              <w:tab/>
            </w:r>
            <w:r w:rsidR="005D44D8" w:rsidRPr="00A11903">
              <w:rPr>
                <w:webHidden/>
                <w:sz w:val="22"/>
                <w:szCs w:val="22"/>
              </w:rPr>
              <w:fldChar w:fldCharType="begin"/>
            </w:r>
            <w:r w:rsidR="005D44D8" w:rsidRPr="00A11903">
              <w:rPr>
                <w:webHidden/>
                <w:sz w:val="22"/>
                <w:szCs w:val="22"/>
              </w:rPr>
              <w:instrText xml:space="preserve"> PAGEREF _Toc112642110 \h </w:instrText>
            </w:r>
            <w:r w:rsidR="005D44D8" w:rsidRPr="00A11903">
              <w:rPr>
                <w:webHidden/>
                <w:sz w:val="22"/>
                <w:szCs w:val="22"/>
              </w:rPr>
            </w:r>
            <w:r w:rsidR="005D44D8" w:rsidRPr="00A11903">
              <w:rPr>
                <w:webHidden/>
                <w:sz w:val="22"/>
                <w:szCs w:val="22"/>
              </w:rPr>
              <w:fldChar w:fldCharType="separate"/>
            </w:r>
            <w:r w:rsidR="004B515A">
              <w:rPr>
                <w:webHidden/>
                <w:sz w:val="22"/>
                <w:szCs w:val="22"/>
              </w:rPr>
              <w:t>19</w:t>
            </w:r>
            <w:r w:rsidR="005D44D8" w:rsidRPr="00A11903">
              <w:rPr>
                <w:webHidden/>
                <w:sz w:val="22"/>
                <w:szCs w:val="22"/>
              </w:rPr>
              <w:fldChar w:fldCharType="end"/>
            </w:r>
          </w:hyperlink>
        </w:p>
        <w:p w14:paraId="17CEEF97" w14:textId="4A6C3106" w:rsidR="005D44D8" w:rsidRPr="00A11903" w:rsidRDefault="008A012F" w:rsidP="00A11903">
          <w:pPr>
            <w:pStyle w:val="TOC2"/>
            <w:ind w:left="567" w:firstLine="0"/>
            <w:rPr>
              <w:rFonts w:asciiTheme="minorHAnsi" w:eastAsiaTheme="minorEastAsia" w:hAnsiTheme="minorHAnsi"/>
              <w:color w:val="auto"/>
              <w:sz w:val="22"/>
              <w:szCs w:val="22"/>
              <w:lang w:eastAsia="en-AU"/>
            </w:rPr>
          </w:pPr>
          <w:hyperlink w:anchor="_Toc112642111" w:history="1">
            <w:r w:rsidR="005D44D8" w:rsidRPr="00A11903">
              <w:rPr>
                <w:rStyle w:val="Hyperlink"/>
                <w:sz w:val="22"/>
                <w:szCs w:val="22"/>
              </w:rPr>
              <w:t>Regulatory excellence</w:t>
            </w:r>
            <w:r w:rsidR="005D44D8" w:rsidRPr="00A11903">
              <w:rPr>
                <w:webHidden/>
                <w:sz w:val="22"/>
                <w:szCs w:val="22"/>
              </w:rPr>
              <w:tab/>
            </w:r>
            <w:r w:rsidR="005D44D8" w:rsidRPr="00A11903">
              <w:rPr>
                <w:webHidden/>
                <w:sz w:val="22"/>
                <w:szCs w:val="22"/>
              </w:rPr>
              <w:fldChar w:fldCharType="begin"/>
            </w:r>
            <w:r w:rsidR="005D44D8" w:rsidRPr="00A11903">
              <w:rPr>
                <w:webHidden/>
                <w:sz w:val="22"/>
                <w:szCs w:val="22"/>
              </w:rPr>
              <w:instrText xml:space="preserve"> PAGEREF _Toc112642111 \h </w:instrText>
            </w:r>
            <w:r w:rsidR="005D44D8" w:rsidRPr="00A11903">
              <w:rPr>
                <w:webHidden/>
                <w:sz w:val="22"/>
                <w:szCs w:val="22"/>
              </w:rPr>
            </w:r>
            <w:r w:rsidR="005D44D8" w:rsidRPr="00A11903">
              <w:rPr>
                <w:webHidden/>
                <w:sz w:val="22"/>
                <w:szCs w:val="22"/>
              </w:rPr>
              <w:fldChar w:fldCharType="separate"/>
            </w:r>
            <w:r w:rsidR="004B515A">
              <w:rPr>
                <w:webHidden/>
                <w:sz w:val="22"/>
                <w:szCs w:val="22"/>
              </w:rPr>
              <w:t>19</w:t>
            </w:r>
            <w:r w:rsidR="005D44D8" w:rsidRPr="00A11903">
              <w:rPr>
                <w:webHidden/>
                <w:sz w:val="22"/>
                <w:szCs w:val="22"/>
              </w:rPr>
              <w:fldChar w:fldCharType="end"/>
            </w:r>
          </w:hyperlink>
        </w:p>
        <w:p w14:paraId="78CA441A" w14:textId="568C576B" w:rsidR="005D44D8" w:rsidRPr="00A11903" w:rsidRDefault="008A012F" w:rsidP="00A11903">
          <w:pPr>
            <w:pStyle w:val="TOC2"/>
            <w:ind w:left="567" w:firstLine="0"/>
            <w:rPr>
              <w:rFonts w:asciiTheme="minorHAnsi" w:eastAsiaTheme="minorEastAsia" w:hAnsiTheme="minorHAnsi"/>
              <w:color w:val="auto"/>
              <w:sz w:val="22"/>
              <w:szCs w:val="22"/>
              <w:lang w:eastAsia="en-AU"/>
            </w:rPr>
          </w:pPr>
          <w:hyperlink w:anchor="_Toc112642112" w:history="1">
            <w:r w:rsidR="005D44D8" w:rsidRPr="00A11903">
              <w:rPr>
                <w:rStyle w:val="Hyperlink"/>
                <w:sz w:val="22"/>
                <w:szCs w:val="22"/>
              </w:rPr>
              <w:t>Culture</w:t>
            </w:r>
            <w:r w:rsidR="005D44D8" w:rsidRPr="00A11903">
              <w:rPr>
                <w:webHidden/>
                <w:sz w:val="22"/>
                <w:szCs w:val="22"/>
              </w:rPr>
              <w:tab/>
            </w:r>
            <w:r w:rsidR="005D44D8" w:rsidRPr="00A11903">
              <w:rPr>
                <w:webHidden/>
                <w:sz w:val="22"/>
                <w:szCs w:val="22"/>
              </w:rPr>
              <w:fldChar w:fldCharType="begin"/>
            </w:r>
            <w:r w:rsidR="005D44D8" w:rsidRPr="00A11903">
              <w:rPr>
                <w:webHidden/>
                <w:sz w:val="22"/>
                <w:szCs w:val="22"/>
              </w:rPr>
              <w:instrText xml:space="preserve"> PAGEREF _Toc112642112 \h </w:instrText>
            </w:r>
            <w:r w:rsidR="005D44D8" w:rsidRPr="00A11903">
              <w:rPr>
                <w:webHidden/>
                <w:sz w:val="22"/>
                <w:szCs w:val="22"/>
              </w:rPr>
            </w:r>
            <w:r w:rsidR="005D44D8" w:rsidRPr="00A11903">
              <w:rPr>
                <w:webHidden/>
                <w:sz w:val="22"/>
                <w:szCs w:val="22"/>
              </w:rPr>
              <w:fldChar w:fldCharType="separate"/>
            </w:r>
            <w:r w:rsidR="004B515A">
              <w:rPr>
                <w:webHidden/>
                <w:sz w:val="22"/>
                <w:szCs w:val="22"/>
              </w:rPr>
              <w:t>20</w:t>
            </w:r>
            <w:r w:rsidR="005D44D8" w:rsidRPr="00A11903">
              <w:rPr>
                <w:webHidden/>
                <w:sz w:val="22"/>
                <w:szCs w:val="22"/>
              </w:rPr>
              <w:fldChar w:fldCharType="end"/>
            </w:r>
          </w:hyperlink>
        </w:p>
        <w:p w14:paraId="4D81D61B" w14:textId="3BD0906C" w:rsidR="005D44D8" w:rsidRPr="00A11903" w:rsidRDefault="008A012F" w:rsidP="00A11903">
          <w:pPr>
            <w:pStyle w:val="TOC2"/>
            <w:ind w:left="567" w:firstLine="0"/>
            <w:rPr>
              <w:rFonts w:asciiTheme="minorHAnsi" w:eastAsiaTheme="minorEastAsia" w:hAnsiTheme="minorHAnsi"/>
              <w:color w:val="auto"/>
              <w:sz w:val="22"/>
              <w:szCs w:val="22"/>
              <w:lang w:eastAsia="en-AU"/>
            </w:rPr>
          </w:pPr>
          <w:hyperlink w:anchor="_Toc112642118" w:history="1">
            <w:r w:rsidR="005D44D8" w:rsidRPr="00A11903">
              <w:rPr>
                <w:rStyle w:val="Hyperlink"/>
                <w:sz w:val="22"/>
                <w:szCs w:val="22"/>
              </w:rPr>
              <w:t>Workforce capability</w:t>
            </w:r>
            <w:r w:rsidR="005D44D8" w:rsidRPr="00A11903">
              <w:rPr>
                <w:webHidden/>
                <w:sz w:val="22"/>
                <w:szCs w:val="22"/>
              </w:rPr>
              <w:tab/>
            </w:r>
            <w:r w:rsidR="005D44D8" w:rsidRPr="00A11903">
              <w:rPr>
                <w:webHidden/>
                <w:sz w:val="22"/>
                <w:szCs w:val="22"/>
              </w:rPr>
              <w:fldChar w:fldCharType="begin"/>
            </w:r>
            <w:r w:rsidR="005D44D8" w:rsidRPr="00A11903">
              <w:rPr>
                <w:webHidden/>
                <w:sz w:val="22"/>
                <w:szCs w:val="22"/>
              </w:rPr>
              <w:instrText xml:space="preserve"> PAGEREF _Toc112642118 \h </w:instrText>
            </w:r>
            <w:r w:rsidR="005D44D8" w:rsidRPr="00A11903">
              <w:rPr>
                <w:webHidden/>
                <w:sz w:val="22"/>
                <w:szCs w:val="22"/>
              </w:rPr>
            </w:r>
            <w:r w:rsidR="005D44D8" w:rsidRPr="00A11903">
              <w:rPr>
                <w:webHidden/>
                <w:sz w:val="22"/>
                <w:szCs w:val="22"/>
              </w:rPr>
              <w:fldChar w:fldCharType="separate"/>
            </w:r>
            <w:r w:rsidR="004B515A">
              <w:rPr>
                <w:webHidden/>
                <w:sz w:val="22"/>
                <w:szCs w:val="22"/>
              </w:rPr>
              <w:t>21</w:t>
            </w:r>
            <w:r w:rsidR="005D44D8" w:rsidRPr="00A11903">
              <w:rPr>
                <w:webHidden/>
                <w:sz w:val="22"/>
                <w:szCs w:val="22"/>
              </w:rPr>
              <w:fldChar w:fldCharType="end"/>
            </w:r>
          </w:hyperlink>
        </w:p>
        <w:p w14:paraId="08FF98C9" w14:textId="23EF0BFE" w:rsidR="005D44D8" w:rsidRDefault="008A012F">
          <w:pPr>
            <w:pStyle w:val="TOC1"/>
            <w:rPr>
              <w:rFonts w:asciiTheme="minorHAnsi" w:eastAsiaTheme="minorEastAsia" w:hAnsiTheme="minorHAnsi"/>
              <w:noProof/>
              <w:sz w:val="22"/>
              <w:szCs w:val="22"/>
              <w:lang w:eastAsia="en-AU"/>
            </w:rPr>
          </w:pPr>
          <w:hyperlink w:anchor="_Toc112642119" w:history="1">
            <w:r w:rsidR="005D44D8" w:rsidRPr="004D5C87">
              <w:rPr>
                <w:rStyle w:val="Hyperlink"/>
                <w:noProof/>
              </w:rPr>
              <w:t>Performance metrics</w:t>
            </w:r>
            <w:r w:rsidR="005D44D8">
              <w:rPr>
                <w:noProof/>
                <w:webHidden/>
              </w:rPr>
              <w:tab/>
            </w:r>
            <w:r w:rsidR="005D44D8">
              <w:rPr>
                <w:noProof/>
                <w:webHidden/>
              </w:rPr>
              <w:fldChar w:fldCharType="begin"/>
            </w:r>
            <w:r w:rsidR="005D44D8">
              <w:rPr>
                <w:noProof/>
                <w:webHidden/>
              </w:rPr>
              <w:instrText xml:space="preserve"> PAGEREF _Toc112642119 \h </w:instrText>
            </w:r>
            <w:r w:rsidR="005D44D8">
              <w:rPr>
                <w:noProof/>
                <w:webHidden/>
              </w:rPr>
            </w:r>
            <w:r w:rsidR="005D44D8">
              <w:rPr>
                <w:noProof/>
                <w:webHidden/>
              </w:rPr>
              <w:fldChar w:fldCharType="separate"/>
            </w:r>
            <w:r w:rsidR="004B515A">
              <w:rPr>
                <w:noProof/>
                <w:webHidden/>
              </w:rPr>
              <w:t>22</w:t>
            </w:r>
            <w:r w:rsidR="005D44D8">
              <w:rPr>
                <w:noProof/>
                <w:webHidden/>
              </w:rPr>
              <w:fldChar w:fldCharType="end"/>
            </w:r>
          </w:hyperlink>
        </w:p>
        <w:p w14:paraId="48954E8B" w14:textId="6E15BD81" w:rsidR="005D44D8" w:rsidRDefault="008A012F">
          <w:pPr>
            <w:pStyle w:val="TOC1"/>
            <w:rPr>
              <w:rFonts w:asciiTheme="minorHAnsi" w:eastAsiaTheme="minorEastAsia" w:hAnsiTheme="minorHAnsi"/>
              <w:noProof/>
              <w:sz w:val="22"/>
              <w:szCs w:val="22"/>
              <w:lang w:eastAsia="en-AU"/>
            </w:rPr>
          </w:pPr>
          <w:hyperlink w:anchor="_Toc112642133" w:history="1">
            <w:r w:rsidR="005D44D8" w:rsidRPr="004D5C87">
              <w:rPr>
                <w:rStyle w:val="Hyperlink"/>
                <w:noProof/>
              </w:rPr>
              <w:t>Appendix A: Com</w:t>
            </w:r>
            <w:r w:rsidR="005D44D8">
              <w:rPr>
                <w:rStyle w:val="Hyperlink"/>
                <w:noProof/>
              </w:rPr>
              <w:t>monwealth Performance Framework</w:t>
            </w:r>
            <w:r w:rsidR="005D44D8">
              <w:rPr>
                <w:noProof/>
                <w:webHidden/>
              </w:rPr>
              <w:tab/>
            </w:r>
            <w:r w:rsidR="005D44D8">
              <w:rPr>
                <w:noProof/>
                <w:webHidden/>
              </w:rPr>
              <w:fldChar w:fldCharType="begin"/>
            </w:r>
            <w:r w:rsidR="005D44D8">
              <w:rPr>
                <w:noProof/>
                <w:webHidden/>
              </w:rPr>
              <w:instrText xml:space="preserve"> PAGEREF _Toc112642133 \h </w:instrText>
            </w:r>
            <w:r w:rsidR="005D44D8">
              <w:rPr>
                <w:noProof/>
                <w:webHidden/>
              </w:rPr>
            </w:r>
            <w:r w:rsidR="005D44D8">
              <w:rPr>
                <w:noProof/>
                <w:webHidden/>
              </w:rPr>
              <w:fldChar w:fldCharType="separate"/>
            </w:r>
            <w:r w:rsidR="004B515A">
              <w:rPr>
                <w:noProof/>
                <w:webHidden/>
              </w:rPr>
              <w:t>28</w:t>
            </w:r>
            <w:r w:rsidR="005D44D8">
              <w:rPr>
                <w:noProof/>
                <w:webHidden/>
              </w:rPr>
              <w:fldChar w:fldCharType="end"/>
            </w:r>
          </w:hyperlink>
        </w:p>
        <w:p w14:paraId="3C4D3E8F" w14:textId="3DD648A7" w:rsidR="005D44D8" w:rsidRDefault="008A012F">
          <w:pPr>
            <w:pStyle w:val="TOC1"/>
            <w:rPr>
              <w:rFonts w:asciiTheme="minorHAnsi" w:eastAsiaTheme="minorEastAsia" w:hAnsiTheme="minorHAnsi"/>
              <w:noProof/>
              <w:sz w:val="22"/>
              <w:szCs w:val="22"/>
              <w:lang w:eastAsia="en-AU"/>
            </w:rPr>
          </w:pPr>
          <w:hyperlink w:anchor="_Toc112642145" w:history="1">
            <w:r w:rsidR="005D44D8" w:rsidRPr="004D5C87">
              <w:rPr>
                <w:rStyle w:val="Hyperlink"/>
                <w:noProof/>
              </w:rPr>
              <w:t>Appendix B: Commissioner’s core functions</w:t>
            </w:r>
            <w:r w:rsidR="005D44D8">
              <w:rPr>
                <w:noProof/>
                <w:webHidden/>
              </w:rPr>
              <w:tab/>
            </w:r>
            <w:r w:rsidR="005D44D8">
              <w:rPr>
                <w:noProof/>
                <w:webHidden/>
              </w:rPr>
              <w:fldChar w:fldCharType="begin"/>
            </w:r>
            <w:r w:rsidR="005D44D8">
              <w:rPr>
                <w:noProof/>
                <w:webHidden/>
              </w:rPr>
              <w:instrText xml:space="preserve"> PAGEREF _Toc112642145 \h </w:instrText>
            </w:r>
            <w:r w:rsidR="005D44D8">
              <w:rPr>
                <w:noProof/>
                <w:webHidden/>
              </w:rPr>
            </w:r>
            <w:r w:rsidR="005D44D8">
              <w:rPr>
                <w:noProof/>
                <w:webHidden/>
              </w:rPr>
              <w:fldChar w:fldCharType="separate"/>
            </w:r>
            <w:r w:rsidR="004B515A">
              <w:rPr>
                <w:noProof/>
                <w:webHidden/>
              </w:rPr>
              <w:t>30</w:t>
            </w:r>
            <w:r w:rsidR="005D44D8">
              <w:rPr>
                <w:noProof/>
                <w:webHidden/>
              </w:rPr>
              <w:fldChar w:fldCharType="end"/>
            </w:r>
          </w:hyperlink>
        </w:p>
        <w:p w14:paraId="7A65D0A2" w14:textId="0DAEEA3E" w:rsidR="005D44D8" w:rsidRDefault="008A012F">
          <w:pPr>
            <w:pStyle w:val="TOC1"/>
            <w:rPr>
              <w:rFonts w:asciiTheme="minorHAnsi" w:eastAsiaTheme="minorEastAsia" w:hAnsiTheme="minorHAnsi"/>
              <w:noProof/>
              <w:sz w:val="22"/>
              <w:szCs w:val="22"/>
              <w:lang w:eastAsia="en-AU"/>
            </w:rPr>
          </w:pPr>
          <w:hyperlink w:anchor="_Toc112642146" w:history="1">
            <w:r w:rsidR="005D44D8" w:rsidRPr="004D5C87">
              <w:rPr>
                <w:rStyle w:val="Hyperlink"/>
                <w:noProof/>
              </w:rPr>
              <w:t xml:space="preserve">Appendix C: Our regulatory </w:t>
            </w:r>
            <w:r w:rsidR="005D44D8" w:rsidRPr="00E26C0E">
              <w:rPr>
                <w:rStyle w:val="Hyperlink"/>
                <w:noProof/>
              </w:rPr>
              <w:t>app</w:t>
            </w:r>
            <w:r w:rsidR="007F5D31" w:rsidRPr="00E26C0E">
              <w:rPr>
                <w:rStyle w:val="Hyperlink"/>
                <w:noProof/>
              </w:rPr>
              <w:t>r</w:t>
            </w:r>
            <w:r w:rsidR="005D44D8" w:rsidRPr="00E26C0E">
              <w:rPr>
                <w:rStyle w:val="Hyperlink"/>
                <w:noProof/>
              </w:rPr>
              <w:t>oach</w:t>
            </w:r>
            <w:r w:rsidR="005D44D8">
              <w:rPr>
                <w:noProof/>
                <w:webHidden/>
              </w:rPr>
              <w:tab/>
            </w:r>
            <w:r w:rsidR="005D44D8">
              <w:rPr>
                <w:noProof/>
                <w:webHidden/>
              </w:rPr>
              <w:fldChar w:fldCharType="begin"/>
            </w:r>
            <w:r w:rsidR="005D44D8">
              <w:rPr>
                <w:noProof/>
                <w:webHidden/>
              </w:rPr>
              <w:instrText xml:space="preserve"> PAGEREF _Toc112642146 \h </w:instrText>
            </w:r>
            <w:r w:rsidR="005D44D8">
              <w:rPr>
                <w:noProof/>
                <w:webHidden/>
              </w:rPr>
            </w:r>
            <w:r w:rsidR="005D44D8">
              <w:rPr>
                <w:noProof/>
                <w:webHidden/>
              </w:rPr>
              <w:fldChar w:fldCharType="separate"/>
            </w:r>
            <w:r w:rsidR="004B515A">
              <w:rPr>
                <w:noProof/>
                <w:webHidden/>
              </w:rPr>
              <w:t>31</w:t>
            </w:r>
            <w:r w:rsidR="005D44D8">
              <w:rPr>
                <w:noProof/>
                <w:webHidden/>
              </w:rPr>
              <w:fldChar w:fldCharType="end"/>
            </w:r>
          </w:hyperlink>
        </w:p>
        <w:p w14:paraId="2F01CB24" w14:textId="2B2F44AF" w:rsidR="005D44D8" w:rsidRDefault="008A012F">
          <w:pPr>
            <w:pStyle w:val="TOC1"/>
            <w:rPr>
              <w:rFonts w:asciiTheme="minorHAnsi" w:eastAsiaTheme="minorEastAsia" w:hAnsiTheme="minorHAnsi"/>
              <w:noProof/>
              <w:sz w:val="22"/>
              <w:szCs w:val="22"/>
              <w:lang w:eastAsia="en-AU"/>
            </w:rPr>
          </w:pPr>
          <w:hyperlink w:anchor="_Toc112642147" w:history="1">
            <w:r w:rsidR="005D44D8" w:rsidRPr="004D5C87">
              <w:rPr>
                <w:rStyle w:val="Hyperlink"/>
                <w:noProof/>
              </w:rPr>
              <w:t>Appendix D: Compliance</w:t>
            </w:r>
            <w:r w:rsidR="005D44D8">
              <w:rPr>
                <w:noProof/>
                <w:webHidden/>
              </w:rPr>
              <w:tab/>
            </w:r>
            <w:r w:rsidR="005D44D8">
              <w:rPr>
                <w:noProof/>
                <w:webHidden/>
              </w:rPr>
              <w:fldChar w:fldCharType="begin"/>
            </w:r>
            <w:r w:rsidR="005D44D8">
              <w:rPr>
                <w:noProof/>
                <w:webHidden/>
              </w:rPr>
              <w:instrText xml:space="preserve"> PAGEREF _Toc112642147 \h </w:instrText>
            </w:r>
            <w:r w:rsidR="005D44D8">
              <w:rPr>
                <w:noProof/>
                <w:webHidden/>
              </w:rPr>
            </w:r>
            <w:r w:rsidR="005D44D8">
              <w:rPr>
                <w:noProof/>
                <w:webHidden/>
              </w:rPr>
              <w:fldChar w:fldCharType="separate"/>
            </w:r>
            <w:r w:rsidR="004B515A">
              <w:rPr>
                <w:noProof/>
                <w:webHidden/>
              </w:rPr>
              <w:t>32</w:t>
            </w:r>
            <w:r w:rsidR="005D44D8">
              <w:rPr>
                <w:noProof/>
                <w:webHidden/>
              </w:rPr>
              <w:fldChar w:fldCharType="end"/>
            </w:r>
          </w:hyperlink>
        </w:p>
        <w:p w14:paraId="087DE100" w14:textId="4D2C2DCB" w:rsidR="00875A29" w:rsidRPr="005D44D8" w:rsidRDefault="008A012F" w:rsidP="005D44D8">
          <w:pPr>
            <w:pStyle w:val="TOC1"/>
            <w:rPr>
              <w:rFonts w:asciiTheme="minorHAnsi" w:eastAsiaTheme="minorEastAsia" w:hAnsiTheme="minorHAnsi"/>
              <w:noProof/>
              <w:sz w:val="22"/>
              <w:szCs w:val="22"/>
              <w:lang w:eastAsia="en-AU"/>
            </w:rPr>
          </w:pPr>
          <w:hyperlink w:anchor="_Toc112642148" w:history="1">
            <w:r w:rsidR="005D44D8" w:rsidRPr="004D5C87">
              <w:rPr>
                <w:rStyle w:val="Hyperlink"/>
                <w:noProof/>
              </w:rPr>
              <w:t>Glossary</w:t>
            </w:r>
            <w:r w:rsidR="005D44D8">
              <w:rPr>
                <w:noProof/>
                <w:webHidden/>
              </w:rPr>
              <w:tab/>
            </w:r>
            <w:r w:rsidR="005D44D8">
              <w:rPr>
                <w:noProof/>
                <w:webHidden/>
              </w:rPr>
              <w:fldChar w:fldCharType="begin"/>
            </w:r>
            <w:r w:rsidR="005D44D8">
              <w:rPr>
                <w:noProof/>
                <w:webHidden/>
              </w:rPr>
              <w:instrText xml:space="preserve"> PAGEREF _Toc112642148 \h </w:instrText>
            </w:r>
            <w:r w:rsidR="005D44D8">
              <w:rPr>
                <w:noProof/>
                <w:webHidden/>
              </w:rPr>
            </w:r>
            <w:r w:rsidR="005D44D8">
              <w:rPr>
                <w:noProof/>
                <w:webHidden/>
              </w:rPr>
              <w:fldChar w:fldCharType="separate"/>
            </w:r>
            <w:r w:rsidR="004B515A">
              <w:rPr>
                <w:noProof/>
                <w:webHidden/>
              </w:rPr>
              <w:t>33</w:t>
            </w:r>
            <w:r w:rsidR="005D44D8">
              <w:rPr>
                <w:noProof/>
                <w:webHidden/>
              </w:rPr>
              <w:fldChar w:fldCharType="end"/>
            </w:r>
          </w:hyperlink>
          <w:r w:rsidR="00875A29">
            <w:rPr>
              <w:b/>
              <w:bCs/>
              <w:noProof/>
            </w:rPr>
            <w:fldChar w:fldCharType="end"/>
          </w:r>
        </w:p>
      </w:sdtContent>
    </w:sdt>
    <w:p w14:paraId="602D8395" w14:textId="77777777" w:rsidR="007D6085" w:rsidRDefault="007D6085" w:rsidP="007D6085">
      <w:pPr>
        <w:suppressAutoHyphens w:val="0"/>
        <w:spacing w:before="120" w:after="120" w:line="240" w:lineRule="auto"/>
      </w:pPr>
      <w:r>
        <w:br w:type="page"/>
      </w:r>
    </w:p>
    <w:p w14:paraId="4D1DC903" w14:textId="77777777" w:rsidR="007D6085" w:rsidRDefault="007D6085" w:rsidP="007D6085">
      <w:pPr>
        <w:pStyle w:val="Heading1"/>
      </w:pPr>
      <w:bookmarkStart w:id="9" w:name="_Toc112642084"/>
      <w:r>
        <w:lastRenderedPageBreak/>
        <w:t>Corporate Plan 2022–23</w:t>
      </w:r>
      <w:bookmarkEnd w:id="9"/>
    </w:p>
    <w:p w14:paraId="0AB568C9" w14:textId="77777777" w:rsidR="007D6085" w:rsidRDefault="007D6085" w:rsidP="007D6085">
      <w:pPr>
        <w:pStyle w:val="Heading2"/>
      </w:pPr>
      <w:bookmarkStart w:id="10" w:name="_Toc112641890"/>
      <w:bookmarkStart w:id="11" w:name="_Toc112642085"/>
      <w:r>
        <w:t>Our vision</w:t>
      </w:r>
      <w:bookmarkEnd w:id="10"/>
      <w:bookmarkEnd w:id="11"/>
    </w:p>
    <w:p w14:paraId="6C81A1B0" w14:textId="77777777" w:rsidR="007D6085" w:rsidRDefault="007D6085" w:rsidP="007D6085">
      <w:pPr>
        <w:suppressAutoHyphens w:val="0"/>
        <w:spacing w:before="120" w:after="120" w:line="240" w:lineRule="auto"/>
      </w:pPr>
      <w:r>
        <w:t>People with disability achieve their aspirations</w:t>
      </w:r>
    </w:p>
    <w:p w14:paraId="4424BF65" w14:textId="77777777" w:rsidR="007D6085" w:rsidRDefault="007D6085" w:rsidP="007D6085">
      <w:pPr>
        <w:pStyle w:val="Heading2"/>
      </w:pPr>
      <w:bookmarkStart w:id="12" w:name="_Our_purpose"/>
      <w:bookmarkStart w:id="13" w:name="_Toc112641891"/>
      <w:bookmarkStart w:id="14" w:name="_Toc112642086"/>
      <w:bookmarkEnd w:id="12"/>
      <w:r>
        <w:t>Our purpose</w:t>
      </w:r>
      <w:bookmarkEnd w:id="13"/>
      <w:bookmarkEnd w:id="14"/>
    </w:p>
    <w:p w14:paraId="50CF533E" w14:textId="77777777" w:rsidR="007D6085" w:rsidRDefault="007D6085" w:rsidP="007D6085">
      <w:pPr>
        <w:suppressAutoHyphens w:val="0"/>
        <w:spacing w:before="120" w:after="120" w:line="240" w:lineRule="auto"/>
      </w:pPr>
      <w:r>
        <w:t>To uphold the rights of NDIS participants, to elevate quality and safety and enable consumer independence</w:t>
      </w:r>
    </w:p>
    <w:p w14:paraId="3CB94B4A" w14:textId="2A03ADC4" w:rsidR="007D6085" w:rsidRDefault="007D6085" w:rsidP="007D6085">
      <w:pPr>
        <w:pStyle w:val="Heading2"/>
      </w:pPr>
      <w:bookmarkStart w:id="15" w:name="_Toc112641892"/>
      <w:bookmarkStart w:id="16" w:name="_Toc112642087"/>
      <w:r>
        <w:t xml:space="preserve">Our </w:t>
      </w:r>
      <w:r w:rsidR="00E26C0E">
        <w:t>impact</w:t>
      </w:r>
      <w:r>
        <w:t xml:space="preserve"> areas</w:t>
      </w:r>
      <w:bookmarkEnd w:id="15"/>
      <w:bookmarkEnd w:id="16"/>
    </w:p>
    <w:p w14:paraId="2B8A2097" w14:textId="77777777" w:rsidR="007D6085" w:rsidRDefault="007D6085" w:rsidP="00F17759">
      <w:pPr>
        <w:pStyle w:val="Bullet1"/>
        <w:spacing w:before="120" w:after="120" w:line="240" w:lineRule="auto"/>
      </w:pPr>
      <w:r>
        <w:t>Rights of people with disability</w:t>
      </w:r>
    </w:p>
    <w:p w14:paraId="6D10F800" w14:textId="77777777" w:rsidR="007D6085" w:rsidRDefault="007D6085" w:rsidP="00F17759">
      <w:pPr>
        <w:pStyle w:val="Bullet1"/>
        <w:spacing w:before="120" w:after="120" w:line="240" w:lineRule="auto"/>
      </w:pPr>
      <w:r>
        <w:t>Quality providers and workers</w:t>
      </w:r>
    </w:p>
    <w:p w14:paraId="3F070C37" w14:textId="77777777" w:rsidR="007D6085" w:rsidRDefault="007D6085" w:rsidP="00F17759">
      <w:pPr>
        <w:pStyle w:val="Bullet1"/>
        <w:spacing w:before="120" w:after="120" w:line="240" w:lineRule="auto"/>
      </w:pPr>
      <w:r>
        <w:t>Thriving, diverse markets</w:t>
      </w:r>
    </w:p>
    <w:p w14:paraId="0C6C6955" w14:textId="77777777" w:rsidR="007D6085" w:rsidRDefault="007D6085" w:rsidP="007D6085">
      <w:pPr>
        <w:pStyle w:val="Heading2"/>
      </w:pPr>
      <w:bookmarkStart w:id="17" w:name="_Toc112641893"/>
      <w:bookmarkStart w:id="18" w:name="_Toc112642088"/>
      <w:r>
        <w:t>Our priorities</w:t>
      </w:r>
      <w:bookmarkEnd w:id="17"/>
      <w:bookmarkEnd w:id="18"/>
    </w:p>
    <w:p w14:paraId="3611A311" w14:textId="77777777" w:rsidR="007D6085" w:rsidRPr="00BC04F0" w:rsidRDefault="007D6085" w:rsidP="007D6085">
      <w:pPr>
        <w:pStyle w:val="Heading3"/>
      </w:pPr>
      <w:bookmarkStart w:id="19" w:name="_Toc112641894"/>
      <w:bookmarkStart w:id="20" w:name="_Toc112642089"/>
      <w:r w:rsidRPr="00BC04F0">
        <w:t>Quality</w:t>
      </w:r>
      <w:bookmarkEnd w:id="19"/>
      <w:bookmarkEnd w:id="20"/>
    </w:p>
    <w:p w14:paraId="5DA99E10" w14:textId="77777777" w:rsidR="007D6085" w:rsidRDefault="007D6085" w:rsidP="007D6085">
      <w:pPr>
        <w:suppressAutoHyphens w:val="0"/>
        <w:spacing w:before="120" w:after="120" w:line="240" w:lineRule="auto"/>
      </w:pPr>
      <w:r>
        <w:t>We confidently engage with NDIS participants to evaluate providers, building trust through robust and adaptive processes.</w:t>
      </w:r>
    </w:p>
    <w:p w14:paraId="4F21B250" w14:textId="77777777" w:rsidR="007D6085" w:rsidRDefault="007D6085" w:rsidP="007D6085">
      <w:pPr>
        <w:pStyle w:val="Heading3"/>
      </w:pPr>
      <w:bookmarkStart w:id="21" w:name="_Toc112641895"/>
      <w:bookmarkStart w:id="22" w:name="_Toc112642090"/>
      <w:r>
        <w:t>Market engagement and oversight</w:t>
      </w:r>
      <w:bookmarkEnd w:id="21"/>
      <w:bookmarkEnd w:id="22"/>
    </w:p>
    <w:p w14:paraId="5AC2937C" w14:textId="77777777" w:rsidR="007D6085" w:rsidRDefault="007D6085" w:rsidP="007D6085">
      <w:pPr>
        <w:suppressAutoHyphens w:val="0"/>
        <w:spacing w:before="120" w:after="120" w:line="240" w:lineRule="auto"/>
      </w:pPr>
      <w:r>
        <w:t>We offer NDIS participants informed choice and consumer independence with regulatory frameworks that promote quality and safety and remove obstacles to access.</w:t>
      </w:r>
    </w:p>
    <w:p w14:paraId="75A0CF84" w14:textId="77777777" w:rsidR="007D6085" w:rsidRDefault="007D6085" w:rsidP="007D6085">
      <w:pPr>
        <w:pStyle w:val="Heading3"/>
      </w:pPr>
      <w:bookmarkStart w:id="23" w:name="_Toc112641896"/>
      <w:bookmarkStart w:id="24" w:name="_Toc112642091"/>
      <w:r>
        <w:t>Regulatory excellence</w:t>
      </w:r>
      <w:bookmarkEnd w:id="23"/>
      <w:bookmarkEnd w:id="24"/>
    </w:p>
    <w:p w14:paraId="3545E221" w14:textId="77777777" w:rsidR="007D6085" w:rsidRDefault="007D6085" w:rsidP="007D6085">
      <w:pPr>
        <w:suppressAutoHyphens w:val="0"/>
        <w:spacing w:before="120" w:after="120" w:line="240" w:lineRule="auto"/>
      </w:pPr>
      <w:r w:rsidRPr="00F15993">
        <w:t>A proactive, risk-based and data-driven approach to regulation that delivers ongoing improvements to service provider capability, quality and participant safety.</w:t>
      </w:r>
    </w:p>
    <w:p w14:paraId="5500EA79" w14:textId="77777777" w:rsidR="007D6085" w:rsidRDefault="007D6085" w:rsidP="007D6085">
      <w:pPr>
        <w:pStyle w:val="Heading3"/>
      </w:pPr>
      <w:bookmarkStart w:id="25" w:name="_Toc112641897"/>
      <w:bookmarkStart w:id="26" w:name="_Toc112642092"/>
      <w:r>
        <w:t>Culture</w:t>
      </w:r>
      <w:bookmarkEnd w:id="25"/>
      <w:bookmarkEnd w:id="26"/>
    </w:p>
    <w:p w14:paraId="1F2FFFAC" w14:textId="77777777" w:rsidR="007D6085" w:rsidRDefault="007D6085" w:rsidP="007D6085">
      <w:pPr>
        <w:suppressAutoHyphens w:val="0"/>
        <w:spacing w:before="120" w:after="120" w:line="240" w:lineRule="auto"/>
      </w:pPr>
      <w:r>
        <w:t>We have a clear and unified understanding of our purpose, powers, priorities and impact and are seen as a connected, informed, accessible and influential regulator.</w:t>
      </w:r>
    </w:p>
    <w:p w14:paraId="0F70298D" w14:textId="77777777" w:rsidR="007D6085" w:rsidRDefault="007D6085" w:rsidP="007D6085">
      <w:pPr>
        <w:pStyle w:val="Heading3"/>
      </w:pPr>
      <w:bookmarkStart w:id="27" w:name="_Toc112641898"/>
      <w:bookmarkStart w:id="28" w:name="_Toc112642093"/>
      <w:r>
        <w:t>Workforce capability</w:t>
      </w:r>
      <w:bookmarkEnd w:id="27"/>
      <w:bookmarkEnd w:id="28"/>
    </w:p>
    <w:p w14:paraId="5CF6C550" w14:textId="77777777" w:rsidR="007D6085" w:rsidRDefault="007D6085" w:rsidP="007D6085">
      <w:pPr>
        <w:suppressAutoHyphens w:val="0"/>
        <w:spacing w:before="120" w:after="120" w:line="240" w:lineRule="auto"/>
      </w:pPr>
      <w:r>
        <w:t xml:space="preserve">Our strong leadership, commitment to continuous improvement and ongoing learning empowers our workforce to confidently apply regulatory powers for measurable impact. </w:t>
      </w:r>
    </w:p>
    <w:p w14:paraId="01FC65A8" w14:textId="77777777" w:rsidR="007D6085" w:rsidRDefault="007D6085" w:rsidP="007D6085">
      <w:pPr>
        <w:pStyle w:val="Heading2"/>
      </w:pPr>
      <w:bookmarkStart w:id="29" w:name="_Toc112641899"/>
      <w:bookmarkStart w:id="30" w:name="_Toc112642094"/>
      <w:r>
        <w:lastRenderedPageBreak/>
        <w:t>Key deliverables</w:t>
      </w:r>
      <w:bookmarkEnd w:id="29"/>
      <w:bookmarkEnd w:id="30"/>
    </w:p>
    <w:p w14:paraId="4AD49E78" w14:textId="77777777" w:rsidR="007D6085" w:rsidRDefault="007D6085" w:rsidP="007D6085">
      <w:pPr>
        <w:suppressAutoHyphens w:val="0"/>
        <w:spacing w:before="120" w:after="120" w:line="240" w:lineRule="auto"/>
      </w:pPr>
      <w:r>
        <w:t>Over the next 12 months, we will scope or develop the following key activities, whilst delivering the core functions of the NDIS Commission.</w:t>
      </w:r>
    </w:p>
    <w:p w14:paraId="59D04387" w14:textId="77777777" w:rsidR="007D6085" w:rsidRDefault="007D6085" w:rsidP="00246A7B">
      <w:pPr>
        <w:pStyle w:val="Bullet1"/>
        <w:spacing w:before="120" w:after="0" w:line="240" w:lineRule="auto"/>
      </w:pPr>
      <w:r w:rsidRPr="00F15993">
        <w:t>Regulatory strategy</w:t>
      </w:r>
    </w:p>
    <w:p w14:paraId="25BB6C09" w14:textId="77777777" w:rsidR="007D6085" w:rsidRDefault="007D6085" w:rsidP="00246A7B">
      <w:pPr>
        <w:pStyle w:val="Bullet1"/>
        <w:spacing w:before="120" w:after="0" w:line="240" w:lineRule="auto"/>
      </w:pPr>
      <w:r>
        <w:t>Quality roadmap</w:t>
      </w:r>
    </w:p>
    <w:p w14:paraId="222C4E84" w14:textId="77777777" w:rsidR="007D6085" w:rsidRDefault="007D6085" w:rsidP="00246A7B">
      <w:pPr>
        <w:pStyle w:val="Bullet1"/>
        <w:spacing w:before="120" w:after="0" w:line="240" w:lineRule="auto"/>
      </w:pPr>
      <w:r>
        <w:t>Market scoping and oversight activities</w:t>
      </w:r>
    </w:p>
    <w:p w14:paraId="18CCEF1A" w14:textId="77777777" w:rsidR="007D6085" w:rsidRDefault="007D6085" w:rsidP="00246A7B">
      <w:pPr>
        <w:pStyle w:val="Bullet1"/>
        <w:spacing w:before="120" w:after="0" w:line="240" w:lineRule="auto"/>
      </w:pPr>
      <w:r>
        <w:t>NDIS Commission Engagement Framework</w:t>
      </w:r>
    </w:p>
    <w:p w14:paraId="08FD876C" w14:textId="77777777" w:rsidR="007D6085" w:rsidRDefault="007D6085" w:rsidP="00246A7B">
      <w:pPr>
        <w:pStyle w:val="Bullet1"/>
        <w:spacing w:before="120" w:after="0" w:line="240" w:lineRule="auto"/>
      </w:pPr>
      <w:r>
        <w:t>NDIS reviews</w:t>
      </w:r>
    </w:p>
    <w:p w14:paraId="0140FEF3" w14:textId="77777777" w:rsidR="007D6085" w:rsidRDefault="007D6085" w:rsidP="00246A7B">
      <w:pPr>
        <w:pStyle w:val="Bullet1"/>
        <w:spacing w:before="120" w:after="0" w:line="240" w:lineRule="auto"/>
      </w:pPr>
      <w:r w:rsidRPr="00DE20AB">
        <w:t>Complaints intake and triage process review</w:t>
      </w:r>
    </w:p>
    <w:p w14:paraId="3581530C" w14:textId="77777777" w:rsidR="007D6085" w:rsidRDefault="007D6085" w:rsidP="00246A7B">
      <w:pPr>
        <w:pStyle w:val="Bullet1"/>
        <w:spacing w:before="120" w:after="0" w:line="240" w:lineRule="auto"/>
      </w:pPr>
      <w:r w:rsidRPr="00DE20AB">
        <w:t>Data and Digital strategy</w:t>
      </w:r>
    </w:p>
    <w:p w14:paraId="3D5BB1A0" w14:textId="77777777" w:rsidR="007D6085" w:rsidRDefault="007D6085" w:rsidP="00246A7B">
      <w:pPr>
        <w:pStyle w:val="Bullet1"/>
        <w:spacing w:before="120" w:after="0" w:line="240" w:lineRule="auto"/>
      </w:pPr>
      <w:r w:rsidRPr="00DE20AB">
        <w:t xml:space="preserve">Operating model </w:t>
      </w:r>
    </w:p>
    <w:p w14:paraId="01BA2A42" w14:textId="77777777" w:rsidR="007D6085" w:rsidRDefault="007D6085" w:rsidP="00246A7B">
      <w:pPr>
        <w:pStyle w:val="Bullet1"/>
        <w:spacing w:before="120" w:after="0" w:line="240" w:lineRule="auto"/>
      </w:pPr>
      <w:r w:rsidRPr="00DE20AB">
        <w:t>Cultural roadmap</w:t>
      </w:r>
    </w:p>
    <w:p w14:paraId="5DF3E55D" w14:textId="77777777" w:rsidR="007D6085" w:rsidRDefault="007D6085" w:rsidP="00246A7B">
      <w:pPr>
        <w:pStyle w:val="Bullet1"/>
        <w:spacing w:before="120" w:after="0" w:line="240" w:lineRule="auto"/>
      </w:pPr>
      <w:r w:rsidRPr="00DE20AB">
        <w:t>Workforce strategy</w:t>
      </w:r>
    </w:p>
    <w:p w14:paraId="70B31440" w14:textId="77777777" w:rsidR="007D6085" w:rsidRDefault="007D6085" w:rsidP="007D6085">
      <w:pPr>
        <w:suppressAutoHyphens w:val="0"/>
        <w:spacing w:before="120" w:after="120" w:line="240" w:lineRule="auto"/>
      </w:pPr>
      <w:r>
        <w:br w:type="page"/>
      </w:r>
    </w:p>
    <w:p w14:paraId="211CC893" w14:textId="77777777" w:rsidR="007D6085" w:rsidRDefault="007D6085" w:rsidP="007D6085">
      <w:pPr>
        <w:pStyle w:val="Heading1"/>
      </w:pPr>
      <w:bookmarkStart w:id="31" w:name="_Operating_context"/>
      <w:bookmarkStart w:id="32" w:name="_Toc112642095"/>
      <w:bookmarkEnd w:id="31"/>
      <w:r>
        <w:lastRenderedPageBreak/>
        <w:t>Operating context</w:t>
      </w:r>
      <w:bookmarkEnd w:id="32"/>
    </w:p>
    <w:p w14:paraId="6847637A" w14:textId="77777777" w:rsidR="007D6085" w:rsidRDefault="007D6085" w:rsidP="00E26583">
      <w:pPr>
        <w:pStyle w:val="firstparagraph"/>
      </w:pPr>
      <w:r>
        <w:t>Now that the NDIS Commission has a national footprint, we are moving beyond the foundational stages of establishing the NDIS Commission into building a contemporary and purpose-centred regulator.</w:t>
      </w:r>
    </w:p>
    <w:p w14:paraId="15C02261" w14:textId="77777777" w:rsidR="007D6085" w:rsidRDefault="007D6085" w:rsidP="007D6085">
      <w:pPr>
        <w:suppressAutoHyphens w:val="0"/>
        <w:spacing w:before="120" w:after="120" w:line="240" w:lineRule="auto"/>
      </w:pPr>
      <w:r>
        <w:t>This approach uses data and insights to inform decisions and a skilled, connected and innovative team to provide exceptional stewardship and guidance to NDIS participants and providers.</w:t>
      </w:r>
    </w:p>
    <w:p w14:paraId="06F39BAA" w14:textId="77777777" w:rsidR="007D6085" w:rsidRDefault="007D6085" w:rsidP="007D6085">
      <w:pPr>
        <w:suppressAutoHyphens w:val="0"/>
        <w:spacing w:before="120" w:after="120" w:line="240" w:lineRule="auto"/>
      </w:pPr>
      <w:r>
        <w:t>Our ability to achieve the impact we defined in our five-year Strategic Plan, launched in August 2022, is naturally influenced by a range of external and internal factors identified in our Future State work and set out in this Corporate Plan. We will continue to monitor these operating conditions over time, and adjust our approach accordingly.</w:t>
      </w:r>
    </w:p>
    <w:p w14:paraId="4AA7739E" w14:textId="77777777" w:rsidR="007D6085" w:rsidRDefault="007D6085" w:rsidP="007D6085">
      <w:pPr>
        <w:suppressAutoHyphens w:val="0"/>
        <w:spacing w:before="120" w:after="120" w:line="240" w:lineRule="auto"/>
      </w:pPr>
      <w:r>
        <w:t>They include:</w:t>
      </w:r>
    </w:p>
    <w:p w14:paraId="150B4A58" w14:textId="77777777" w:rsidR="007D6085" w:rsidRDefault="007D6085" w:rsidP="007D6085">
      <w:pPr>
        <w:pStyle w:val="H2-16pts"/>
      </w:pPr>
      <w:bookmarkStart w:id="33" w:name="_Toc112642096"/>
      <w:r>
        <w:t>Government priorities for the NDIS</w:t>
      </w:r>
      <w:bookmarkEnd w:id="33"/>
    </w:p>
    <w:p w14:paraId="6D2FD28E" w14:textId="2A7C30F9" w:rsidR="007D6085" w:rsidRDefault="007D6085" w:rsidP="007D6085">
      <w:pPr>
        <w:suppressAutoHyphens w:val="0"/>
        <w:spacing w:before="120" w:after="120" w:line="240" w:lineRule="auto"/>
      </w:pPr>
      <w:r>
        <w:t xml:space="preserve">The Minister for the NDIS will soon provide direct guidance to the NDIS Commission, and its accountable authority the NDIS Commissioner, by detailing the government’s priorities and expectations in a Ministerial Statement of Expectations. Once the Commissioner has received </w:t>
      </w:r>
      <w:r w:rsidR="00163B55">
        <w:t xml:space="preserve">these </w:t>
      </w:r>
      <w:r>
        <w:t>priorities and expectations, we will respond by issuing a Regulator Statement of Intent, which will address the Minister’s specific requirements.</w:t>
      </w:r>
    </w:p>
    <w:p w14:paraId="5EAD8174" w14:textId="09307DFB" w:rsidR="007D6085" w:rsidRDefault="007D6085" w:rsidP="007D6085">
      <w:pPr>
        <w:suppressAutoHyphens w:val="0"/>
        <w:spacing w:before="120" w:after="120" w:line="240" w:lineRule="auto"/>
      </w:pPr>
      <w:r>
        <w:t xml:space="preserve">These two Statement documents contribute to our adherence to the Performance Expectation Framework, as set out in the Regulator Performance Guide 2021, which guides our regulatory approach. Once available, the documents will be </w:t>
      </w:r>
      <w:r w:rsidR="00163B55">
        <w:t>published</w:t>
      </w:r>
      <w:r>
        <w:t xml:space="preserve"> on our website. We will employ them, along with reports on reviews examining the NDIS and related operational entities, including our own, to establish a firm understanding of the government’s priorities and expectations for the coming year and beyond. </w:t>
      </w:r>
    </w:p>
    <w:p w14:paraId="414C2053" w14:textId="77777777" w:rsidR="007D6085" w:rsidRDefault="007D6085" w:rsidP="007D6085">
      <w:pPr>
        <w:pStyle w:val="H2-16pts"/>
      </w:pPr>
      <w:bookmarkStart w:id="34" w:name="_Toc112642097"/>
      <w:r>
        <w:t>Contribution to NDIS reviews</w:t>
      </w:r>
      <w:bookmarkEnd w:id="34"/>
    </w:p>
    <w:p w14:paraId="2080DA2F" w14:textId="77777777" w:rsidR="007D6085" w:rsidRDefault="007D6085" w:rsidP="007D6085">
      <w:pPr>
        <w:suppressAutoHyphens w:val="0"/>
        <w:spacing w:before="120" w:after="120" w:line="240" w:lineRule="auto"/>
      </w:pPr>
      <w:r>
        <w:t>The NDIS, and by extension the NDIS Commission, has been subject to various reviews and investigative scrutinies over its active life. These processes continue to be vital in examining the Scheme and improving its effectiveness for the people it seeks to serve.</w:t>
      </w:r>
    </w:p>
    <w:p w14:paraId="0A3F023D" w14:textId="77777777" w:rsidR="007D6085" w:rsidRDefault="007D6085" w:rsidP="007D6085">
      <w:pPr>
        <w:suppressAutoHyphens w:val="0"/>
        <w:spacing w:before="120" w:after="120" w:line="240" w:lineRule="auto"/>
      </w:pPr>
      <w:r>
        <w:t>Significant reviews of the NDIS – including a planne</w:t>
      </w:r>
      <w:r w:rsidR="00C502A2">
        <w:t xml:space="preserve">d whole-of-NDIS review, Quality </w:t>
      </w:r>
      <w:r>
        <w:t>and Safeguards Framework review, and the continuance of the Royal Commission into Violence, Abuse, Neglect and Exploitation of People with Disability – are certain to continue to reveal recommended changes to the Scheme.</w:t>
      </w:r>
    </w:p>
    <w:p w14:paraId="2E458460" w14:textId="77777777" w:rsidR="007D6085" w:rsidRDefault="007D6085" w:rsidP="007D6085">
      <w:pPr>
        <w:suppressAutoHyphens w:val="0"/>
        <w:spacing w:before="120" w:after="120" w:line="240" w:lineRule="auto"/>
      </w:pPr>
      <w:r>
        <w:t>We are committed to continuing our work with the government and all our stakeholders to address recommendations from these reviews and inquiries into the operations of the Commission, and the NDIS more broadly.</w:t>
      </w:r>
    </w:p>
    <w:p w14:paraId="3BF422C7" w14:textId="77777777" w:rsidR="007D6085" w:rsidRDefault="007D6085" w:rsidP="007D6085">
      <w:pPr>
        <w:pStyle w:val="H2-16pts"/>
      </w:pPr>
      <w:bookmarkStart w:id="35" w:name="_Toc112642098"/>
      <w:r>
        <w:t>Regulatory environment</w:t>
      </w:r>
      <w:bookmarkEnd w:id="35"/>
    </w:p>
    <w:p w14:paraId="1FE70636" w14:textId="77777777" w:rsidR="007D6085" w:rsidRDefault="007D6085" w:rsidP="007D6085">
      <w:pPr>
        <w:suppressAutoHyphens w:val="0"/>
        <w:spacing w:before="120" w:after="120" w:line="240" w:lineRule="auto"/>
      </w:pPr>
      <w:r>
        <w:t>The NDIS Commission forms part of a complex legislative, governmental and jurisdictional community responsible for upholding the rights of people with disab</w:t>
      </w:r>
      <w:r w:rsidR="00C502A2">
        <w:t xml:space="preserve">ility. Our purpose-centred </w:t>
      </w:r>
      <w:r>
        <w:t>regulatory approach ensures people with disability remain the central focus of all operational and policy decisions, to achieve the right balance between regulation and consumer independence.</w:t>
      </w:r>
    </w:p>
    <w:p w14:paraId="7CE5F7E4" w14:textId="77777777" w:rsidR="00EB0121" w:rsidRDefault="00EB0121">
      <w:pPr>
        <w:suppressAutoHyphens w:val="0"/>
        <w:spacing w:before="120" w:after="120" w:line="240" w:lineRule="auto"/>
        <w:rPr>
          <w:color w:val="612C69"/>
          <w:sz w:val="32"/>
        </w:rPr>
      </w:pPr>
      <w:r>
        <w:br w:type="page"/>
      </w:r>
    </w:p>
    <w:p w14:paraId="1D63E176" w14:textId="77777777" w:rsidR="007D6085" w:rsidRDefault="007D6085" w:rsidP="007D6085">
      <w:pPr>
        <w:pStyle w:val="H2-16pts"/>
      </w:pPr>
      <w:bookmarkStart w:id="36" w:name="_Toc112642099"/>
      <w:r>
        <w:lastRenderedPageBreak/>
        <w:t>Market pressures</w:t>
      </w:r>
      <w:bookmarkEnd w:id="36"/>
    </w:p>
    <w:p w14:paraId="1BCD3A9F" w14:textId="77777777" w:rsidR="007D6085" w:rsidRDefault="007D6085" w:rsidP="007D6085">
      <w:pPr>
        <w:suppressAutoHyphens w:val="0"/>
        <w:spacing w:before="120" w:after="120" w:line="240" w:lineRule="auto"/>
      </w:pPr>
      <w:r>
        <w:t>The NDIS market is developing, with many providers still adjusting to a consumer-driven rights-based Scheme, the growth in demand for disability ser</w:t>
      </w:r>
      <w:r w:rsidR="00C502A2">
        <w:t xml:space="preserve">vices under the NDIS, different </w:t>
      </w:r>
      <w:r>
        <w:t>responses to the regulatory environment, and the ongoing challenges of thin markets, skill shortages and competition from other parts of the social services sector.</w:t>
      </w:r>
    </w:p>
    <w:p w14:paraId="2B4E9591" w14:textId="77777777" w:rsidR="007D6085" w:rsidRDefault="007D6085" w:rsidP="007D6085">
      <w:pPr>
        <w:suppressAutoHyphens w:val="0"/>
        <w:spacing w:before="120" w:after="120" w:line="240" w:lineRule="auto"/>
      </w:pPr>
      <w:r>
        <w:t>We will work closely with providers to encourage investment in quality and innovation and diversification in both supports and geographical spread, in line with our strategic focus to create thriving, diverse markets.</w:t>
      </w:r>
    </w:p>
    <w:p w14:paraId="00CCB12C" w14:textId="77777777" w:rsidR="007D6085" w:rsidRDefault="007D6085" w:rsidP="007D6085">
      <w:pPr>
        <w:pStyle w:val="H2-16pts"/>
      </w:pPr>
      <w:bookmarkStart w:id="37" w:name="_Toc112642100"/>
      <w:r>
        <w:t>Technology and innovation</w:t>
      </w:r>
      <w:bookmarkEnd w:id="37"/>
    </w:p>
    <w:p w14:paraId="47B5A220" w14:textId="77777777" w:rsidR="007D6085" w:rsidRDefault="007D6085" w:rsidP="007D6085">
      <w:pPr>
        <w:suppressAutoHyphens w:val="0"/>
        <w:spacing w:before="120" w:after="120" w:line="240" w:lineRule="auto"/>
      </w:pPr>
      <w:r>
        <w:t>Technology remains one of the most effective enablers of progress and innovation for organisations, particularly where advancements in data generation, automation, and artificial intelligence can be utilised for the benefit of all stakeholders.</w:t>
      </w:r>
    </w:p>
    <w:p w14:paraId="1E1987DC" w14:textId="77777777" w:rsidR="007D6085" w:rsidRDefault="007D6085" w:rsidP="007D6085">
      <w:pPr>
        <w:suppressAutoHyphens w:val="0"/>
        <w:spacing w:before="120" w:after="120" w:line="240" w:lineRule="auto"/>
      </w:pPr>
      <w:r>
        <w:t>The Data and Digital strategy we will develop over the next 12 months will include a roadmap for our use of technology, data and analytics into the future, to ensure that we have the right tools to support the important work we do. We are determined to enhance the scope and quality of our data holdings to enable us to work smarter, and to be a more agile and proactive regulatory entity.</w:t>
      </w:r>
    </w:p>
    <w:p w14:paraId="547DC6E2" w14:textId="77777777" w:rsidR="007D6085" w:rsidRDefault="007D6085" w:rsidP="007D6085">
      <w:pPr>
        <w:suppressAutoHyphens w:val="0"/>
        <w:spacing w:before="120" w:after="120" w:line="240" w:lineRule="auto"/>
      </w:pPr>
      <w:r>
        <w:t>We also intend to create an environment that encourages NDIS providers to offer more innovative and adaptable solutions.</w:t>
      </w:r>
    </w:p>
    <w:p w14:paraId="78439C46" w14:textId="77777777" w:rsidR="007D6085" w:rsidRDefault="007D6085" w:rsidP="007D6085">
      <w:pPr>
        <w:pStyle w:val="H2-16pts"/>
      </w:pPr>
      <w:bookmarkStart w:id="38" w:name="_Toc112642101"/>
      <w:r>
        <w:t>Regulating for consumer rights</w:t>
      </w:r>
      <w:bookmarkEnd w:id="38"/>
    </w:p>
    <w:p w14:paraId="54CF10E8" w14:textId="77777777" w:rsidR="007D6085" w:rsidRDefault="007D6085" w:rsidP="00BD2AFB">
      <w:pPr>
        <w:suppressAutoHyphens w:val="0"/>
        <w:spacing w:before="120" w:after="240" w:line="240" w:lineRule="auto"/>
      </w:pPr>
      <w:r>
        <w:t>Australia’s health and welfare system has been under intense scrutiny since the beginning of the COVID-19 pandemic, leading to broader awareness of, and debate about, the regulations governing our nation’s social services. At the same time, global movements advocating for human rights have shown that awareness of societal inequality remains endemic.</w:t>
      </w:r>
    </w:p>
    <w:p w14:paraId="26C86847" w14:textId="77777777" w:rsidR="007D6085" w:rsidRPr="00174326" w:rsidRDefault="007D6085" w:rsidP="00174326">
      <w:pPr>
        <w:pStyle w:val="call-out"/>
      </w:pPr>
      <w:r w:rsidRPr="00BD2AFB">
        <w:t>While it is critical that regulators fulfil their legislated responsibilities and maintain essential safeguards, participants deserve greater choice and control as consumers of services that are vital to their lives.</w:t>
      </w:r>
    </w:p>
    <w:p w14:paraId="71553705" w14:textId="77777777" w:rsidR="007D6085" w:rsidRDefault="007D6085" w:rsidP="00BD2AFB">
      <w:pPr>
        <w:suppressAutoHyphens w:val="0"/>
        <w:spacing w:before="240" w:after="120" w:line="240" w:lineRule="auto"/>
      </w:pPr>
      <w:r>
        <w:t>The NDIS is a rights-based Scheme, implemented as part of the Commonwealth’s response to its obligations under the international Convention on the Rights of Persons with Disabilities. If rights are a foundational principle of the Scheme, we have an obligation to ensure not only that we regulate to enforce and protect, but that the outcome – the benefit of regulation – is amplified rights for people with disability in the market, as well as in other areas of their lives.</w:t>
      </w:r>
    </w:p>
    <w:p w14:paraId="6D2CA2BD" w14:textId="77777777" w:rsidR="007D6085" w:rsidRDefault="007D6085" w:rsidP="007D6085">
      <w:pPr>
        <w:suppressAutoHyphens w:val="0"/>
        <w:spacing w:before="120" w:after="120" w:line="240" w:lineRule="auto"/>
      </w:pPr>
      <w:r>
        <w:t>The rights of people with disability has been identified as a key impact area in the NDIS Commission’s Strategic Plan, to ensure every NDIS participant is protected by both safeguards and consumer knowledge necessary to access quality services and supports.</w:t>
      </w:r>
    </w:p>
    <w:p w14:paraId="646C2A76" w14:textId="77777777" w:rsidR="007D6085" w:rsidRDefault="007D6085" w:rsidP="007D6085">
      <w:pPr>
        <w:suppressAutoHyphens w:val="0"/>
        <w:spacing w:before="120" w:after="120" w:line="240" w:lineRule="auto"/>
      </w:pPr>
      <w:r>
        <w:br w:type="page"/>
      </w:r>
    </w:p>
    <w:p w14:paraId="24A5F02C" w14:textId="77777777" w:rsidR="007D6085" w:rsidRDefault="007D6085" w:rsidP="007D6085">
      <w:pPr>
        <w:pStyle w:val="Heading1"/>
      </w:pPr>
      <w:bookmarkStart w:id="39" w:name="_Toc112642102"/>
      <w:r>
        <w:lastRenderedPageBreak/>
        <w:t>Risk management</w:t>
      </w:r>
      <w:bookmarkEnd w:id="39"/>
    </w:p>
    <w:p w14:paraId="0CFB92C4" w14:textId="77777777" w:rsidR="007D6085" w:rsidRPr="00E26583" w:rsidRDefault="007D6085" w:rsidP="00E26583">
      <w:pPr>
        <w:pStyle w:val="firstparagraph"/>
      </w:pPr>
      <w:r w:rsidRPr="00E26583">
        <w:t>The NDIS Commission has an established Risk Management Framework that satisfies requirements in accordance with our Commonwealth responsibilities. This includes our Risk Policy and Risk Guidance, which was reviewed and endorsed by the NDIS Commissioner in January 2022.</w:t>
      </w:r>
    </w:p>
    <w:p w14:paraId="2A3A2752" w14:textId="77777777" w:rsidR="007D6085" w:rsidRDefault="007D6085" w:rsidP="007D6085">
      <w:pPr>
        <w:suppressAutoHyphens w:val="0"/>
        <w:spacing w:before="120" w:after="120" w:line="240" w:lineRule="auto"/>
      </w:pPr>
      <w:r>
        <w:t>Our Audit and Risk Committee meets quarterly to identify enterprise risks and mitigation strategies as well as to monitor the NDIS Commission’s Risk Management Framework for improvements.</w:t>
      </w:r>
    </w:p>
    <w:p w14:paraId="14033E86" w14:textId="77777777" w:rsidR="007D6085" w:rsidRDefault="007D6085" w:rsidP="007D6085">
      <w:pPr>
        <w:suppressAutoHyphens w:val="0"/>
        <w:spacing w:before="120" w:after="120" w:line="240" w:lineRule="auto"/>
      </w:pPr>
      <w:r>
        <w:t>The ELT has identified six strategic risks that we continue to monitor as part of the NDIS Commission’s Risk Management Framework. They reflect the importance of building and maintaining trust, managing well-being and safety and maintaining robust and effective systems and processes.</w:t>
      </w:r>
    </w:p>
    <w:p w14:paraId="5B8243F7" w14:textId="77777777" w:rsidR="007D6085" w:rsidRDefault="007D6085" w:rsidP="007D6085">
      <w:pPr>
        <w:suppressAutoHyphens w:val="0"/>
        <w:spacing w:before="120" w:after="120" w:line="240" w:lineRule="auto"/>
      </w:pPr>
      <w:r>
        <w:t>The six risk categories are:</w:t>
      </w:r>
    </w:p>
    <w:tbl>
      <w:tblPr>
        <w:tblW w:w="0" w:type="auto"/>
        <w:tblLayout w:type="fixed"/>
        <w:tblCellMar>
          <w:left w:w="0" w:type="dxa"/>
          <w:right w:w="0" w:type="dxa"/>
        </w:tblCellMar>
        <w:tblLook w:val="01E0" w:firstRow="1" w:lastRow="1" w:firstColumn="1" w:lastColumn="1" w:noHBand="0" w:noVBand="0"/>
      </w:tblPr>
      <w:tblGrid>
        <w:gridCol w:w="3248"/>
        <w:gridCol w:w="5683"/>
      </w:tblGrid>
      <w:tr w:rsidR="000D68CA" w14:paraId="773566CD" w14:textId="77777777" w:rsidTr="000D68CA">
        <w:trPr>
          <w:cantSplit/>
          <w:trHeight w:val="546"/>
          <w:tblHeader/>
        </w:trPr>
        <w:tc>
          <w:tcPr>
            <w:tcW w:w="3248" w:type="dxa"/>
            <w:tcBorders>
              <w:top w:val="single" w:sz="18" w:space="0" w:color="602167"/>
              <w:bottom w:val="single" w:sz="6" w:space="0" w:color="5F636A"/>
            </w:tcBorders>
            <w:shd w:val="clear" w:color="auto" w:fill="EFEFF1"/>
          </w:tcPr>
          <w:p w14:paraId="2F7637CB" w14:textId="77777777" w:rsidR="000D68CA" w:rsidRPr="00FC7C57" w:rsidRDefault="000D68CA" w:rsidP="00960207">
            <w:pPr>
              <w:pStyle w:val="TableParagraph"/>
              <w:spacing w:before="136"/>
              <w:ind w:left="56"/>
              <w:rPr>
                <w:rFonts w:asciiTheme="minorHAnsi" w:hAnsiTheme="minorHAnsi"/>
                <w:sz w:val="24"/>
                <w:szCs w:val="24"/>
              </w:rPr>
            </w:pPr>
            <w:bookmarkStart w:id="40" w:name="Title_1" w:colFirst="0" w:colLast="0"/>
            <w:r w:rsidRPr="00FC7C57">
              <w:rPr>
                <w:rFonts w:asciiTheme="minorHAnsi" w:hAnsiTheme="minorHAnsi"/>
                <w:color w:val="602167"/>
                <w:sz w:val="24"/>
                <w:szCs w:val="24"/>
              </w:rPr>
              <w:t>Risk</w:t>
            </w:r>
          </w:p>
        </w:tc>
        <w:tc>
          <w:tcPr>
            <w:tcW w:w="5683" w:type="dxa"/>
            <w:tcBorders>
              <w:top w:val="single" w:sz="18" w:space="0" w:color="602167"/>
              <w:bottom w:val="single" w:sz="6" w:space="0" w:color="5F636A"/>
            </w:tcBorders>
            <w:shd w:val="clear" w:color="auto" w:fill="EFEFF1"/>
          </w:tcPr>
          <w:p w14:paraId="65473126" w14:textId="77777777" w:rsidR="000D68CA" w:rsidRPr="00FC7C57" w:rsidRDefault="000D68CA" w:rsidP="00EE67AD">
            <w:pPr>
              <w:pStyle w:val="TableParagraph"/>
              <w:spacing w:before="120"/>
              <w:ind w:left="170"/>
              <w:rPr>
                <w:rFonts w:asciiTheme="minorHAnsi" w:hAnsiTheme="minorHAnsi"/>
                <w:sz w:val="24"/>
                <w:szCs w:val="24"/>
              </w:rPr>
            </w:pPr>
            <w:r w:rsidRPr="00FC7C57">
              <w:rPr>
                <w:rFonts w:asciiTheme="minorHAnsi" w:hAnsiTheme="minorHAnsi"/>
                <w:color w:val="602167"/>
                <w:sz w:val="24"/>
                <w:szCs w:val="24"/>
              </w:rPr>
              <w:t>How we will manage these risks</w:t>
            </w:r>
          </w:p>
        </w:tc>
      </w:tr>
      <w:bookmarkEnd w:id="40"/>
      <w:tr w:rsidR="000D68CA" w14:paraId="1BB17B0A" w14:textId="77777777" w:rsidTr="00EE67AD">
        <w:trPr>
          <w:cantSplit/>
          <w:trHeight w:val="4365"/>
        </w:trPr>
        <w:tc>
          <w:tcPr>
            <w:tcW w:w="3248" w:type="dxa"/>
            <w:tcBorders>
              <w:top w:val="single" w:sz="6" w:space="0" w:color="5F636A"/>
              <w:bottom w:val="single" w:sz="4" w:space="0" w:color="5F636A"/>
            </w:tcBorders>
          </w:tcPr>
          <w:p w14:paraId="56B5CB2B" w14:textId="77777777" w:rsidR="000D68CA" w:rsidRPr="00FC7C57" w:rsidRDefault="000D68CA" w:rsidP="00960207">
            <w:pPr>
              <w:pStyle w:val="TableParagraph"/>
              <w:rPr>
                <w:rFonts w:asciiTheme="minorHAnsi" w:hAnsiTheme="minorHAnsi"/>
              </w:rPr>
            </w:pPr>
            <w:r w:rsidRPr="00FC7C57">
              <w:rPr>
                <w:rFonts w:asciiTheme="minorHAnsi" w:hAnsiTheme="minorHAnsi"/>
              </w:rPr>
              <w:t>Failure to manage the risks inherent to the NDIS system</w:t>
            </w:r>
          </w:p>
        </w:tc>
        <w:tc>
          <w:tcPr>
            <w:tcW w:w="5683" w:type="dxa"/>
            <w:tcBorders>
              <w:top w:val="single" w:sz="6" w:space="0" w:color="5F636A"/>
              <w:bottom w:val="single" w:sz="4" w:space="0" w:color="5F636A"/>
            </w:tcBorders>
          </w:tcPr>
          <w:p w14:paraId="174024D6" w14:textId="77777777" w:rsidR="000D68CA" w:rsidRPr="00FC7C57" w:rsidRDefault="000D68CA" w:rsidP="00EE67AD">
            <w:pPr>
              <w:pStyle w:val="TableParagraph"/>
              <w:ind w:left="157" w:right="241"/>
              <w:rPr>
                <w:rFonts w:asciiTheme="minorHAnsi" w:hAnsiTheme="minorHAnsi"/>
              </w:rPr>
            </w:pPr>
            <w:r w:rsidRPr="00FC7C57">
              <w:rPr>
                <w:rFonts w:asciiTheme="minorHAnsi" w:hAnsiTheme="minorHAnsi"/>
              </w:rPr>
              <w:t xml:space="preserve">The very nature of government legislation is that it evolves with the changing needs of society. The </w:t>
            </w:r>
            <w:r w:rsidRPr="00FC7C57">
              <w:rPr>
                <w:rFonts w:asciiTheme="minorHAnsi" w:hAnsiTheme="minorHAnsi"/>
                <w:spacing w:val="-3"/>
              </w:rPr>
              <w:t xml:space="preserve">NDIS </w:t>
            </w:r>
            <w:r w:rsidRPr="00FC7C57">
              <w:rPr>
                <w:rFonts w:asciiTheme="minorHAnsi" w:hAnsiTheme="minorHAnsi"/>
              </w:rPr>
              <w:t>is a complex system that must continuously adapt to economic forces, regulatory demands and the needs of participants and providers. Our Strategic Plan acknowledges the need to be an adaptable purpose-led regulator that responds to the</w:t>
            </w:r>
            <w:r w:rsidRPr="00FC7C57">
              <w:rPr>
                <w:rFonts w:asciiTheme="minorHAnsi" w:hAnsiTheme="minorHAnsi"/>
                <w:spacing w:val="-35"/>
              </w:rPr>
              <w:t xml:space="preserve"> </w:t>
            </w:r>
            <w:r w:rsidRPr="00FC7C57">
              <w:rPr>
                <w:rFonts w:asciiTheme="minorHAnsi" w:hAnsiTheme="minorHAnsi"/>
              </w:rPr>
              <w:t>changing requirements of the people depending on</w:t>
            </w:r>
            <w:r w:rsidRPr="00FC7C57">
              <w:rPr>
                <w:rFonts w:asciiTheme="minorHAnsi" w:hAnsiTheme="minorHAnsi"/>
                <w:spacing w:val="-4"/>
              </w:rPr>
              <w:t xml:space="preserve"> </w:t>
            </w:r>
            <w:r w:rsidRPr="00FC7C57">
              <w:rPr>
                <w:rFonts w:asciiTheme="minorHAnsi" w:hAnsiTheme="minorHAnsi"/>
              </w:rPr>
              <w:t>it.</w:t>
            </w:r>
          </w:p>
          <w:p w14:paraId="12D1F505" w14:textId="77777777" w:rsidR="000D68CA" w:rsidRPr="00FC7C57" w:rsidRDefault="000D68CA" w:rsidP="00EE67AD">
            <w:pPr>
              <w:pStyle w:val="TableParagraph"/>
              <w:spacing w:before="179"/>
              <w:ind w:left="157" w:right="123"/>
              <w:rPr>
                <w:rFonts w:asciiTheme="minorHAnsi" w:hAnsiTheme="minorHAnsi"/>
              </w:rPr>
            </w:pPr>
            <w:r w:rsidRPr="00FC7C57">
              <w:rPr>
                <w:rFonts w:asciiTheme="minorHAnsi" w:hAnsiTheme="minorHAnsi"/>
              </w:rPr>
              <w:t>The Commission’s governance model allows for risk to be regularly considered, and action taken to flexibly respond to emerging and apparent risk. The NDIS Commission will continue to monitor, manage, mitigate and where possible resolve, both systemic and isolated issues that arise throughout the year by following the guidelines of its risk framework and triage process.</w:t>
            </w:r>
          </w:p>
        </w:tc>
      </w:tr>
      <w:tr w:rsidR="000D68CA" w14:paraId="2D6A3B24" w14:textId="77777777" w:rsidTr="00E26583">
        <w:trPr>
          <w:cantSplit/>
          <w:trHeight w:val="2241"/>
        </w:trPr>
        <w:tc>
          <w:tcPr>
            <w:tcW w:w="3248" w:type="dxa"/>
            <w:tcBorders>
              <w:top w:val="single" w:sz="4" w:space="0" w:color="5F636A"/>
              <w:bottom w:val="single" w:sz="4" w:space="0" w:color="5F636A"/>
            </w:tcBorders>
          </w:tcPr>
          <w:p w14:paraId="02C9E748" w14:textId="77777777" w:rsidR="000D68CA" w:rsidRPr="00FC7C57" w:rsidRDefault="000D68CA" w:rsidP="00960207">
            <w:pPr>
              <w:pStyle w:val="TableParagraph"/>
              <w:rPr>
                <w:rFonts w:asciiTheme="minorHAnsi" w:hAnsiTheme="minorHAnsi"/>
              </w:rPr>
            </w:pPr>
            <w:r w:rsidRPr="00FC7C57">
              <w:rPr>
                <w:rFonts w:asciiTheme="minorHAnsi" w:hAnsiTheme="minorHAnsi"/>
              </w:rPr>
              <w:t>Failure to maintain trust and</w:t>
            </w:r>
          </w:p>
          <w:p w14:paraId="16BA74EC" w14:textId="77777777" w:rsidR="000D68CA" w:rsidRPr="00FC7C57" w:rsidRDefault="000D68CA" w:rsidP="00960207">
            <w:pPr>
              <w:pStyle w:val="TableParagraph"/>
              <w:spacing w:before="1"/>
              <w:rPr>
                <w:rFonts w:asciiTheme="minorHAnsi" w:hAnsiTheme="minorHAnsi"/>
              </w:rPr>
            </w:pPr>
            <w:r w:rsidRPr="00FC7C57">
              <w:rPr>
                <w:rFonts w:asciiTheme="minorHAnsi" w:hAnsiTheme="minorHAnsi"/>
              </w:rPr>
              <w:t>confidence</w:t>
            </w:r>
          </w:p>
        </w:tc>
        <w:tc>
          <w:tcPr>
            <w:tcW w:w="5683" w:type="dxa"/>
            <w:tcBorders>
              <w:top w:val="single" w:sz="4" w:space="0" w:color="5F636A"/>
              <w:bottom w:val="single" w:sz="4" w:space="0" w:color="5F636A"/>
            </w:tcBorders>
          </w:tcPr>
          <w:p w14:paraId="0A244B52" w14:textId="77777777" w:rsidR="000D68CA" w:rsidRPr="00FC7C57" w:rsidRDefault="000D68CA" w:rsidP="00EE67AD">
            <w:pPr>
              <w:pStyle w:val="TableParagraph"/>
              <w:ind w:left="157"/>
              <w:rPr>
                <w:rFonts w:asciiTheme="minorHAnsi" w:hAnsiTheme="minorHAnsi"/>
              </w:rPr>
            </w:pPr>
            <w:r w:rsidRPr="00FC7C57">
              <w:rPr>
                <w:rFonts w:asciiTheme="minorHAnsi" w:hAnsiTheme="minorHAnsi"/>
              </w:rPr>
              <w:t>Our ability to effectively meet our obligations within the disability network hinges on the trusted relationships we have with government, participants, providers, and the public. Both our Strategic Plan and Cultural Principles pay particular attention to building trust across the disability care network to ensure we are seen as transparent, consistent, and approachable.</w:t>
            </w:r>
          </w:p>
        </w:tc>
      </w:tr>
      <w:tr w:rsidR="000D68CA" w14:paraId="62E8D5E3" w14:textId="77777777" w:rsidTr="000D68CA">
        <w:trPr>
          <w:cantSplit/>
          <w:trHeight w:val="1928"/>
        </w:trPr>
        <w:tc>
          <w:tcPr>
            <w:tcW w:w="3248" w:type="dxa"/>
            <w:tcBorders>
              <w:top w:val="single" w:sz="4" w:space="0" w:color="5F636A"/>
              <w:bottom w:val="single" w:sz="4" w:space="0" w:color="5F636A"/>
            </w:tcBorders>
          </w:tcPr>
          <w:p w14:paraId="5F6BB050" w14:textId="77777777" w:rsidR="000D68CA" w:rsidRPr="00FC7C57" w:rsidRDefault="000D68CA" w:rsidP="00960207">
            <w:pPr>
              <w:pStyle w:val="TableParagraph"/>
              <w:rPr>
                <w:rFonts w:asciiTheme="minorHAnsi" w:hAnsiTheme="minorHAnsi"/>
              </w:rPr>
            </w:pPr>
            <w:r w:rsidRPr="00FC7C57">
              <w:rPr>
                <w:rFonts w:asciiTheme="minorHAnsi" w:hAnsiTheme="minorHAnsi"/>
              </w:rPr>
              <w:t>Failure to identify the full scope</w:t>
            </w:r>
            <w:r>
              <w:rPr>
                <w:rFonts w:asciiTheme="minorHAnsi" w:hAnsiTheme="minorHAnsi"/>
              </w:rPr>
              <w:t xml:space="preserve"> </w:t>
            </w:r>
            <w:r w:rsidRPr="00FC7C57">
              <w:rPr>
                <w:rFonts w:asciiTheme="minorHAnsi" w:hAnsiTheme="minorHAnsi"/>
              </w:rPr>
              <w:t>of risks we manage in the NDIS</w:t>
            </w:r>
          </w:p>
        </w:tc>
        <w:tc>
          <w:tcPr>
            <w:tcW w:w="5683" w:type="dxa"/>
            <w:tcBorders>
              <w:top w:val="single" w:sz="4" w:space="0" w:color="5F636A"/>
              <w:bottom w:val="single" w:sz="4" w:space="0" w:color="5F636A"/>
            </w:tcBorders>
          </w:tcPr>
          <w:p w14:paraId="4157DDE8" w14:textId="77777777" w:rsidR="000D68CA" w:rsidRPr="00FC7C57" w:rsidRDefault="000D68CA" w:rsidP="00EE67AD">
            <w:pPr>
              <w:pStyle w:val="TableParagraph"/>
              <w:ind w:left="157"/>
              <w:rPr>
                <w:rFonts w:asciiTheme="minorHAnsi" w:hAnsiTheme="minorHAnsi"/>
              </w:rPr>
            </w:pPr>
            <w:r w:rsidRPr="00FC7C57">
              <w:rPr>
                <w:rFonts w:asciiTheme="minorHAnsi" w:hAnsiTheme="minorHAnsi"/>
              </w:rPr>
              <w:t>The NDIS Commission completed its transition to a national</w:t>
            </w:r>
            <w:r>
              <w:rPr>
                <w:rFonts w:asciiTheme="minorHAnsi" w:hAnsiTheme="minorHAnsi"/>
              </w:rPr>
              <w:t xml:space="preserve"> </w:t>
            </w:r>
            <w:r w:rsidRPr="00FC7C57">
              <w:rPr>
                <w:rFonts w:asciiTheme="minorHAnsi" w:hAnsiTheme="minorHAnsi"/>
              </w:rPr>
              <w:t>regulatory model in July 2021. While the NDIS Commission has always maintained an enterprise-level risk register, in the next year we will review internal risk identification and management processes to ensure organisation-wide consistency.</w:t>
            </w:r>
          </w:p>
        </w:tc>
      </w:tr>
      <w:tr w:rsidR="000D68CA" w14:paraId="7C54F922" w14:textId="77777777" w:rsidTr="00E26583">
        <w:trPr>
          <w:cantSplit/>
          <w:trHeight w:val="2988"/>
        </w:trPr>
        <w:tc>
          <w:tcPr>
            <w:tcW w:w="3248" w:type="dxa"/>
            <w:tcBorders>
              <w:top w:val="single" w:sz="4" w:space="0" w:color="5F636A"/>
              <w:bottom w:val="single" w:sz="4" w:space="0" w:color="5F636A"/>
            </w:tcBorders>
          </w:tcPr>
          <w:p w14:paraId="19623FAE" w14:textId="77777777" w:rsidR="000D68CA" w:rsidRPr="00FC7C57" w:rsidRDefault="000D68CA" w:rsidP="00960207">
            <w:pPr>
              <w:pStyle w:val="TableParagraph"/>
              <w:ind w:left="79" w:right="197"/>
              <w:rPr>
                <w:rFonts w:asciiTheme="minorHAnsi" w:hAnsiTheme="minorHAnsi"/>
              </w:rPr>
            </w:pPr>
            <w:r w:rsidRPr="00FC7C57">
              <w:rPr>
                <w:rFonts w:asciiTheme="minorHAnsi" w:hAnsiTheme="minorHAnsi"/>
              </w:rPr>
              <w:lastRenderedPageBreak/>
              <w:t>Failure to implement fit-for- purpose structures and systems</w:t>
            </w:r>
          </w:p>
        </w:tc>
        <w:tc>
          <w:tcPr>
            <w:tcW w:w="5683" w:type="dxa"/>
            <w:tcBorders>
              <w:top w:val="single" w:sz="4" w:space="0" w:color="5F636A"/>
              <w:bottom w:val="single" w:sz="4" w:space="0" w:color="5F636A"/>
            </w:tcBorders>
          </w:tcPr>
          <w:p w14:paraId="6931C45C" w14:textId="77777777" w:rsidR="000D68CA" w:rsidRPr="00FC7C57" w:rsidRDefault="000D68CA" w:rsidP="00960207">
            <w:pPr>
              <w:pStyle w:val="TableParagraph"/>
              <w:ind w:left="216"/>
              <w:rPr>
                <w:rFonts w:asciiTheme="minorHAnsi" w:hAnsiTheme="minorHAnsi"/>
              </w:rPr>
            </w:pPr>
            <w:r w:rsidRPr="00FC7C57">
              <w:rPr>
                <w:rFonts w:asciiTheme="minorHAnsi" w:hAnsiTheme="minorHAnsi"/>
              </w:rPr>
              <w:t>The NDIS Commission is moving into a new phase of maturity, focused on building a more adaptable and intuitive regulatory posture. This shift requires a strong underlying structure that positions the rights of people with disability at the heart of our decisions.</w:t>
            </w:r>
          </w:p>
          <w:p w14:paraId="3546E892" w14:textId="77777777" w:rsidR="000D68CA" w:rsidRPr="00FC7C57" w:rsidRDefault="000D68CA" w:rsidP="00960207">
            <w:pPr>
              <w:pStyle w:val="TableParagraph"/>
              <w:spacing w:before="177"/>
              <w:ind w:left="216" w:right="160"/>
              <w:rPr>
                <w:rFonts w:asciiTheme="minorHAnsi" w:hAnsiTheme="minorHAnsi"/>
              </w:rPr>
            </w:pPr>
            <w:r w:rsidRPr="00FC7C57">
              <w:rPr>
                <w:rFonts w:asciiTheme="minorHAnsi" w:hAnsiTheme="minorHAnsi"/>
              </w:rPr>
              <w:t>The NDIS Commission has already commenced development of a Workforce Capability strategy and will start implementing its priorities and key initiatives over the next 12 months.</w:t>
            </w:r>
          </w:p>
        </w:tc>
      </w:tr>
      <w:tr w:rsidR="000D68CA" w14:paraId="5CD6D16B" w14:textId="77777777" w:rsidTr="00673253">
        <w:trPr>
          <w:cantSplit/>
          <w:trHeight w:val="3270"/>
        </w:trPr>
        <w:tc>
          <w:tcPr>
            <w:tcW w:w="3248" w:type="dxa"/>
            <w:tcBorders>
              <w:top w:val="single" w:sz="4" w:space="0" w:color="5F636A"/>
              <w:bottom w:val="single" w:sz="4" w:space="0" w:color="5F636A"/>
            </w:tcBorders>
          </w:tcPr>
          <w:p w14:paraId="62E69438" w14:textId="77777777" w:rsidR="000D68CA" w:rsidRPr="00FC7C57" w:rsidRDefault="000D68CA" w:rsidP="00960207">
            <w:pPr>
              <w:pStyle w:val="TableParagraph"/>
              <w:ind w:left="79"/>
              <w:rPr>
                <w:rFonts w:asciiTheme="minorHAnsi" w:hAnsiTheme="minorHAnsi"/>
              </w:rPr>
            </w:pPr>
            <w:r w:rsidRPr="00FC7C57">
              <w:rPr>
                <w:rFonts w:asciiTheme="minorHAnsi" w:hAnsiTheme="minorHAnsi"/>
              </w:rPr>
              <w:t>Failure to improve workforce capability</w:t>
            </w:r>
          </w:p>
        </w:tc>
        <w:tc>
          <w:tcPr>
            <w:tcW w:w="5683" w:type="dxa"/>
            <w:tcBorders>
              <w:top w:val="single" w:sz="4" w:space="0" w:color="5F636A"/>
              <w:bottom w:val="single" w:sz="4" w:space="0" w:color="5F636A"/>
            </w:tcBorders>
          </w:tcPr>
          <w:p w14:paraId="42D126BF" w14:textId="77777777" w:rsidR="000D68CA" w:rsidRPr="00FC7C57" w:rsidRDefault="000D68CA" w:rsidP="00960207">
            <w:pPr>
              <w:pStyle w:val="TableParagraph"/>
              <w:ind w:left="216" w:right="30"/>
              <w:rPr>
                <w:rFonts w:asciiTheme="minorHAnsi" w:hAnsiTheme="minorHAnsi"/>
              </w:rPr>
            </w:pPr>
            <w:r w:rsidRPr="00FC7C57">
              <w:rPr>
                <w:rFonts w:asciiTheme="minorHAnsi" w:hAnsiTheme="minorHAnsi"/>
              </w:rPr>
              <w:t>Our internal structures and processes are maturing in parallel with our shift to a nationally consistent framework. As a result, there is a need to better align team functions and structures, as well as individual competencies, with the regulatory outcomes we seek to achieve for people with disability.</w:t>
            </w:r>
          </w:p>
          <w:p w14:paraId="6CC857A2" w14:textId="77777777" w:rsidR="000D68CA" w:rsidRPr="00FC7C57" w:rsidRDefault="000D68CA" w:rsidP="00960207">
            <w:pPr>
              <w:pStyle w:val="TableParagraph"/>
              <w:spacing w:before="177"/>
              <w:ind w:left="216"/>
              <w:rPr>
                <w:rFonts w:asciiTheme="minorHAnsi" w:hAnsiTheme="minorHAnsi"/>
              </w:rPr>
            </w:pPr>
            <w:r w:rsidRPr="00FC7C57">
              <w:rPr>
                <w:rFonts w:asciiTheme="minorHAnsi" w:hAnsiTheme="minorHAnsi"/>
              </w:rPr>
              <w:t>The Commission will undertake a capability analysis, and will create programs focused on both supporting and developing our existing employees and attracting new talent that reflects the community that we serve.</w:t>
            </w:r>
          </w:p>
        </w:tc>
      </w:tr>
      <w:tr w:rsidR="000D68CA" w14:paraId="0FC4561C" w14:textId="77777777" w:rsidTr="00EE67AD">
        <w:trPr>
          <w:cantSplit/>
          <w:trHeight w:val="3887"/>
        </w:trPr>
        <w:tc>
          <w:tcPr>
            <w:tcW w:w="3248" w:type="dxa"/>
            <w:tcBorders>
              <w:top w:val="single" w:sz="4" w:space="0" w:color="5F636A"/>
              <w:bottom w:val="single" w:sz="12" w:space="0" w:color="808080" w:themeColor="background1" w:themeShade="80"/>
            </w:tcBorders>
          </w:tcPr>
          <w:p w14:paraId="382CE18B" w14:textId="77777777" w:rsidR="000D68CA" w:rsidRPr="00FC7C57" w:rsidRDefault="000D68CA" w:rsidP="00960207">
            <w:pPr>
              <w:pStyle w:val="TableParagraph"/>
              <w:ind w:left="79"/>
              <w:rPr>
                <w:rFonts w:asciiTheme="minorHAnsi" w:hAnsiTheme="minorHAnsi"/>
              </w:rPr>
            </w:pPr>
            <w:r w:rsidRPr="00FC7C57">
              <w:rPr>
                <w:rFonts w:asciiTheme="minorHAnsi" w:hAnsiTheme="minorHAnsi"/>
              </w:rPr>
              <w:t>Failure to protect employee wellbeing</w:t>
            </w:r>
          </w:p>
        </w:tc>
        <w:tc>
          <w:tcPr>
            <w:tcW w:w="5683" w:type="dxa"/>
            <w:tcBorders>
              <w:top w:val="single" w:sz="4" w:space="0" w:color="5F636A"/>
              <w:bottom w:val="single" w:sz="12" w:space="0" w:color="808080" w:themeColor="background1" w:themeShade="80"/>
            </w:tcBorders>
          </w:tcPr>
          <w:p w14:paraId="2CD56C03" w14:textId="77777777" w:rsidR="000D68CA" w:rsidRPr="00FC7C57" w:rsidRDefault="000D68CA" w:rsidP="00960207">
            <w:pPr>
              <w:pStyle w:val="TableParagraph"/>
              <w:ind w:left="216"/>
              <w:rPr>
                <w:rFonts w:asciiTheme="minorHAnsi" w:hAnsiTheme="minorHAnsi"/>
              </w:rPr>
            </w:pPr>
            <w:r w:rsidRPr="00FC7C57">
              <w:rPr>
                <w:rFonts w:asciiTheme="minorHAnsi" w:hAnsiTheme="minorHAnsi"/>
              </w:rPr>
              <w:t>Employees at the NDIS Commission frequently deal with challenging and complex issues that must be managed under strict legislative guidelines. This, along with volumes that exceed those expected in funding the Commission, and the isolation and limitations imposed by the COVID-19 pandemic, means it is even more vital we remain focused on caring for our employees.</w:t>
            </w:r>
          </w:p>
          <w:p w14:paraId="3D480A6A" w14:textId="35A1977C" w:rsidR="000D68CA" w:rsidRPr="00FC7C57" w:rsidRDefault="000D68CA" w:rsidP="00EE67AD">
            <w:pPr>
              <w:pStyle w:val="TableParagraph"/>
              <w:spacing w:before="178"/>
              <w:ind w:left="216" w:right="425"/>
              <w:rPr>
                <w:rFonts w:asciiTheme="minorHAnsi" w:hAnsiTheme="minorHAnsi"/>
              </w:rPr>
            </w:pPr>
            <w:r w:rsidRPr="00FC7C57">
              <w:rPr>
                <w:rFonts w:asciiTheme="minorHAnsi" w:hAnsiTheme="minorHAnsi"/>
              </w:rPr>
              <w:t>The Cultural Principles program we will launch as part of our Strategic Plan, addresses the need to support</w:t>
            </w:r>
            <w:r w:rsidRPr="00FC7C57">
              <w:rPr>
                <w:rFonts w:asciiTheme="minorHAnsi" w:hAnsiTheme="minorHAnsi"/>
                <w:spacing w:val="-36"/>
              </w:rPr>
              <w:t xml:space="preserve"> </w:t>
            </w:r>
            <w:r w:rsidRPr="00FC7C57">
              <w:rPr>
                <w:rFonts w:asciiTheme="minorHAnsi" w:hAnsiTheme="minorHAnsi"/>
              </w:rPr>
              <w:t>employee</w:t>
            </w:r>
            <w:r w:rsidR="00EE67AD">
              <w:rPr>
                <w:rFonts w:asciiTheme="minorHAnsi" w:hAnsiTheme="minorHAnsi"/>
              </w:rPr>
              <w:t xml:space="preserve"> </w:t>
            </w:r>
            <w:r w:rsidRPr="00FC7C57">
              <w:rPr>
                <w:rFonts w:asciiTheme="minorHAnsi" w:hAnsiTheme="minorHAnsi"/>
              </w:rPr>
              <w:t>wellbeing by developing a ‘One Commission’ outlook and being clear about how we want to work in achieving our outcomes.</w:t>
            </w:r>
          </w:p>
        </w:tc>
      </w:tr>
    </w:tbl>
    <w:p w14:paraId="7A281C3A" w14:textId="77777777" w:rsidR="00EC53E4" w:rsidRDefault="00E26583" w:rsidP="00E26583">
      <w:pPr>
        <w:suppressAutoHyphens w:val="0"/>
        <w:spacing w:before="120" w:after="120" w:line="240" w:lineRule="auto"/>
      </w:pPr>
      <w:r>
        <w:t>We have taken important and necessary steps to establish our risk appetite and response, but we are committed to continually refining our approach to ensure we have a consistent and robust model.</w:t>
      </w:r>
    </w:p>
    <w:p w14:paraId="3C807FA9" w14:textId="77777777" w:rsidR="00EE67AD" w:rsidRDefault="00EE67AD">
      <w:pPr>
        <w:suppressAutoHyphens w:val="0"/>
        <w:spacing w:before="120" w:after="120" w:line="240" w:lineRule="auto"/>
        <w:rPr>
          <w:rFonts w:asciiTheme="majorHAnsi" w:eastAsiaTheme="majorEastAsia" w:hAnsiTheme="majorHAnsi" w:cstheme="majorBidi"/>
          <w:b/>
          <w:color w:val="612C69"/>
          <w:sz w:val="40"/>
          <w:szCs w:val="40"/>
        </w:rPr>
      </w:pPr>
      <w:bookmarkStart w:id="41" w:name="_Toc112642103"/>
      <w:r>
        <w:br w:type="page"/>
      </w:r>
    </w:p>
    <w:p w14:paraId="6FCFD5C7" w14:textId="7247832E" w:rsidR="00EA458C" w:rsidRDefault="00EA458C" w:rsidP="00C502A2">
      <w:pPr>
        <w:pStyle w:val="Heading1"/>
      </w:pPr>
      <w:r>
        <w:lastRenderedPageBreak/>
        <w:t>Capability</w:t>
      </w:r>
      <w:bookmarkEnd w:id="41"/>
    </w:p>
    <w:p w14:paraId="1349251D" w14:textId="77777777" w:rsidR="00EA458C" w:rsidRDefault="00EA458C" w:rsidP="00C502A2">
      <w:pPr>
        <w:pStyle w:val="firstparagraph"/>
      </w:pPr>
      <w:r>
        <w:t>The NDIS Commission has a highly skilled workforce who understand their responsibilities to people with disability and operate within our established operating model and regulated commitments.</w:t>
      </w:r>
    </w:p>
    <w:p w14:paraId="782179B6" w14:textId="77777777" w:rsidR="00EA458C" w:rsidRDefault="00EA458C" w:rsidP="00EA458C">
      <w:pPr>
        <w:suppressAutoHyphens w:val="0"/>
        <w:spacing w:before="120" w:after="120" w:line="240" w:lineRule="auto"/>
      </w:pPr>
      <w:r>
        <w:t>Using the Department of Social Services’ Information and Communication Technology (ICT) systems, we maintain a robust technology platform that supports the sensitive and complex nature of our operations.</w:t>
      </w:r>
    </w:p>
    <w:p w14:paraId="37473374" w14:textId="08A455ED" w:rsidR="00EA458C" w:rsidRDefault="00EA458C" w:rsidP="00EA458C">
      <w:pPr>
        <w:suppressAutoHyphens w:val="0"/>
        <w:spacing w:before="120" w:after="120" w:line="240" w:lineRule="auto"/>
      </w:pPr>
      <w:r>
        <w:t>In 2022–23, we will continue to build on the NDIS Commission’s current operating model with a number of initiatives designed to create even better outcomes for people with disability. These initiative</w:t>
      </w:r>
      <w:r w:rsidRPr="00686753">
        <w:t>s (see Key Activities on page 1</w:t>
      </w:r>
      <w:r w:rsidR="00EE67AD" w:rsidRPr="00686753">
        <w:t>5-1</w:t>
      </w:r>
      <w:r w:rsidRPr="00686753">
        <w:t>6) f</w:t>
      </w:r>
      <w:r>
        <w:t>orm part of the NDIS Commission’s strategic plan and involve comprehensive consultation, review and development of operational frameworks to manage:</w:t>
      </w:r>
    </w:p>
    <w:p w14:paraId="418DB831" w14:textId="77777777" w:rsidR="00EA458C" w:rsidRDefault="00EA458C" w:rsidP="00A11903">
      <w:pPr>
        <w:pStyle w:val="Bullet1"/>
        <w:spacing w:before="120" w:after="120" w:line="240" w:lineRule="auto"/>
      </w:pPr>
      <w:r>
        <w:t>quality</w:t>
      </w:r>
    </w:p>
    <w:p w14:paraId="74DFFB7A" w14:textId="77777777" w:rsidR="00EA458C" w:rsidRDefault="00EA458C" w:rsidP="00A11903">
      <w:pPr>
        <w:pStyle w:val="Bullet1"/>
        <w:spacing w:before="120" w:after="120" w:line="240" w:lineRule="auto"/>
      </w:pPr>
      <w:r>
        <w:t>market engagement and oversight</w:t>
      </w:r>
    </w:p>
    <w:p w14:paraId="4FBF62B1" w14:textId="77777777" w:rsidR="00EA458C" w:rsidRDefault="00EA458C" w:rsidP="00A11903">
      <w:pPr>
        <w:pStyle w:val="Bullet1"/>
        <w:spacing w:before="120" w:after="120" w:line="240" w:lineRule="auto"/>
      </w:pPr>
      <w:r>
        <w:t>regulatory excellence</w:t>
      </w:r>
    </w:p>
    <w:p w14:paraId="7C3A0560" w14:textId="77777777" w:rsidR="00EA458C" w:rsidRDefault="00EA458C" w:rsidP="00A11903">
      <w:pPr>
        <w:pStyle w:val="Bullet1"/>
        <w:spacing w:before="120" w:after="120" w:line="240" w:lineRule="auto"/>
      </w:pPr>
      <w:r>
        <w:t>culture</w:t>
      </w:r>
    </w:p>
    <w:p w14:paraId="58ED355A" w14:textId="77777777" w:rsidR="00EA458C" w:rsidRDefault="00EA458C" w:rsidP="00A11903">
      <w:pPr>
        <w:pStyle w:val="Bullet1"/>
        <w:spacing w:before="120" w:after="120" w:line="240" w:lineRule="auto"/>
      </w:pPr>
      <w:r>
        <w:t>workforce capability</w:t>
      </w:r>
    </w:p>
    <w:p w14:paraId="1F2492BE" w14:textId="77777777" w:rsidR="00EA458C" w:rsidRDefault="00EA458C" w:rsidP="00EA458C">
      <w:pPr>
        <w:suppressAutoHyphens w:val="0"/>
        <w:spacing w:before="120" w:after="120" w:line="240" w:lineRule="auto"/>
      </w:pPr>
      <w:r>
        <w:t>Each of these initiatives is designed to strengthen our existing operating model and allow the NDIS Commission to evolve into a contemporary and purpose-led regulator that takes a rights-based approach to supporting people with disability.</w:t>
      </w:r>
    </w:p>
    <w:p w14:paraId="591E3CB8" w14:textId="77777777" w:rsidR="003A30D6" w:rsidRDefault="003A30D6">
      <w:pPr>
        <w:suppressAutoHyphens w:val="0"/>
        <w:spacing w:before="120" w:after="120" w:line="240" w:lineRule="auto"/>
      </w:pPr>
      <w:r>
        <w:br w:type="page"/>
      </w:r>
    </w:p>
    <w:p w14:paraId="780C336F" w14:textId="77777777" w:rsidR="00EA458C" w:rsidRDefault="00EA458C" w:rsidP="003A30D6">
      <w:pPr>
        <w:pStyle w:val="Heading1"/>
      </w:pPr>
      <w:bookmarkStart w:id="42" w:name="_Toc112642104"/>
      <w:r>
        <w:lastRenderedPageBreak/>
        <w:t>Cooperation</w:t>
      </w:r>
      <w:bookmarkEnd w:id="42"/>
    </w:p>
    <w:p w14:paraId="071E2C4D" w14:textId="77777777" w:rsidR="00EA458C" w:rsidRDefault="00EA458C" w:rsidP="003A30D6">
      <w:pPr>
        <w:pStyle w:val="firstparagraph"/>
      </w:pPr>
      <w:r>
        <w:t>The NDIS Commission works with a diverse group of agencies, advocacy groups and organisations all committed to supporting people with disability. We seek to maintai</w:t>
      </w:r>
      <w:r w:rsidR="003A30D6">
        <w:t xml:space="preserve">n strong working relationships, </w:t>
      </w:r>
      <w:r>
        <w:t>open communication and productive engagement with all of our stakeholders, including the NDIA, Department of Social Services (DSS), state and federal governments and, most importantly, people with disability, their families, supporters and service providers.</w:t>
      </w:r>
    </w:p>
    <w:p w14:paraId="2B964CEE" w14:textId="77777777" w:rsidR="00EA458C" w:rsidRDefault="00EA458C" w:rsidP="00EA458C">
      <w:pPr>
        <w:suppressAutoHyphens w:val="0"/>
        <w:spacing w:before="120" w:after="120" w:line="240" w:lineRule="auto"/>
      </w:pPr>
      <w:r>
        <w:t>Of significant importance are our external independent committees, who provide valuable insight into our operations and effectiveness with broad perspectives and experience from across sectors, communities, and geographic areas, including:</w:t>
      </w:r>
    </w:p>
    <w:p w14:paraId="401220D3" w14:textId="77777777" w:rsidR="00EA458C" w:rsidRDefault="00EA458C" w:rsidP="003A30D6">
      <w:pPr>
        <w:pStyle w:val="Bullet1"/>
      </w:pPr>
      <w:r>
        <w:t>Disability Sector Consultative Committee</w:t>
      </w:r>
    </w:p>
    <w:p w14:paraId="12821ABE" w14:textId="77777777" w:rsidR="00EA458C" w:rsidRDefault="00EA458C" w:rsidP="003A30D6">
      <w:pPr>
        <w:pStyle w:val="Bullet1"/>
      </w:pPr>
      <w:r>
        <w:t>Industry Consultative Committee</w:t>
      </w:r>
    </w:p>
    <w:p w14:paraId="2448A791" w14:textId="77777777" w:rsidR="00EA458C" w:rsidRDefault="00EA458C" w:rsidP="003A30D6">
      <w:pPr>
        <w:pStyle w:val="Bullet1"/>
      </w:pPr>
      <w:r>
        <w:t>Audit and Risk Committee</w:t>
      </w:r>
    </w:p>
    <w:p w14:paraId="12513687" w14:textId="77777777" w:rsidR="00EA458C" w:rsidRDefault="00EA458C" w:rsidP="00EA458C">
      <w:pPr>
        <w:suppressAutoHyphens w:val="0"/>
        <w:spacing w:before="120" w:after="120" w:line="240" w:lineRule="auto"/>
      </w:pPr>
      <w:r>
        <w:t>We also regularly participate, and/or plan to increase participation, in interagency fora to ensure consistent cross-portfolio interaction and broader NDIS outcome efficacy.</w:t>
      </w:r>
    </w:p>
    <w:p w14:paraId="50A58C25" w14:textId="77777777" w:rsidR="00EA458C" w:rsidRDefault="00EA458C" w:rsidP="00EA458C">
      <w:pPr>
        <w:suppressAutoHyphens w:val="0"/>
        <w:spacing w:before="120" w:after="120" w:line="240" w:lineRule="auto"/>
      </w:pPr>
      <w:r>
        <w:t>We work closely with the NDIA on matters that involve the dishonest and fraudulent use of funds intended to support people with disability, and use our strong investigative and regulatory powers to take tough action against unscrupulous operators in the NDIS. We actively work to remove organisations from the NDIS market where they are not suitable to provide supp</w:t>
      </w:r>
      <w:r w:rsidR="003A30D6">
        <w:t xml:space="preserve">orts to people with disability. </w:t>
      </w:r>
      <w:r>
        <w:t>Information from people with disability, other regulators and the NDIA helps inform our investigations and decisions.</w:t>
      </w:r>
    </w:p>
    <w:p w14:paraId="79FE3CA2" w14:textId="77777777" w:rsidR="00EA458C" w:rsidRDefault="00EA458C" w:rsidP="00EA458C">
      <w:pPr>
        <w:suppressAutoHyphens w:val="0"/>
        <w:spacing w:before="120" w:after="120" w:line="240" w:lineRule="auto"/>
      </w:pPr>
      <w:r>
        <w:t>By working together, sharing information and insights, and developing complementary initiatives, we will continue to improve the disability sector and, in turn, the quality and safety of all NDIS supports and services.</w:t>
      </w:r>
    </w:p>
    <w:p w14:paraId="296900D9" w14:textId="77777777" w:rsidR="003A30D6" w:rsidRDefault="003A30D6">
      <w:pPr>
        <w:suppressAutoHyphens w:val="0"/>
        <w:spacing w:before="120" w:after="120" w:line="240" w:lineRule="auto"/>
      </w:pPr>
      <w:r>
        <w:br w:type="page"/>
      </w:r>
    </w:p>
    <w:p w14:paraId="3C52512F" w14:textId="77777777" w:rsidR="00EA458C" w:rsidRDefault="00EA458C" w:rsidP="003A30D6">
      <w:pPr>
        <w:pStyle w:val="Heading1"/>
      </w:pPr>
      <w:bookmarkStart w:id="43" w:name="_Key_activities"/>
      <w:bookmarkStart w:id="44" w:name="_Toc112642105"/>
      <w:bookmarkEnd w:id="43"/>
      <w:r>
        <w:lastRenderedPageBreak/>
        <w:t>Key activities</w:t>
      </w:r>
      <w:bookmarkEnd w:id="44"/>
    </w:p>
    <w:p w14:paraId="3D01556F" w14:textId="77777777" w:rsidR="00EA458C" w:rsidRDefault="00EA458C" w:rsidP="003A30D6">
      <w:pPr>
        <w:pStyle w:val="firstparagraph"/>
      </w:pPr>
      <w:r>
        <w:t>This Corporate Plan coincides with the first year of the NDIS Commission’s five-year Strategic Plan rollout. Consequently, we will implement many of the foundational initiatives of the Strategic Plan during the 2022–23 year covered by the Plan.</w:t>
      </w:r>
    </w:p>
    <w:p w14:paraId="77376999" w14:textId="77777777" w:rsidR="005579B6" w:rsidRDefault="00EA458C" w:rsidP="005579B6">
      <w:pPr>
        <w:suppressAutoHyphens w:val="0"/>
        <w:spacing w:before="120" w:after="120" w:line="240" w:lineRule="auto"/>
      </w:pPr>
      <w:r>
        <w:t>Those initiatives are:</w:t>
      </w:r>
    </w:p>
    <w:tbl>
      <w:tblPr>
        <w:tblW w:w="0" w:type="auto"/>
        <w:tblLayout w:type="fixed"/>
        <w:tblCellMar>
          <w:left w:w="0" w:type="dxa"/>
          <w:right w:w="0" w:type="dxa"/>
        </w:tblCellMar>
        <w:tblLook w:val="01E0" w:firstRow="1" w:lastRow="1" w:firstColumn="1" w:lastColumn="1" w:noHBand="0" w:noVBand="0"/>
      </w:tblPr>
      <w:tblGrid>
        <w:gridCol w:w="2552"/>
        <w:gridCol w:w="6379"/>
      </w:tblGrid>
      <w:tr w:rsidR="005579B6" w14:paraId="5024DF14" w14:textId="77777777" w:rsidTr="003E6873">
        <w:trPr>
          <w:cantSplit/>
          <w:trHeight w:val="546"/>
          <w:tblHeader/>
        </w:trPr>
        <w:tc>
          <w:tcPr>
            <w:tcW w:w="2552" w:type="dxa"/>
            <w:tcBorders>
              <w:top w:val="single" w:sz="18" w:space="0" w:color="602167"/>
              <w:bottom w:val="single" w:sz="6" w:space="0" w:color="5F636A"/>
            </w:tcBorders>
            <w:shd w:val="clear" w:color="auto" w:fill="EFEFF1"/>
          </w:tcPr>
          <w:p w14:paraId="23DB1077" w14:textId="77777777" w:rsidR="005579B6" w:rsidRPr="003E6873" w:rsidRDefault="005579B6" w:rsidP="003E6873">
            <w:pPr>
              <w:pStyle w:val="TableParagraph"/>
              <w:spacing w:before="136"/>
              <w:ind w:left="56"/>
              <w:rPr>
                <w:rFonts w:asciiTheme="minorHAnsi" w:hAnsiTheme="minorHAnsi"/>
                <w:color w:val="602167"/>
                <w:sz w:val="24"/>
                <w:szCs w:val="24"/>
              </w:rPr>
            </w:pPr>
            <w:r w:rsidRPr="003E6873">
              <w:rPr>
                <w:rFonts w:asciiTheme="minorHAnsi" w:hAnsiTheme="minorHAnsi"/>
                <w:color w:val="602167"/>
                <w:sz w:val="24"/>
                <w:szCs w:val="24"/>
              </w:rPr>
              <w:t>Strategic priorities</w:t>
            </w:r>
          </w:p>
        </w:tc>
        <w:tc>
          <w:tcPr>
            <w:tcW w:w="6379" w:type="dxa"/>
            <w:tcBorders>
              <w:top w:val="single" w:sz="18" w:space="0" w:color="602167"/>
              <w:bottom w:val="single" w:sz="6" w:space="0" w:color="5F636A"/>
            </w:tcBorders>
            <w:shd w:val="clear" w:color="auto" w:fill="EFEFF1"/>
          </w:tcPr>
          <w:p w14:paraId="26135EB4" w14:textId="77777777" w:rsidR="005579B6" w:rsidRPr="003E6873" w:rsidRDefault="005579B6" w:rsidP="003E6873">
            <w:pPr>
              <w:pStyle w:val="TableParagraph"/>
              <w:spacing w:before="136"/>
              <w:ind w:left="56"/>
              <w:rPr>
                <w:rFonts w:asciiTheme="minorHAnsi" w:hAnsiTheme="minorHAnsi"/>
                <w:color w:val="602167"/>
                <w:sz w:val="24"/>
                <w:szCs w:val="24"/>
              </w:rPr>
            </w:pPr>
            <w:r w:rsidRPr="003E6873">
              <w:rPr>
                <w:rFonts w:asciiTheme="minorHAnsi" w:hAnsiTheme="minorHAnsi"/>
                <w:color w:val="602167"/>
                <w:sz w:val="24"/>
                <w:szCs w:val="24"/>
              </w:rPr>
              <w:t>Foundational initiatives</w:t>
            </w:r>
          </w:p>
        </w:tc>
      </w:tr>
      <w:tr w:rsidR="005579B6" w14:paraId="3E5218D8" w14:textId="77777777" w:rsidTr="003E6873">
        <w:trPr>
          <w:cantSplit/>
          <w:trHeight w:val="2718"/>
        </w:trPr>
        <w:tc>
          <w:tcPr>
            <w:tcW w:w="2552" w:type="dxa"/>
            <w:tcBorders>
              <w:top w:val="single" w:sz="4" w:space="0" w:color="5F636A"/>
              <w:bottom w:val="single" w:sz="4" w:space="0" w:color="5F636A"/>
            </w:tcBorders>
          </w:tcPr>
          <w:p w14:paraId="318EEB3E" w14:textId="77777777" w:rsidR="005579B6" w:rsidRPr="00FC7C57" w:rsidRDefault="003E6873" w:rsidP="00960207">
            <w:pPr>
              <w:pStyle w:val="TableParagraph"/>
              <w:ind w:left="79"/>
              <w:rPr>
                <w:rFonts w:asciiTheme="minorHAnsi" w:hAnsiTheme="minorHAnsi"/>
              </w:rPr>
            </w:pPr>
            <w:r>
              <w:rPr>
                <w:rFonts w:asciiTheme="minorHAnsi" w:hAnsiTheme="minorHAnsi"/>
              </w:rPr>
              <w:t>Quality</w:t>
            </w:r>
          </w:p>
        </w:tc>
        <w:tc>
          <w:tcPr>
            <w:tcW w:w="6379" w:type="dxa"/>
            <w:tcBorders>
              <w:top w:val="single" w:sz="4" w:space="0" w:color="5F636A"/>
              <w:bottom w:val="single" w:sz="4" w:space="0" w:color="5F636A"/>
            </w:tcBorders>
          </w:tcPr>
          <w:p w14:paraId="52E36F5B" w14:textId="77777777" w:rsidR="003E6873" w:rsidRDefault="003E6873" w:rsidP="003E6873">
            <w:pPr>
              <w:pStyle w:val="Bullet1"/>
              <w:spacing w:before="120" w:after="0" w:line="240" w:lineRule="auto"/>
            </w:pPr>
            <w:r>
              <w:t xml:space="preserve">We will create a </w:t>
            </w:r>
            <w:r w:rsidRPr="004C1DD3">
              <w:rPr>
                <w:b/>
              </w:rPr>
              <w:t>Quality Roadmap</w:t>
            </w:r>
            <w:r>
              <w:t xml:space="preserve"> that defines priority areas for guaranteeing the quality and safety of NDIS services and supports.</w:t>
            </w:r>
          </w:p>
          <w:p w14:paraId="7A33DAFC" w14:textId="77777777" w:rsidR="003E6873" w:rsidRDefault="003E6873" w:rsidP="003E6873">
            <w:pPr>
              <w:pStyle w:val="Bullet1"/>
              <w:spacing w:before="0" w:after="0" w:line="240" w:lineRule="auto"/>
            </w:pPr>
            <w:r>
              <w:t xml:space="preserve">We will launch an </w:t>
            </w:r>
            <w:r w:rsidRPr="004C1DD3">
              <w:rPr>
                <w:b/>
              </w:rPr>
              <w:t>NDIS Workforce Capability Framework and toolkit</w:t>
            </w:r>
            <w:r>
              <w:t>.</w:t>
            </w:r>
          </w:p>
          <w:p w14:paraId="3264E916" w14:textId="77777777" w:rsidR="003E6873" w:rsidRDefault="003E6873" w:rsidP="003E6873">
            <w:pPr>
              <w:pStyle w:val="Bullet1"/>
              <w:spacing w:before="0" w:after="0" w:line="240" w:lineRule="auto"/>
            </w:pPr>
            <w:r>
              <w:t xml:space="preserve">We will implement a new </w:t>
            </w:r>
            <w:r w:rsidRPr="004C1DD3">
              <w:rPr>
                <w:b/>
              </w:rPr>
              <w:t>Complaint Intake and Triage Process</w:t>
            </w:r>
            <w:r>
              <w:t xml:space="preserve"> to improve current systems.</w:t>
            </w:r>
          </w:p>
          <w:p w14:paraId="644ECE6D" w14:textId="77777777" w:rsidR="005579B6" w:rsidRPr="00FC7C57" w:rsidRDefault="003E6873" w:rsidP="003E6873">
            <w:pPr>
              <w:pStyle w:val="Bullet1"/>
              <w:spacing w:before="0" w:after="120" w:line="240" w:lineRule="auto"/>
            </w:pPr>
            <w:r>
              <w:t xml:space="preserve">Our </w:t>
            </w:r>
            <w:r w:rsidRPr="004C1DD3">
              <w:rPr>
                <w:b/>
              </w:rPr>
              <w:t>NDIS Commission Engagement Framework</w:t>
            </w:r>
            <w:r>
              <w:t xml:space="preserve"> will outline our approaches, priorities and messages to a broad range of participants and their representatives.</w:t>
            </w:r>
          </w:p>
        </w:tc>
      </w:tr>
      <w:tr w:rsidR="005579B6" w14:paraId="338BFB4E" w14:textId="77777777" w:rsidTr="003E6873">
        <w:trPr>
          <w:cantSplit/>
          <w:trHeight w:val="1115"/>
        </w:trPr>
        <w:tc>
          <w:tcPr>
            <w:tcW w:w="2552" w:type="dxa"/>
            <w:tcBorders>
              <w:top w:val="single" w:sz="4" w:space="0" w:color="5F636A"/>
              <w:bottom w:val="single" w:sz="4" w:space="0" w:color="5F636A"/>
            </w:tcBorders>
          </w:tcPr>
          <w:p w14:paraId="6E8FE9DD" w14:textId="77777777" w:rsidR="005579B6" w:rsidRPr="00FC7C57" w:rsidRDefault="003E6873" w:rsidP="00960207">
            <w:pPr>
              <w:pStyle w:val="TableParagraph"/>
              <w:ind w:left="79"/>
              <w:rPr>
                <w:rFonts w:asciiTheme="minorHAnsi" w:hAnsiTheme="minorHAnsi"/>
              </w:rPr>
            </w:pPr>
            <w:r w:rsidRPr="003E6873">
              <w:rPr>
                <w:rFonts w:asciiTheme="minorHAnsi" w:hAnsiTheme="minorHAnsi"/>
              </w:rPr>
              <w:t>Market engagement and oversight</w:t>
            </w:r>
          </w:p>
        </w:tc>
        <w:tc>
          <w:tcPr>
            <w:tcW w:w="6379" w:type="dxa"/>
            <w:tcBorders>
              <w:top w:val="single" w:sz="4" w:space="0" w:color="5F636A"/>
              <w:bottom w:val="single" w:sz="4" w:space="0" w:color="5F636A"/>
            </w:tcBorders>
          </w:tcPr>
          <w:p w14:paraId="220BA37F" w14:textId="77777777" w:rsidR="005579B6" w:rsidRPr="00FC7C57" w:rsidRDefault="003E6873" w:rsidP="003E6873">
            <w:pPr>
              <w:pStyle w:val="Bullet1"/>
            </w:pPr>
            <w:r w:rsidRPr="003E6873">
              <w:t xml:space="preserve">Our </w:t>
            </w:r>
            <w:r w:rsidRPr="004C1DD3">
              <w:rPr>
                <w:b/>
              </w:rPr>
              <w:t>Market scoping and oversight activities</w:t>
            </w:r>
            <w:r w:rsidRPr="003E6873">
              <w:t xml:space="preserve"> will define the engagement activities and regulatory levers we will use to encourage a thriving, diverse market in the NDIS sector.</w:t>
            </w:r>
          </w:p>
        </w:tc>
      </w:tr>
      <w:tr w:rsidR="005579B6" w14:paraId="6E232D92" w14:textId="77777777" w:rsidTr="00436539">
        <w:trPr>
          <w:cantSplit/>
          <w:trHeight w:val="2494"/>
        </w:trPr>
        <w:tc>
          <w:tcPr>
            <w:tcW w:w="2552" w:type="dxa"/>
            <w:tcBorders>
              <w:top w:val="single" w:sz="4" w:space="0" w:color="5F636A"/>
              <w:bottom w:val="single" w:sz="4" w:space="0" w:color="5F636A"/>
            </w:tcBorders>
          </w:tcPr>
          <w:p w14:paraId="1C34B3B5" w14:textId="77777777" w:rsidR="005579B6" w:rsidRPr="00FC7C57" w:rsidRDefault="00436539" w:rsidP="00436539">
            <w:pPr>
              <w:pStyle w:val="TableParagraph"/>
              <w:ind w:left="79"/>
              <w:rPr>
                <w:rFonts w:asciiTheme="minorHAnsi" w:hAnsiTheme="minorHAnsi"/>
              </w:rPr>
            </w:pPr>
            <w:r>
              <w:rPr>
                <w:rFonts w:asciiTheme="minorHAnsi" w:hAnsiTheme="minorHAnsi"/>
              </w:rPr>
              <w:t>Regulatory excellence</w:t>
            </w:r>
          </w:p>
        </w:tc>
        <w:tc>
          <w:tcPr>
            <w:tcW w:w="6379" w:type="dxa"/>
            <w:tcBorders>
              <w:top w:val="single" w:sz="4" w:space="0" w:color="5F636A"/>
              <w:bottom w:val="single" w:sz="4" w:space="0" w:color="5F636A"/>
            </w:tcBorders>
          </w:tcPr>
          <w:p w14:paraId="2CDEEE76" w14:textId="77777777" w:rsidR="00436539" w:rsidRPr="00436539" w:rsidRDefault="00436539" w:rsidP="00436539">
            <w:pPr>
              <w:pStyle w:val="Bullet1"/>
              <w:spacing w:before="120" w:after="0" w:line="240" w:lineRule="auto"/>
            </w:pPr>
            <w:r w:rsidRPr="00436539">
              <w:t xml:space="preserve">Our </w:t>
            </w:r>
            <w:r w:rsidRPr="004C1DD3">
              <w:rPr>
                <w:b/>
              </w:rPr>
              <w:t>Regulatory Strategy</w:t>
            </w:r>
            <w:r w:rsidRPr="00436539">
              <w:t xml:space="preserve"> will define the levers the NDIS Commission will utilise to regulate for positive impact.</w:t>
            </w:r>
          </w:p>
          <w:p w14:paraId="7F6EF82F" w14:textId="77777777" w:rsidR="00436539" w:rsidRPr="00436539" w:rsidRDefault="00436539" w:rsidP="00436539">
            <w:pPr>
              <w:pStyle w:val="Bullet1"/>
              <w:spacing w:before="0" w:after="0" w:line="240" w:lineRule="auto"/>
            </w:pPr>
            <w:r w:rsidRPr="00436539">
              <w:t xml:space="preserve">We will work towards establishing a regulatory </w:t>
            </w:r>
            <w:r w:rsidRPr="004C1DD3">
              <w:rPr>
                <w:b/>
              </w:rPr>
              <w:t>Centre of Excellence</w:t>
            </w:r>
            <w:r w:rsidRPr="00436539">
              <w:t>.</w:t>
            </w:r>
          </w:p>
          <w:p w14:paraId="5F3422AD" w14:textId="77777777" w:rsidR="005579B6" w:rsidRPr="00FC7C57" w:rsidRDefault="00436539" w:rsidP="00436539">
            <w:pPr>
              <w:pStyle w:val="Bullet1"/>
              <w:spacing w:before="0" w:after="120" w:line="240" w:lineRule="auto"/>
            </w:pPr>
            <w:r w:rsidRPr="00436539">
              <w:t xml:space="preserve">Our </w:t>
            </w:r>
            <w:r w:rsidRPr="004C1DD3">
              <w:rPr>
                <w:b/>
              </w:rPr>
              <w:t>Data and Digital Strategy</w:t>
            </w:r>
            <w:r w:rsidRPr="00436539">
              <w:t xml:space="preserve"> will outline the intelligence-gathering and technological efficiencies we will make to ensure we have the right systems for our work and interfaces with stakeholders and participants.</w:t>
            </w:r>
          </w:p>
        </w:tc>
      </w:tr>
      <w:tr w:rsidR="00436539" w14:paraId="56C201A7" w14:textId="77777777" w:rsidTr="00031B8B">
        <w:trPr>
          <w:cantSplit/>
          <w:trHeight w:val="1531"/>
        </w:trPr>
        <w:tc>
          <w:tcPr>
            <w:tcW w:w="2552" w:type="dxa"/>
            <w:tcBorders>
              <w:top w:val="single" w:sz="4" w:space="0" w:color="5F636A"/>
              <w:bottom w:val="single" w:sz="4" w:space="0" w:color="5F636A"/>
            </w:tcBorders>
          </w:tcPr>
          <w:p w14:paraId="56983B5D" w14:textId="77777777" w:rsidR="00436539" w:rsidRDefault="00436539" w:rsidP="00436539">
            <w:pPr>
              <w:suppressAutoHyphens w:val="0"/>
              <w:spacing w:before="120" w:after="120" w:line="240" w:lineRule="auto"/>
            </w:pPr>
            <w:r>
              <w:t>Culture</w:t>
            </w:r>
          </w:p>
        </w:tc>
        <w:tc>
          <w:tcPr>
            <w:tcW w:w="6379" w:type="dxa"/>
            <w:tcBorders>
              <w:top w:val="single" w:sz="4" w:space="0" w:color="5F636A"/>
              <w:bottom w:val="single" w:sz="4" w:space="0" w:color="5F636A"/>
            </w:tcBorders>
          </w:tcPr>
          <w:p w14:paraId="292A4C68" w14:textId="77777777" w:rsidR="00436539" w:rsidRPr="00436539" w:rsidRDefault="00436539" w:rsidP="00031B8B">
            <w:pPr>
              <w:pStyle w:val="Bullet1"/>
            </w:pPr>
            <w:r>
              <w:t xml:space="preserve">Our </w:t>
            </w:r>
            <w:r w:rsidRPr="004C1DD3">
              <w:rPr>
                <w:b/>
              </w:rPr>
              <w:t xml:space="preserve">Cultural Principles </w:t>
            </w:r>
            <w:r>
              <w:t>program defines the cultural shifts we will make to bring to life the NDIS Commission’s reputation as a contemporary, purpose- centred regulator in alignment with the Regulator Performance Guide 2021.</w:t>
            </w:r>
          </w:p>
        </w:tc>
      </w:tr>
      <w:tr w:rsidR="00EC4DFB" w14:paraId="1A1045F9" w14:textId="77777777" w:rsidTr="00031B8B">
        <w:trPr>
          <w:cantSplit/>
          <w:trHeight w:val="2948"/>
        </w:trPr>
        <w:tc>
          <w:tcPr>
            <w:tcW w:w="2552" w:type="dxa"/>
            <w:tcBorders>
              <w:top w:val="single" w:sz="4" w:space="0" w:color="5F636A"/>
              <w:bottom w:val="single" w:sz="4" w:space="0" w:color="5F636A"/>
            </w:tcBorders>
          </w:tcPr>
          <w:p w14:paraId="6BC655A2" w14:textId="77777777" w:rsidR="00EC4DFB" w:rsidRPr="00FC7C57" w:rsidRDefault="00436539" w:rsidP="00436539">
            <w:pPr>
              <w:suppressAutoHyphens w:val="0"/>
              <w:spacing w:before="120" w:after="120" w:line="240" w:lineRule="auto"/>
            </w:pPr>
            <w:r>
              <w:lastRenderedPageBreak/>
              <w:t>Workforce capability</w:t>
            </w:r>
          </w:p>
        </w:tc>
        <w:tc>
          <w:tcPr>
            <w:tcW w:w="6379" w:type="dxa"/>
            <w:tcBorders>
              <w:top w:val="single" w:sz="4" w:space="0" w:color="5F636A"/>
              <w:bottom w:val="single" w:sz="4" w:space="0" w:color="5F636A"/>
            </w:tcBorders>
          </w:tcPr>
          <w:p w14:paraId="32D00C42" w14:textId="77777777" w:rsidR="0011439F" w:rsidRPr="0011439F" w:rsidRDefault="0011439F" w:rsidP="00031B8B">
            <w:pPr>
              <w:pStyle w:val="Bullet1"/>
              <w:spacing w:before="120" w:after="0" w:line="240" w:lineRule="auto"/>
            </w:pPr>
            <w:r w:rsidRPr="0011439F">
              <w:t xml:space="preserve">Our </w:t>
            </w:r>
            <w:r w:rsidRPr="004C1DD3">
              <w:rPr>
                <w:b/>
              </w:rPr>
              <w:t xml:space="preserve">Workforce Strategy </w:t>
            </w:r>
            <w:r w:rsidRPr="0011439F">
              <w:t>will identify how we develop, attract, and retain a diverse mix of staff with the right skills and attributes.</w:t>
            </w:r>
          </w:p>
          <w:p w14:paraId="727302BC" w14:textId="77777777" w:rsidR="0011439F" w:rsidRPr="0011439F" w:rsidRDefault="0011439F" w:rsidP="00031B8B">
            <w:pPr>
              <w:pStyle w:val="Bullet1"/>
              <w:spacing w:before="0" w:after="0" w:line="240" w:lineRule="auto"/>
            </w:pPr>
            <w:r w:rsidRPr="0011439F">
              <w:t xml:space="preserve">Our </w:t>
            </w:r>
            <w:r w:rsidRPr="004C1DD3">
              <w:rPr>
                <w:b/>
              </w:rPr>
              <w:t xml:space="preserve">Operating Model </w:t>
            </w:r>
            <w:r w:rsidRPr="0011439F">
              <w:t>will ensure we have the right functional and operational balance across our organisation to achieve our strategic impacts.</w:t>
            </w:r>
          </w:p>
          <w:p w14:paraId="413CE06E" w14:textId="77777777" w:rsidR="0011439F" w:rsidRPr="0011439F" w:rsidRDefault="0011439F" w:rsidP="00031B8B">
            <w:pPr>
              <w:pStyle w:val="Bullet1"/>
              <w:spacing w:before="0" w:after="0" w:line="240" w:lineRule="auto"/>
            </w:pPr>
            <w:r w:rsidRPr="0011439F">
              <w:t xml:space="preserve">People managers will join our </w:t>
            </w:r>
            <w:r w:rsidRPr="004C1DD3">
              <w:rPr>
                <w:b/>
              </w:rPr>
              <w:t>Fundamentals of supervision and leadership</w:t>
            </w:r>
            <w:r w:rsidRPr="0011439F">
              <w:t xml:space="preserve"> training program to promote psychological risk management and resilience.</w:t>
            </w:r>
          </w:p>
          <w:p w14:paraId="577AB8CC" w14:textId="77777777" w:rsidR="00EC4DFB" w:rsidRPr="00FC7C57" w:rsidRDefault="0011439F" w:rsidP="00031B8B">
            <w:pPr>
              <w:pStyle w:val="Bullet1"/>
              <w:spacing w:before="0" w:after="120" w:line="240" w:lineRule="auto"/>
            </w:pPr>
            <w:r w:rsidRPr="0011439F">
              <w:t xml:space="preserve">An organisation-wide </w:t>
            </w:r>
            <w:r w:rsidRPr="004C1DD3">
              <w:rPr>
                <w:b/>
              </w:rPr>
              <w:t xml:space="preserve">capability analysis </w:t>
            </w:r>
            <w:r w:rsidRPr="0011439F">
              <w:t>will be conducted to identify training needs and priorities.</w:t>
            </w:r>
          </w:p>
        </w:tc>
      </w:tr>
      <w:tr w:rsidR="00820B5A" w14:paraId="5B0E5F25" w14:textId="77777777" w:rsidTr="00803179">
        <w:trPr>
          <w:cantSplit/>
          <w:trHeight w:val="1871"/>
        </w:trPr>
        <w:tc>
          <w:tcPr>
            <w:tcW w:w="2552" w:type="dxa"/>
            <w:tcBorders>
              <w:top w:val="single" w:sz="4" w:space="0" w:color="5F636A"/>
              <w:bottom w:val="single" w:sz="12" w:space="0" w:color="808080" w:themeColor="background1" w:themeShade="80"/>
            </w:tcBorders>
          </w:tcPr>
          <w:p w14:paraId="7D592F74" w14:textId="77777777" w:rsidR="00820B5A" w:rsidRPr="00031B8B" w:rsidRDefault="00820B5A" w:rsidP="00820B5A">
            <w:pPr>
              <w:suppressAutoHyphens w:val="0"/>
              <w:spacing w:before="120" w:after="120" w:line="240" w:lineRule="auto"/>
            </w:pPr>
            <w:r>
              <w:t>Contribution to NDIS reviews</w:t>
            </w:r>
          </w:p>
        </w:tc>
        <w:tc>
          <w:tcPr>
            <w:tcW w:w="6379" w:type="dxa"/>
            <w:tcBorders>
              <w:top w:val="single" w:sz="4" w:space="0" w:color="5F636A"/>
              <w:bottom w:val="single" w:sz="12" w:space="0" w:color="808080" w:themeColor="background1" w:themeShade="80"/>
            </w:tcBorders>
          </w:tcPr>
          <w:p w14:paraId="617E78B7" w14:textId="77777777" w:rsidR="00820B5A" w:rsidRDefault="00820B5A" w:rsidP="00820B5A">
            <w:pPr>
              <w:pStyle w:val="Bullet1"/>
              <w:spacing w:before="120" w:after="0" w:line="240" w:lineRule="auto"/>
            </w:pPr>
            <w:r>
              <w:t>Anticipated whole-of-NDIS Review, including scheduled review of the Quality and Safeguard Framework</w:t>
            </w:r>
          </w:p>
          <w:p w14:paraId="4BE9DCD2" w14:textId="77777777" w:rsidR="00820B5A" w:rsidRDefault="00820B5A" w:rsidP="00820B5A">
            <w:pPr>
              <w:pStyle w:val="Bullet1"/>
              <w:spacing w:before="0" w:after="0" w:line="240" w:lineRule="auto"/>
            </w:pPr>
            <w:r>
              <w:t>Royal Commission into Violence, Abuse, Neglect and Exploitation of People with Disability</w:t>
            </w:r>
          </w:p>
          <w:p w14:paraId="65C9440C" w14:textId="77777777" w:rsidR="00820B5A" w:rsidRDefault="00820B5A" w:rsidP="00820B5A">
            <w:pPr>
              <w:pStyle w:val="Bullet1"/>
              <w:spacing w:before="0" w:after="0" w:line="240" w:lineRule="auto"/>
            </w:pPr>
            <w:r>
              <w:t>Joint Standing Committee on the NDIS</w:t>
            </w:r>
          </w:p>
          <w:p w14:paraId="75445F71" w14:textId="77777777" w:rsidR="00820B5A" w:rsidRPr="00FC7C57" w:rsidRDefault="00820B5A" w:rsidP="00820B5A">
            <w:pPr>
              <w:pStyle w:val="Bullet1"/>
              <w:spacing w:before="0" w:after="120" w:line="240" w:lineRule="auto"/>
            </w:pPr>
            <w:r>
              <w:t>Lead current and future own Motion Inquiries</w:t>
            </w:r>
          </w:p>
        </w:tc>
      </w:tr>
    </w:tbl>
    <w:p w14:paraId="5164FA43" w14:textId="77777777" w:rsidR="00EA458C" w:rsidRDefault="00EA458C" w:rsidP="00820B5A">
      <w:pPr>
        <w:pStyle w:val="Heading2"/>
      </w:pPr>
      <w:bookmarkStart w:id="45" w:name="_Toc112642106"/>
      <w:r>
        <w:t>Commissioner’s core functions</w:t>
      </w:r>
      <w:bookmarkEnd w:id="45"/>
    </w:p>
    <w:p w14:paraId="29E1C4CB" w14:textId="77777777" w:rsidR="00EA458C" w:rsidRDefault="00EA458C" w:rsidP="00EA458C">
      <w:pPr>
        <w:suppressAutoHyphens w:val="0"/>
        <w:spacing w:before="120" w:after="120" w:line="240" w:lineRule="auto"/>
      </w:pPr>
      <w:r>
        <w:t>The NDIS Commission is fundamentally guided by the responsibilities assigned under the NDIS Act 2013. In particular, the Commissioner’s core functions (</w:t>
      </w:r>
      <w:r w:rsidRPr="00EE67AD">
        <w:t>See Appendix B</w:t>
      </w:r>
      <w:r>
        <w:t>) have been considered and applied across all elements of this Corporate Plan and the NDIS Commission’s five-year Strategic Plan.</w:t>
      </w:r>
    </w:p>
    <w:p w14:paraId="55475B2A" w14:textId="77777777" w:rsidR="004C1DD3" w:rsidRDefault="004C1DD3">
      <w:pPr>
        <w:suppressAutoHyphens w:val="0"/>
        <w:spacing w:before="120" w:after="120" w:line="240" w:lineRule="auto"/>
        <w:rPr>
          <w:rFonts w:asciiTheme="majorHAnsi" w:eastAsiaTheme="majorEastAsia" w:hAnsiTheme="majorHAnsi" w:cstheme="majorBidi"/>
          <w:b/>
          <w:color w:val="612C69"/>
          <w:sz w:val="40"/>
          <w:szCs w:val="40"/>
        </w:rPr>
      </w:pPr>
      <w:r>
        <w:br w:type="page"/>
      </w:r>
    </w:p>
    <w:p w14:paraId="2D8135AC" w14:textId="77777777" w:rsidR="00EA458C" w:rsidRDefault="00EA458C" w:rsidP="004C1DD3">
      <w:pPr>
        <w:pStyle w:val="Heading1"/>
      </w:pPr>
      <w:bookmarkStart w:id="46" w:name="_Toc112642107"/>
      <w:r>
        <w:lastRenderedPageBreak/>
        <w:t>Enduring activities</w:t>
      </w:r>
      <w:bookmarkEnd w:id="46"/>
    </w:p>
    <w:p w14:paraId="50F4D20A" w14:textId="77777777" w:rsidR="007D5B1F" w:rsidRDefault="00EA458C" w:rsidP="007D5B1F">
      <w:pPr>
        <w:suppressAutoHyphens w:val="0"/>
        <w:spacing w:before="120" w:after="120" w:line="240" w:lineRule="auto"/>
      </w:pPr>
      <w:r>
        <w:t>Our enduring activities to protect and manage the safety and quality of NDIS supports and services are guided by the NDIS Quality and Safeguarding Framework, which outlines our responsibilities in terms of Developmental, Preventative and Corrective work. It ensures this approach is distributed across our primary stakeholders – people with dis</w:t>
      </w:r>
      <w:r w:rsidR="007D5B1F">
        <w:t>ability, workers and providers:</w:t>
      </w:r>
    </w:p>
    <w:tbl>
      <w:tblPr>
        <w:tblW w:w="9072" w:type="dxa"/>
        <w:tblLayout w:type="fixed"/>
        <w:tblCellMar>
          <w:left w:w="0" w:type="dxa"/>
          <w:right w:w="0" w:type="dxa"/>
        </w:tblCellMar>
        <w:tblLook w:val="01E0" w:firstRow="1" w:lastRow="1" w:firstColumn="1" w:lastColumn="1" w:noHBand="0" w:noVBand="0"/>
      </w:tblPr>
      <w:tblGrid>
        <w:gridCol w:w="2268"/>
        <w:gridCol w:w="2268"/>
        <w:gridCol w:w="2268"/>
        <w:gridCol w:w="2268"/>
      </w:tblGrid>
      <w:tr w:rsidR="007D5B1F" w14:paraId="2D7631EF" w14:textId="77777777" w:rsidTr="007D5B1F">
        <w:trPr>
          <w:cantSplit/>
          <w:trHeight w:val="546"/>
          <w:tblHeader/>
        </w:trPr>
        <w:tc>
          <w:tcPr>
            <w:tcW w:w="2268" w:type="dxa"/>
            <w:tcBorders>
              <w:top w:val="single" w:sz="18" w:space="0" w:color="602167"/>
              <w:bottom w:val="single" w:sz="6" w:space="0" w:color="5F636A"/>
            </w:tcBorders>
            <w:shd w:val="clear" w:color="auto" w:fill="EFEFF1"/>
          </w:tcPr>
          <w:p w14:paraId="5B2A9935" w14:textId="77777777" w:rsidR="007D5B1F" w:rsidRPr="003E6873" w:rsidRDefault="007D5B1F" w:rsidP="0005633B">
            <w:pPr>
              <w:pStyle w:val="TableParagraph"/>
              <w:spacing w:before="120" w:after="120"/>
              <w:ind w:left="57"/>
              <w:rPr>
                <w:rFonts w:asciiTheme="minorHAnsi" w:hAnsiTheme="minorHAnsi"/>
                <w:color w:val="602167"/>
                <w:sz w:val="24"/>
                <w:szCs w:val="24"/>
              </w:rPr>
            </w:pPr>
            <w:r w:rsidRPr="007D5B1F">
              <w:rPr>
                <w:rFonts w:asciiTheme="minorHAnsi" w:hAnsiTheme="minorHAnsi"/>
                <w:color w:val="602167"/>
                <w:sz w:val="24"/>
                <w:szCs w:val="24"/>
              </w:rPr>
              <w:t>NDIS Quality and Safeguarding Framework</w:t>
            </w:r>
          </w:p>
        </w:tc>
        <w:tc>
          <w:tcPr>
            <w:tcW w:w="2268" w:type="dxa"/>
            <w:tcBorders>
              <w:top w:val="single" w:sz="18" w:space="0" w:color="602167"/>
              <w:bottom w:val="single" w:sz="6" w:space="0" w:color="5F636A"/>
            </w:tcBorders>
            <w:shd w:val="clear" w:color="auto" w:fill="EFEFF1"/>
          </w:tcPr>
          <w:p w14:paraId="0C445C5A" w14:textId="77777777" w:rsidR="007D5B1F" w:rsidRPr="003E6873" w:rsidRDefault="007D5B1F" w:rsidP="0005633B">
            <w:pPr>
              <w:pStyle w:val="TableParagraph"/>
              <w:spacing w:before="136" w:after="120"/>
              <w:ind w:left="56"/>
              <w:rPr>
                <w:rFonts w:asciiTheme="minorHAnsi" w:hAnsiTheme="minorHAnsi"/>
                <w:color w:val="602167"/>
                <w:sz w:val="24"/>
                <w:szCs w:val="24"/>
              </w:rPr>
            </w:pPr>
            <w:r w:rsidRPr="007D5B1F">
              <w:rPr>
                <w:rFonts w:asciiTheme="minorHAnsi" w:hAnsiTheme="minorHAnsi"/>
                <w:color w:val="602167"/>
                <w:sz w:val="24"/>
                <w:szCs w:val="24"/>
              </w:rPr>
              <w:t xml:space="preserve">DEVELOPMENTAL </w:t>
            </w:r>
            <w:r w:rsidR="00383AC8">
              <w:rPr>
                <w:rFonts w:asciiTheme="minorHAnsi" w:hAnsiTheme="minorHAnsi"/>
                <w:color w:val="602167"/>
                <w:sz w:val="24"/>
                <w:szCs w:val="24"/>
              </w:rPr>
              <w:br/>
            </w:r>
            <w:r w:rsidRPr="007D5B1F">
              <w:rPr>
                <w:rFonts w:asciiTheme="minorHAnsi" w:hAnsiTheme="minorHAnsi"/>
                <w:color w:val="602167"/>
                <w:sz w:val="24"/>
                <w:szCs w:val="24"/>
              </w:rPr>
              <w:t xml:space="preserve">building capability </w:t>
            </w:r>
            <w:r>
              <w:rPr>
                <w:rFonts w:asciiTheme="minorHAnsi" w:hAnsiTheme="minorHAnsi"/>
                <w:color w:val="602167"/>
                <w:sz w:val="24"/>
                <w:szCs w:val="24"/>
              </w:rPr>
              <w:br/>
            </w:r>
            <w:r w:rsidRPr="007D5B1F">
              <w:rPr>
                <w:rFonts w:asciiTheme="minorHAnsi" w:hAnsiTheme="minorHAnsi"/>
                <w:color w:val="602167"/>
                <w:sz w:val="24"/>
                <w:szCs w:val="24"/>
              </w:rPr>
              <w:t xml:space="preserve">and support </w:t>
            </w:r>
            <w:r w:rsidR="0005633B">
              <w:rPr>
                <w:rFonts w:asciiTheme="minorHAnsi" w:hAnsiTheme="minorHAnsi"/>
                <w:color w:val="602167"/>
                <w:sz w:val="24"/>
                <w:szCs w:val="24"/>
              </w:rPr>
              <w:br/>
            </w:r>
            <w:r w:rsidRPr="007D5B1F">
              <w:rPr>
                <w:rFonts w:asciiTheme="minorHAnsi" w:hAnsiTheme="minorHAnsi"/>
                <w:color w:val="602167"/>
                <w:sz w:val="24"/>
                <w:szCs w:val="24"/>
              </w:rPr>
              <w:t>systems</w:t>
            </w:r>
          </w:p>
        </w:tc>
        <w:tc>
          <w:tcPr>
            <w:tcW w:w="2268" w:type="dxa"/>
            <w:tcBorders>
              <w:top w:val="single" w:sz="18" w:space="0" w:color="602167"/>
              <w:bottom w:val="single" w:sz="6" w:space="0" w:color="5F636A"/>
            </w:tcBorders>
            <w:shd w:val="clear" w:color="auto" w:fill="EFEFF1"/>
          </w:tcPr>
          <w:p w14:paraId="359790DC" w14:textId="77777777" w:rsidR="007D5B1F" w:rsidRPr="003E6873" w:rsidRDefault="007D5B1F" w:rsidP="0005633B">
            <w:pPr>
              <w:pStyle w:val="TableParagraph"/>
              <w:spacing w:before="136" w:after="120"/>
              <w:ind w:left="56"/>
              <w:rPr>
                <w:rFonts w:asciiTheme="minorHAnsi" w:hAnsiTheme="minorHAnsi"/>
                <w:color w:val="602167"/>
                <w:sz w:val="24"/>
                <w:szCs w:val="24"/>
              </w:rPr>
            </w:pPr>
            <w:r>
              <w:rPr>
                <w:rFonts w:asciiTheme="minorHAnsi" w:hAnsiTheme="minorHAnsi"/>
                <w:color w:val="602167"/>
                <w:sz w:val="24"/>
                <w:szCs w:val="24"/>
              </w:rPr>
              <w:t xml:space="preserve">PREVENTATIVE </w:t>
            </w:r>
            <w:r w:rsidR="00383AC8">
              <w:rPr>
                <w:rFonts w:asciiTheme="minorHAnsi" w:hAnsiTheme="minorHAnsi"/>
                <w:color w:val="602167"/>
                <w:sz w:val="24"/>
                <w:szCs w:val="24"/>
              </w:rPr>
              <w:br/>
            </w:r>
            <w:r>
              <w:rPr>
                <w:rFonts w:asciiTheme="minorHAnsi" w:hAnsiTheme="minorHAnsi"/>
                <w:color w:val="602167"/>
                <w:sz w:val="24"/>
                <w:szCs w:val="24"/>
              </w:rPr>
              <w:t xml:space="preserve">preventing harm </w:t>
            </w:r>
            <w:r>
              <w:rPr>
                <w:rFonts w:asciiTheme="minorHAnsi" w:hAnsiTheme="minorHAnsi"/>
                <w:color w:val="602167"/>
                <w:sz w:val="24"/>
                <w:szCs w:val="24"/>
              </w:rPr>
              <w:br/>
              <w:t xml:space="preserve">and promoting </w:t>
            </w:r>
            <w:r w:rsidR="0005633B">
              <w:rPr>
                <w:rFonts w:asciiTheme="minorHAnsi" w:hAnsiTheme="minorHAnsi"/>
                <w:color w:val="602167"/>
                <w:sz w:val="24"/>
                <w:szCs w:val="24"/>
              </w:rPr>
              <w:br/>
            </w:r>
            <w:r w:rsidRPr="007D5B1F">
              <w:rPr>
                <w:rFonts w:asciiTheme="minorHAnsi" w:hAnsiTheme="minorHAnsi"/>
                <w:color w:val="602167"/>
                <w:sz w:val="24"/>
                <w:szCs w:val="24"/>
              </w:rPr>
              <w:t>quality</w:t>
            </w:r>
          </w:p>
        </w:tc>
        <w:tc>
          <w:tcPr>
            <w:tcW w:w="2268" w:type="dxa"/>
            <w:tcBorders>
              <w:top w:val="single" w:sz="18" w:space="0" w:color="602167"/>
              <w:bottom w:val="single" w:sz="6" w:space="0" w:color="5F636A"/>
            </w:tcBorders>
            <w:shd w:val="clear" w:color="auto" w:fill="EFEFF1"/>
          </w:tcPr>
          <w:p w14:paraId="129D0930" w14:textId="77777777" w:rsidR="007D5B1F" w:rsidRPr="003E6873" w:rsidRDefault="007D5B1F" w:rsidP="0005633B">
            <w:pPr>
              <w:pStyle w:val="TableParagraph"/>
              <w:spacing w:before="136" w:after="120"/>
              <w:ind w:left="56"/>
              <w:rPr>
                <w:rFonts w:asciiTheme="minorHAnsi" w:hAnsiTheme="minorHAnsi"/>
                <w:color w:val="602167"/>
                <w:sz w:val="24"/>
                <w:szCs w:val="24"/>
              </w:rPr>
            </w:pPr>
            <w:r w:rsidRPr="007D5B1F">
              <w:rPr>
                <w:rFonts w:asciiTheme="minorHAnsi" w:hAnsiTheme="minorHAnsi"/>
                <w:color w:val="602167"/>
                <w:sz w:val="24"/>
                <w:szCs w:val="24"/>
              </w:rPr>
              <w:t xml:space="preserve">CORRECTIVE </w:t>
            </w:r>
            <w:r w:rsidR="00383AC8">
              <w:rPr>
                <w:rFonts w:asciiTheme="minorHAnsi" w:hAnsiTheme="minorHAnsi"/>
                <w:color w:val="602167"/>
                <w:sz w:val="24"/>
                <w:szCs w:val="24"/>
              </w:rPr>
              <w:br/>
            </w:r>
            <w:r w:rsidRPr="007D5B1F">
              <w:rPr>
                <w:rFonts w:asciiTheme="minorHAnsi" w:hAnsiTheme="minorHAnsi"/>
                <w:color w:val="602167"/>
                <w:sz w:val="24"/>
                <w:szCs w:val="24"/>
              </w:rPr>
              <w:t>responding if things go wrong</w:t>
            </w:r>
          </w:p>
        </w:tc>
      </w:tr>
      <w:tr w:rsidR="007D5B1F" w14:paraId="48165348" w14:textId="77777777" w:rsidTr="007D5B1F">
        <w:trPr>
          <w:cantSplit/>
          <w:trHeight w:val="49"/>
        </w:trPr>
        <w:tc>
          <w:tcPr>
            <w:tcW w:w="2268" w:type="dxa"/>
            <w:tcBorders>
              <w:top w:val="single" w:sz="4" w:space="0" w:color="5F636A"/>
              <w:bottom w:val="single" w:sz="4" w:space="0" w:color="5F636A"/>
            </w:tcBorders>
          </w:tcPr>
          <w:p w14:paraId="2A6659D8" w14:textId="77777777" w:rsidR="007D5B1F" w:rsidRPr="00383AC8" w:rsidRDefault="0005633B" w:rsidP="00960207">
            <w:pPr>
              <w:pStyle w:val="TableParagraph"/>
              <w:ind w:left="79"/>
              <w:rPr>
                <w:rFonts w:asciiTheme="minorHAnsi" w:hAnsiTheme="minorHAnsi"/>
                <w:color w:val="612C69"/>
              </w:rPr>
            </w:pPr>
            <w:r w:rsidRPr="00383AC8">
              <w:rPr>
                <w:rFonts w:asciiTheme="minorHAnsi" w:hAnsiTheme="minorHAnsi"/>
                <w:color w:val="612C69"/>
              </w:rPr>
              <w:t xml:space="preserve">INDIVIDUALS </w:t>
            </w:r>
            <w:r w:rsidRPr="00383AC8">
              <w:rPr>
                <w:rFonts w:asciiTheme="minorHAnsi" w:hAnsiTheme="minorHAnsi"/>
                <w:color w:val="612C69"/>
              </w:rPr>
              <w:br/>
              <w:t>supporting and empowering people with disability</w:t>
            </w:r>
            <w:r w:rsidRPr="00383AC8">
              <w:rPr>
                <w:rFonts w:asciiTheme="minorHAnsi" w:hAnsiTheme="minorHAnsi"/>
                <w:color w:val="612C69"/>
              </w:rPr>
              <w:tab/>
            </w:r>
          </w:p>
        </w:tc>
        <w:tc>
          <w:tcPr>
            <w:tcW w:w="2268" w:type="dxa"/>
            <w:tcBorders>
              <w:top w:val="single" w:sz="4" w:space="0" w:color="5F636A"/>
              <w:bottom w:val="single" w:sz="4" w:space="0" w:color="5F636A"/>
            </w:tcBorders>
          </w:tcPr>
          <w:p w14:paraId="339179E7" w14:textId="77777777" w:rsidR="0005633B" w:rsidRDefault="0005633B" w:rsidP="0005633B">
            <w:pPr>
              <w:pStyle w:val="Bullet1"/>
              <w:spacing w:before="120" w:after="0" w:line="240" w:lineRule="auto"/>
            </w:pPr>
            <w:r>
              <w:t xml:space="preserve">Providing education and information </w:t>
            </w:r>
            <w:r>
              <w:br/>
              <w:t xml:space="preserve">on the NDIS, participant rights, </w:t>
            </w:r>
            <w:r>
              <w:br/>
              <w:t>and complaints processes</w:t>
            </w:r>
          </w:p>
          <w:p w14:paraId="6EFE62DD" w14:textId="77777777" w:rsidR="007D5B1F" w:rsidRPr="007D5B1F" w:rsidRDefault="0005633B" w:rsidP="0005633B">
            <w:pPr>
              <w:pStyle w:val="Bullet1"/>
            </w:pPr>
            <w:r>
              <w:t xml:space="preserve">Developing engagement processes to </w:t>
            </w:r>
            <w:r>
              <w:br/>
              <w:t>support participants to strengthen networks and community ties</w:t>
            </w:r>
          </w:p>
        </w:tc>
        <w:tc>
          <w:tcPr>
            <w:tcW w:w="2268" w:type="dxa"/>
            <w:tcBorders>
              <w:top w:val="single" w:sz="4" w:space="0" w:color="5F636A"/>
              <w:bottom w:val="single" w:sz="4" w:space="0" w:color="5F636A"/>
            </w:tcBorders>
          </w:tcPr>
          <w:p w14:paraId="3023B139" w14:textId="77777777" w:rsidR="0005633B" w:rsidRDefault="0005633B" w:rsidP="0005633B">
            <w:pPr>
              <w:pStyle w:val="Bullet1"/>
              <w:spacing w:before="120" w:after="0" w:line="240" w:lineRule="auto"/>
            </w:pPr>
            <w:r>
              <w:t xml:space="preserve">Working with the NDIA and other stakeholders to ensure safeguards </w:t>
            </w:r>
            <w:r>
              <w:br/>
              <w:t>in NDIS processes</w:t>
            </w:r>
          </w:p>
          <w:p w14:paraId="645291C6" w14:textId="77777777" w:rsidR="0005633B" w:rsidRDefault="0005633B" w:rsidP="0005633B">
            <w:pPr>
              <w:pStyle w:val="Bullet1"/>
              <w:spacing w:before="0" w:after="0" w:line="240" w:lineRule="auto"/>
            </w:pPr>
            <w:r>
              <w:t xml:space="preserve">Providing funding </w:t>
            </w:r>
            <w:r>
              <w:br/>
              <w:t>via the Grants Program to create educational and supportive resources for NDIS providers</w:t>
            </w:r>
          </w:p>
          <w:p w14:paraId="4EAF505D" w14:textId="77777777" w:rsidR="007D5B1F" w:rsidRDefault="0005633B" w:rsidP="0005633B">
            <w:pPr>
              <w:pStyle w:val="Bullet1"/>
              <w:spacing w:before="0" w:after="120" w:line="240" w:lineRule="auto"/>
            </w:pPr>
            <w:r>
              <w:t>Engaging with participants to elicit feedback and work together to enhance support and services</w:t>
            </w:r>
          </w:p>
        </w:tc>
        <w:tc>
          <w:tcPr>
            <w:tcW w:w="2268" w:type="dxa"/>
            <w:tcBorders>
              <w:top w:val="single" w:sz="4" w:space="0" w:color="5F636A"/>
              <w:bottom w:val="single" w:sz="4" w:space="0" w:color="5F636A"/>
            </w:tcBorders>
          </w:tcPr>
          <w:p w14:paraId="36AAEE28" w14:textId="77777777" w:rsidR="0005633B" w:rsidRDefault="0005633B" w:rsidP="0005633B">
            <w:pPr>
              <w:pStyle w:val="Bullet1"/>
              <w:spacing w:before="120" w:after="0" w:line="240" w:lineRule="auto"/>
            </w:pPr>
            <w:r>
              <w:t>Triage, investigate, manage, mediate and resolve complaints</w:t>
            </w:r>
          </w:p>
          <w:p w14:paraId="567F3D5C" w14:textId="77777777" w:rsidR="0005633B" w:rsidRDefault="0005633B" w:rsidP="0005633B">
            <w:pPr>
              <w:pStyle w:val="Bullet1"/>
              <w:spacing w:before="0" w:after="0" w:line="240" w:lineRule="auto"/>
            </w:pPr>
            <w:r>
              <w:t>Receive and handle reportable incidents</w:t>
            </w:r>
          </w:p>
          <w:p w14:paraId="6A61E18A" w14:textId="77777777" w:rsidR="007D5B1F" w:rsidRDefault="0005633B" w:rsidP="0005633B">
            <w:pPr>
              <w:pStyle w:val="Bullet1"/>
              <w:spacing w:before="0" w:after="120" w:line="240" w:lineRule="auto"/>
            </w:pPr>
            <w:r>
              <w:t>Investigate serious and alleged incidents</w:t>
            </w:r>
          </w:p>
        </w:tc>
      </w:tr>
      <w:tr w:rsidR="007D5B1F" w14:paraId="132D7687" w14:textId="77777777" w:rsidTr="007D5B1F">
        <w:trPr>
          <w:cantSplit/>
          <w:trHeight w:val="49"/>
        </w:trPr>
        <w:tc>
          <w:tcPr>
            <w:tcW w:w="2268" w:type="dxa"/>
            <w:tcBorders>
              <w:top w:val="single" w:sz="4" w:space="0" w:color="5F636A"/>
              <w:bottom w:val="single" w:sz="4" w:space="0" w:color="5F636A"/>
            </w:tcBorders>
          </w:tcPr>
          <w:p w14:paraId="1B85DD6E" w14:textId="77777777" w:rsidR="007D5B1F" w:rsidRPr="00383AC8" w:rsidRDefault="00383AC8" w:rsidP="00960207">
            <w:pPr>
              <w:pStyle w:val="TableParagraph"/>
              <w:ind w:left="79"/>
              <w:rPr>
                <w:rFonts w:asciiTheme="minorHAnsi" w:hAnsiTheme="minorHAnsi"/>
                <w:color w:val="612C69"/>
              </w:rPr>
            </w:pPr>
            <w:r w:rsidRPr="00383AC8">
              <w:rPr>
                <w:rFonts w:asciiTheme="minorHAnsi" w:hAnsiTheme="minorHAnsi"/>
                <w:color w:val="612C69"/>
              </w:rPr>
              <w:t xml:space="preserve">WORKFORCE </w:t>
            </w:r>
            <w:r>
              <w:rPr>
                <w:rFonts w:asciiTheme="minorHAnsi" w:hAnsiTheme="minorHAnsi"/>
                <w:color w:val="612C69"/>
              </w:rPr>
              <w:br/>
            </w:r>
            <w:r w:rsidRPr="00383AC8">
              <w:rPr>
                <w:rFonts w:asciiTheme="minorHAnsi" w:hAnsiTheme="minorHAnsi"/>
                <w:color w:val="612C69"/>
              </w:rPr>
              <w:t>promoting a safe and competent workforce</w:t>
            </w:r>
          </w:p>
        </w:tc>
        <w:tc>
          <w:tcPr>
            <w:tcW w:w="2268" w:type="dxa"/>
            <w:tcBorders>
              <w:top w:val="single" w:sz="4" w:space="0" w:color="5F636A"/>
              <w:bottom w:val="single" w:sz="4" w:space="0" w:color="5F636A"/>
            </w:tcBorders>
          </w:tcPr>
          <w:p w14:paraId="798C8A7E" w14:textId="77777777" w:rsidR="007D5B1F" w:rsidRDefault="00383AC8" w:rsidP="00383AC8">
            <w:pPr>
              <w:pStyle w:val="Bullet1"/>
            </w:pPr>
            <w:r>
              <w:t>Supporting NDIS workforce development via the creation and execution of information development and capacity building programs</w:t>
            </w:r>
          </w:p>
        </w:tc>
        <w:tc>
          <w:tcPr>
            <w:tcW w:w="2268" w:type="dxa"/>
            <w:tcBorders>
              <w:top w:val="single" w:sz="4" w:space="0" w:color="5F636A"/>
              <w:bottom w:val="single" w:sz="4" w:space="0" w:color="5F636A"/>
            </w:tcBorders>
          </w:tcPr>
          <w:p w14:paraId="1FA9F332" w14:textId="77777777" w:rsidR="007D5B1F" w:rsidRDefault="00383AC8" w:rsidP="00383AC8">
            <w:pPr>
              <w:pStyle w:val="Bullet1"/>
              <w:spacing w:before="120" w:after="0" w:line="240" w:lineRule="auto"/>
            </w:pPr>
            <w:r w:rsidRPr="00383AC8">
              <w:t>Supporting worker skills quality via state/territory worker screening programs and through the maintenance of the Worker Screening Database</w:t>
            </w:r>
          </w:p>
        </w:tc>
        <w:tc>
          <w:tcPr>
            <w:tcW w:w="2268" w:type="dxa"/>
            <w:tcBorders>
              <w:top w:val="single" w:sz="4" w:space="0" w:color="5F636A"/>
              <w:bottom w:val="single" w:sz="4" w:space="0" w:color="5F636A"/>
            </w:tcBorders>
          </w:tcPr>
          <w:p w14:paraId="55E37C89" w14:textId="77777777" w:rsidR="007D5B1F" w:rsidRDefault="00383AC8" w:rsidP="00383AC8">
            <w:pPr>
              <w:pStyle w:val="Bullet1"/>
              <w:spacing w:before="120" w:after="0" w:line="240" w:lineRule="auto"/>
            </w:pPr>
            <w:r w:rsidRPr="00383AC8">
              <w:t>Monitoring worker conduct via incident reports, complaints and notifications of breaches of the Code of Conduct</w:t>
            </w:r>
          </w:p>
        </w:tc>
      </w:tr>
      <w:tr w:rsidR="007D5B1F" w14:paraId="19151D72" w14:textId="77777777" w:rsidTr="00803179">
        <w:trPr>
          <w:cantSplit/>
          <w:trHeight w:val="49"/>
        </w:trPr>
        <w:tc>
          <w:tcPr>
            <w:tcW w:w="2268" w:type="dxa"/>
            <w:tcBorders>
              <w:top w:val="single" w:sz="4" w:space="0" w:color="5F636A"/>
              <w:bottom w:val="single" w:sz="12" w:space="0" w:color="808080" w:themeColor="background1" w:themeShade="80"/>
            </w:tcBorders>
          </w:tcPr>
          <w:p w14:paraId="5228DBF4" w14:textId="77777777" w:rsidR="007D5B1F" w:rsidRDefault="0018425B" w:rsidP="00960207">
            <w:pPr>
              <w:pStyle w:val="TableParagraph"/>
              <w:ind w:left="79"/>
              <w:rPr>
                <w:rFonts w:asciiTheme="minorHAnsi" w:hAnsiTheme="minorHAnsi"/>
              </w:rPr>
            </w:pPr>
            <w:r w:rsidRPr="0018425B">
              <w:rPr>
                <w:rFonts w:asciiTheme="minorHAnsi" w:hAnsiTheme="minorHAnsi"/>
                <w:color w:val="612C69"/>
              </w:rPr>
              <w:lastRenderedPageBreak/>
              <w:t xml:space="preserve">PROVIDERS </w:t>
            </w:r>
            <w:r w:rsidR="00803179">
              <w:rPr>
                <w:rFonts w:asciiTheme="minorHAnsi" w:hAnsiTheme="minorHAnsi"/>
                <w:color w:val="612C69"/>
              </w:rPr>
              <w:br/>
            </w:r>
            <w:r w:rsidRPr="0018425B">
              <w:rPr>
                <w:rFonts w:asciiTheme="minorHAnsi" w:hAnsiTheme="minorHAnsi"/>
                <w:color w:val="612C69"/>
              </w:rPr>
              <w:t xml:space="preserve">encouraging safe, innovative, </w:t>
            </w:r>
            <w:r w:rsidR="00803179">
              <w:rPr>
                <w:rFonts w:asciiTheme="minorHAnsi" w:hAnsiTheme="minorHAnsi"/>
                <w:color w:val="612C69"/>
              </w:rPr>
              <w:t>high- quality support provision</w:t>
            </w:r>
          </w:p>
        </w:tc>
        <w:tc>
          <w:tcPr>
            <w:tcW w:w="2268" w:type="dxa"/>
            <w:tcBorders>
              <w:top w:val="single" w:sz="4" w:space="0" w:color="5F636A"/>
              <w:bottom w:val="single" w:sz="12" w:space="0" w:color="808080" w:themeColor="background1" w:themeShade="80"/>
            </w:tcBorders>
          </w:tcPr>
          <w:p w14:paraId="048B015A" w14:textId="77777777" w:rsidR="00B3557F" w:rsidRDefault="00B3557F" w:rsidP="00B3557F">
            <w:pPr>
              <w:pStyle w:val="Bullet1"/>
              <w:spacing w:before="120" w:after="0" w:line="240" w:lineRule="auto"/>
            </w:pPr>
            <w:r>
              <w:t xml:space="preserve">Registering NDIS providers and maintaining the </w:t>
            </w:r>
            <w:r w:rsidR="008B490B">
              <w:br/>
            </w:r>
            <w:r>
              <w:t>NDIS Provider Register</w:t>
            </w:r>
          </w:p>
          <w:p w14:paraId="63BF87C6" w14:textId="77777777" w:rsidR="00B3557F" w:rsidRDefault="00B3557F" w:rsidP="00B3557F">
            <w:pPr>
              <w:pStyle w:val="Bullet1"/>
              <w:spacing w:before="0" w:after="0" w:line="240" w:lineRule="auto"/>
            </w:pPr>
            <w:r>
              <w:t xml:space="preserve">Conducting market oversight and research in order </w:t>
            </w:r>
            <w:r w:rsidR="008B490B">
              <w:br/>
            </w:r>
            <w:r>
              <w:t xml:space="preserve">to support market development, </w:t>
            </w:r>
            <w:r w:rsidR="008B490B">
              <w:br/>
            </w:r>
            <w:r>
              <w:t>safety, quality and diversification</w:t>
            </w:r>
          </w:p>
          <w:p w14:paraId="45C8ABF8" w14:textId="77777777" w:rsidR="00B3557F" w:rsidRDefault="00B3557F" w:rsidP="00B3557F">
            <w:pPr>
              <w:pStyle w:val="Bullet1"/>
              <w:spacing w:before="0" w:after="0" w:line="240" w:lineRule="auto"/>
            </w:pPr>
            <w:r>
              <w:t xml:space="preserve">Develop and </w:t>
            </w:r>
            <w:r w:rsidR="008B490B">
              <w:br/>
            </w:r>
            <w:r>
              <w:t>maintain the Positive Behaviour Support Capability Framework</w:t>
            </w:r>
          </w:p>
          <w:p w14:paraId="3E7A184B" w14:textId="77777777" w:rsidR="007D5B1F" w:rsidRDefault="00B3557F" w:rsidP="00B3557F">
            <w:pPr>
              <w:pStyle w:val="Bullet1"/>
              <w:spacing w:before="0" w:after="120" w:line="240" w:lineRule="auto"/>
            </w:pPr>
            <w:r>
              <w:t>Research to inform better practice</w:t>
            </w:r>
          </w:p>
        </w:tc>
        <w:tc>
          <w:tcPr>
            <w:tcW w:w="2268" w:type="dxa"/>
            <w:tcBorders>
              <w:top w:val="single" w:sz="4" w:space="0" w:color="5F636A"/>
              <w:bottom w:val="single" w:sz="12" w:space="0" w:color="808080" w:themeColor="background1" w:themeShade="80"/>
            </w:tcBorders>
          </w:tcPr>
          <w:p w14:paraId="6D02CEDC" w14:textId="77777777" w:rsidR="008B490B" w:rsidRDefault="008B490B" w:rsidP="008B490B">
            <w:pPr>
              <w:pStyle w:val="Bullet1"/>
              <w:spacing w:before="120" w:after="0" w:line="240" w:lineRule="auto"/>
            </w:pPr>
            <w:r>
              <w:t xml:space="preserve">Providing </w:t>
            </w:r>
            <w:r>
              <w:br/>
              <w:t xml:space="preserve">consistent quality </w:t>
            </w:r>
            <w:r>
              <w:br/>
              <w:t>and reporting requirements for behaviour support practitioners</w:t>
            </w:r>
          </w:p>
          <w:p w14:paraId="1FC6B10E" w14:textId="77777777" w:rsidR="007D5B1F" w:rsidRDefault="008B490B" w:rsidP="008B490B">
            <w:pPr>
              <w:pStyle w:val="Bullet1"/>
              <w:spacing w:before="0" w:after="120" w:line="240" w:lineRule="auto"/>
            </w:pPr>
            <w:r>
              <w:t xml:space="preserve">Provide best </w:t>
            </w:r>
            <w:r>
              <w:br/>
              <w:t xml:space="preserve">practice guidance </w:t>
            </w:r>
            <w:r>
              <w:br/>
              <w:t>and advice to those providing supports</w:t>
            </w:r>
          </w:p>
        </w:tc>
        <w:tc>
          <w:tcPr>
            <w:tcW w:w="2268" w:type="dxa"/>
            <w:tcBorders>
              <w:top w:val="single" w:sz="4" w:space="0" w:color="5F636A"/>
              <w:bottom w:val="single" w:sz="12" w:space="0" w:color="808080" w:themeColor="background1" w:themeShade="80"/>
            </w:tcBorders>
          </w:tcPr>
          <w:p w14:paraId="2483258D" w14:textId="77777777" w:rsidR="008B490B" w:rsidRDefault="008B490B" w:rsidP="008B490B">
            <w:pPr>
              <w:pStyle w:val="Bullet1"/>
              <w:spacing w:before="120" w:after="0" w:line="240" w:lineRule="auto"/>
            </w:pPr>
            <w:r>
              <w:t>Take compliance and enforcement action that is responsive and proportionate, according to our regulatory approach (</w:t>
            </w:r>
            <w:r w:rsidRPr="00EE67AD">
              <w:t>see Appendix C</w:t>
            </w:r>
            <w:r>
              <w:t>)</w:t>
            </w:r>
          </w:p>
          <w:p w14:paraId="5644664B" w14:textId="77777777" w:rsidR="007D5B1F" w:rsidRDefault="008B490B" w:rsidP="008B490B">
            <w:pPr>
              <w:pStyle w:val="Bullet1"/>
            </w:pPr>
            <w:r>
              <w:t>De-register and bar NDIS providers where appropriate</w:t>
            </w:r>
          </w:p>
        </w:tc>
      </w:tr>
    </w:tbl>
    <w:p w14:paraId="5A175BDB" w14:textId="77777777" w:rsidR="008B490B" w:rsidRDefault="008B490B">
      <w:pPr>
        <w:suppressAutoHyphens w:val="0"/>
        <w:spacing w:before="120" w:after="120" w:line="240" w:lineRule="auto"/>
      </w:pPr>
      <w:r>
        <w:br w:type="page"/>
      </w:r>
    </w:p>
    <w:p w14:paraId="4D2BB84D" w14:textId="77777777" w:rsidR="00EA458C" w:rsidRDefault="00EA458C" w:rsidP="008B490B">
      <w:pPr>
        <w:pStyle w:val="Heading1"/>
      </w:pPr>
      <w:bookmarkStart w:id="47" w:name="_Toc112642108"/>
      <w:r>
        <w:lastRenderedPageBreak/>
        <w:t>Our priorities for 2022–23</w:t>
      </w:r>
      <w:bookmarkEnd w:id="47"/>
    </w:p>
    <w:p w14:paraId="214A305A" w14:textId="77777777" w:rsidR="00EA458C" w:rsidRDefault="00EA458C" w:rsidP="008B490B">
      <w:pPr>
        <w:pStyle w:val="firstparagraph"/>
      </w:pPr>
      <w:r>
        <w:t>The NDIS Commission has identified five Strategic Priorities for particular attention in the first year of our five-year strategy – quality, market engagement and oversight, regulatory excellence, culture and workforce capability. Individually, we have selected each priority as an opportunity to amplify the rights of people with disability and positively impact the disability sector’s regulatory approach. Together, our priorities will shift our organisation into a new phase of maturity and focus as a purpose-led regulator.</w:t>
      </w:r>
    </w:p>
    <w:p w14:paraId="362DA006" w14:textId="77777777" w:rsidR="00EA458C" w:rsidRDefault="00EA458C" w:rsidP="008B490B">
      <w:pPr>
        <w:pStyle w:val="Heading2"/>
      </w:pPr>
      <w:bookmarkStart w:id="48" w:name="_Toc112642109"/>
      <w:r>
        <w:t>Quality</w:t>
      </w:r>
      <w:bookmarkEnd w:id="48"/>
    </w:p>
    <w:p w14:paraId="0F60C9EB" w14:textId="77777777" w:rsidR="00EA458C" w:rsidRDefault="00EA458C" w:rsidP="00EA458C">
      <w:pPr>
        <w:suppressAutoHyphens w:val="0"/>
        <w:spacing w:before="120" w:after="120" w:line="240" w:lineRule="auto"/>
      </w:pPr>
      <w:r>
        <w:t>Access to high quality supports and services is essential to guaranteeing NDIS participants are free from violence, abuse</w:t>
      </w:r>
      <w:r w:rsidR="008B490B">
        <w:t xml:space="preserve">, neglect and harm. </w:t>
      </w:r>
      <w:r>
        <w:t>Improving that access across the NDIS network is an important focus of our Corporate Plan.</w:t>
      </w:r>
    </w:p>
    <w:p w14:paraId="0F2EF7A5" w14:textId="77777777" w:rsidR="00EA458C" w:rsidRDefault="00EA458C" w:rsidP="00EA458C">
      <w:pPr>
        <w:suppressAutoHyphens w:val="0"/>
        <w:spacing w:before="120" w:after="120" w:line="240" w:lineRule="auto"/>
      </w:pPr>
      <w:r>
        <w:t>A review of the NDIS Commission’s complaint intake and triage process is already underway to improve t</w:t>
      </w:r>
      <w:r w:rsidR="008B490B">
        <w:t xml:space="preserve">he current systems, and we will </w:t>
      </w:r>
      <w:r>
        <w:t>implement recommendations from the review as part of the NDIS Commission’s five-year Strategic Plan.</w:t>
      </w:r>
    </w:p>
    <w:p w14:paraId="17DF1C0F" w14:textId="77777777" w:rsidR="00EA458C" w:rsidRDefault="002E7930" w:rsidP="00EA458C">
      <w:pPr>
        <w:suppressAutoHyphens w:val="0"/>
        <w:spacing w:before="120" w:after="120" w:line="240" w:lineRule="auto"/>
      </w:pPr>
      <w:r>
        <w:rPr>
          <w:noProof/>
          <w:lang w:eastAsia="en-AU"/>
        </w:rPr>
        <mc:AlternateContent>
          <mc:Choice Requires="wps">
            <w:drawing>
              <wp:anchor distT="0" distB="0" distL="114300" distR="114300" simplePos="0" relativeHeight="251663360" behindDoc="1" locked="0" layoutInCell="1" allowOverlap="1" wp14:anchorId="19B35F4C" wp14:editId="115B97C4">
                <wp:simplePos x="0" y="0"/>
                <wp:positionH relativeFrom="margin">
                  <wp:align>left</wp:align>
                </wp:positionH>
                <wp:positionV relativeFrom="paragraph">
                  <wp:posOffset>406058</wp:posOffset>
                </wp:positionV>
                <wp:extent cx="5723255" cy="1097280"/>
                <wp:effectExtent l="0" t="0" r="0" b="7620"/>
                <wp:wrapNone/>
                <wp:docPr id="7" name="Rectangle 7" descr="decorative"/>
                <wp:cNvGraphicFramePr/>
                <a:graphic xmlns:a="http://schemas.openxmlformats.org/drawingml/2006/main">
                  <a:graphicData uri="http://schemas.microsoft.com/office/word/2010/wordprocessingShape">
                    <wps:wsp>
                      <wps:cNvSpPr/>
                      <wps:spPr>
                        <a:xfrm>
                          <a:off x="0" y="0"/>
                          <a:ext cx="5723255" cy="1097280"/>
                        </a:xfrm>
                        <a:prstGeom prst="rect">
                          <a:avLst/>
                        </a:prstGeom>
                        <a:solidFill>
                          <a:srgbClr val="612C69">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80F13" id="Rectangle 7" o:spid="_x0000_s1026" alt="decorative" style="position:absolute;margin-left:0;margin-top:31.95pt;width:450.65pt;height:86.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" fillcolor="#612c69" stroked="f" strokeweight="1pt">
                <v:fill opacity="6682f"/>
                <w10:wrap anchorx="margin"/>
              </v:rect>
            </w:pict>
          </mc:Fallback>
        </mc:AlternateContent>
      </w:r>
      <w:r w:rsidR="00EA458C">
        <w:t>In parallel to this review, there will be a focus on proactive measures that will reduce the burden on our complaints process overall, including the co- design and delivery of initiatives that:</w:t>
      </w:r>
    </w:p>
    <w:p w14:paraId="654417E1" w14:textId="77777777" w:rsidR="008B490B" w:rsidRDefault="008B490B" w:rsidP="002E7930">
      <w:pPr>
        <w:pStyle w:val="Bullet1"/>
        <w:ind w:left="454"/>
      </w:pPr>
      <w:r>
        <w:t>create value for all people with disability</w:t>
      </w:r>
    </w:p>
    <w:p w14:paraId="005507EE" w14:textId="77777777" w:rsidR="008B490B" w:rsidRDefault="008B490B" w:rsidP="002E7930">
      <w:pPr>
        <w:pStyle w:val="Bullet1"/>
        <w:ind w:left="454"/>
      </w:pPr>
      <w:r>
        <w:t>ensure people with disability understand, and can confidently exercise, their rights</w:t>
      </w:r>
    </w:p>
    <w:p w14:paraId="591DEC3B" w14:textId="77777777" w:rsidR="008B490B" w:rsidRDefault="008B490B" w:rsidP="002E7930">
      <w:pPr>
        <w:pStyle w:val="Bullet1"/>
        <w:ind w:left="454"/>
      </w:pPr>
      <w:r>
        <w:t>encourage providers to invest in innovative practices that benefit both NDIS participants and their business.</w:t>
      </w:r>
    </w:p>
    <w:p w14:paraId="6BFC8B2B" w14:textId="77777777" w:rsidR="00EA458C" w:rsidRDefault="00EA458C" w:rsidP="008B490B">
      <w:pPr>
        <w:pStyle w:val="Heading2"/>
      </w:pPr>
      <w:bookmarkStart w:id="49" w:name="_Toc112642110"/>
      <w:r>
        <w:t>Market engagement and oversight</w:t>
      </w:r>
      <w:bookmarkEnd w:id="49"/>
    </w:p>
    <w:p w14:paraId="5273E2E3" w14:textId="77777777" w:rsidR="00EA458C" w:rsidRDefault="00EA458C" w:rsidP="002E7930">
      <w:pPr>
        <w:pStyle w:val="call-out"/>
      </w:pPr>
      <w:r>
        <w:t>Choice is a powerful motivator for quality. When businesses know their customers have options, the most powerful differentiator they can choose is quality.</w:t>
      </w:r>
    </w:p>
    <w:p w14:paraId="42D3F874" w14:textId="77777777" w:rsidR="00EA458C" w:rsidRDefault="00EA458C" w:rsidP="00EA458C">
      <w:pPr>
        <w:suppressAutoHyphens w:val="0"/>
        <w:spacing w:before="120" w:after="120" w:line="240" w:lineRule="auto"/>
      </w:pPr>
      <w:r>
        <w:t>We intend to energise the NDIS provider market by encouraging innovation and adaptable supports and services, to benefit both NDIS participants and providers in important ways:</w:t>
      </w:r>
    </w:p>
    <w:p w14:paraId="58EF59BF" w14:textId="77777777" w:rsidR="00EA458C" w:rsidRDefault="00EA458C" w:rsidP="002E7930">
      <w:pPr>
        <w:pStyle w:val="Bullet1"/>
        <w:spacing w:before="120" w:after="0"/>
      </w:pPr>
      <w:r w:rsidRPr="002E7930">
        <w:rPr>
          <w:b/>
        </w:rPr>
        <w:t>NDIS participants</w:t>
      </w:r>
      <w:r>
        <w:t xml:space="preserve"> will enjoy greater purchasing power and more variety in selecting supports and services that will enhance their independence and community participation.</w:t>
      </w:r>
    </w:p>
    <w:p w14:paraId="7152EBE5" w14:textId="77777777" w:rsidR="00EA458C" w:rsidRDefault="00EA458C" w:rsidP="002E7930">
      <w:pPr>
        <w:pStyle w:val="Bullet1"/>
        <w:spacing w:before="0" w:after="120" w:line="240" w:lineRule="auto"/>
      </w:pPr>
      <w:r w:rsidRPr="002E7930">
        <w:rPr>
          <w:b/>
        </w:rPr>
        <w:t xml:space="preserve">NDIS providers </w:t>
      </w:r>
      <w:r>
        <w:t>will be able to expand their customer base by offering more innovative, sustainable and cost-effective products and services.</w:t>
      </w:r>
    </w:p>
    <w:p w14:paraId="1530A588" w14:textId="77777777" w:rsidR="00EA458C" w:rsidRDefault="00EA458C" w:rsidP="002E7930">
      <w:pPr>
        <w:pStyle w:val="Heading2"/>
      </w:pPr>
      <w:bookmarkStart w:id="50" w:name="_Toc112642111"/>
      <w:r>
        <w:t>Regulatory excellence</w:t>
      </w:r>
      <w:bookmarkEnd w:id="50"/>
    </w:p>
    <w:p w14:paraId="064B1745" w14:textId="77777777" w:rsidR="00EA458C" w:rsidRDefault="00EA458C" w:rsidP="00EA458C">
      <w:pPr>
        <w:suppressAutoHyphens w:val="0"/>
        <w:spacing w:before="120" w:after="120" w:line="240" w:lineRule="auto"/>
      </w:pPr>
      <w:r>
        <w:t>For regulation to work well, we believe everyone that interacts with it – providers, participants, government, community, families – needs</w:t>
      </w:r>
      <w:r w:rsidR="002E7930">
        <w:t xml:space="preserve"> </w:t>
      </w:r>
      <w:r>
        <w:t xml:space="preserve">to understand both their responsibilities and their rights. </w:t>
      </w:r>
      <w:r>
        <w:lastRenderedPageBreak/>
        <w:t>They also need to know what to do when their rights are not honoured, and how to confidently follow that process through to its conclusion.</w:t>
      </w:r>
    </w:p>
    <w:p w14:paraId="09C862C6" w14:textId="77777777" w:rsidR="00EA458C" w:rsidRDefault="00EA458C" w:rsidP="00EA458C">
      <w:pPr>
        <w:suppressAutoHyphens w:val="0"/>
        <w:spacing w:before="120" w:after="120" w:line="240" w:lineRule="auto"/>
      </w:pPr>
      <w:r>
        <w:t>A necessary function of the NDIS Commission is to enforce t</w:t>
      </w:r>
      <w:r w:rsidR="002E7930">
        <w:t xml:space="preserve">he established laws designed to </w:t>
      </w:r>
      <w:r>
        <w:t>maintain the integrity of the NDIS. We are tasked with ensuring that only suitable workers and providers operate in the disability sector, which also makes registration of providers an important entry point. These are responsibilities we take very seriously and will always uphold. We also see an</w:t>
      </w:r>
      <w:r w:rsidR="002E7930">
        <w:t xml:space="preserve"> </w:t>
      </w:r>
      <w:r>
        <w:t>opportunity to take a more proactive regulatory approach by amplifying and promoting the rights of people with disability. We believe this is possible by providing employees with the data, technology, and opportunities to manage risks proportionately while also ma</w:t>
      </w:r>
      <w:r w:rsidR="002E7930">
        <w:t xml:space="preserve">intaining essential safeguards. </w:t>
      </w:r>
      <w:r>
        <w:t>This requires a commitment to continuous improvement by developing pilot principles and mechanisms for contemporary, adaptive regulatory practices.</w:t>
      </w:r>
    </w:p>
    <w:p w14:paraId="6781FBF3" w14:textId="77777777" w:rsidR="00EA458C" w:rsidRDefault="00EA458C" w:rsidP="00EA458C">
      <w:pPr>
        <w:suppressAutoHyphens w:val="0"/>
        <w:spacing w:before="120" w:after="120" w:line="240" w:lineRule="auto"/>
      </w:pPr>
      <w:r>
        <w:t>We also intend to work closely with NDIS participants and providers to create shared knowledge and understanding, in order to resolve systemic issues with clear processes and, in turn, reduce complaint loads, restrictive practices, and the time it takes to manage reported incidents.</w:t>
      </w:r>
    </w:p>
    <w:p w14:paraId="00AB980F" w14:textId="77777777" w:rsidR="00EA458C" w:rsidRDefault="00EA458C" w:rsidP="002E7930">
      <w:pPr>
        <w:pStyle w:val="Heading2"/>
      </w:pPr>
      <w:bookmarkStart w:id="51" w:name="_Toc112642112"/>
      <w:r>
        <w:t>Culture</w:t>
      </w:r>
      <w:bookmarkEnd w:id="51"/>
    </w:p>
    <w:p w14:paraId="51F537D0" w14:textId="77777777" w:rsidR="00EA458C" w:rsidRDefault="00EA458C" w:rsidP="00EA458C">
      <w:pPr>
        <w:suppressAutoHyphens w:val="0"/>
        <w:spacing w:before="120" w:after="120" w:line="240" w:lineRule="auto"/>
      </w:pPr>
      <w:r>
        <w:t>The NDIS Commission is fortunate to have a dedicated workforce providing high quality regulation, advice and support to NDIS participants and providers. We are looking to draw on that passion and purpose as we move out of our establishment phase and into a time of innovation and influence.</w:t>
      </w:r>
    </w:p>
    <w:p w14:paraId="476B0187" w14:textId="77777777" w:rsidR="00EA458C" w:rsidRDefault="00EA458C" w:rsidP="00EA458C">
      <w:pPr>
        <w:suppressAutoHyphens w:val="0"/>
        <w:spacing w:before="120" w:after="120" w:line="240" w:lineRule="auto"/>
      </w:pPr>
      <w:r>
        <w:t>This year we will launch our Cultural Principles, which is a significant project that has identified, in collaboration with our workforce, the Principles our organisation will adopt to become a contemporary, purpose-led regulator.</w:t>
      </w:r>
    </w:p>
    <w:p w14:paraId="6F266A9D" w14:textId="77777777" w:rsidR="00EA458C" w:rsidRDefault="00EA458C" w:rsidP="00EA458C">
      <w:pPr>
        <w:suppressAutoHyphens w:val="0"/>
        <w:spacing w:before="120" w:after="120" w:line="240" w:lineRule="auto"/>
      </w:pPr>
      <w:r>
        <w:t>They are:</w:t>
      </w:r>
    </w:p>
    <w:p w14:paraId="2FD4E952" w14:textId="77777777" w:rsidR="002E7930" w:rsidRPr="002E7930" w:rsidRDefault="002E7930" w:rsidP="002E7930">
      <w:pPr>
        <w:pStyle w:val="Heading3"/>
        <w:spacing w:before="240" w:after="120" w:line="240" w:lineRule="auto"/>
      </w:pPr>
      <w:bookmarkStart w:id="52" w:name="_Toc112642113"/>
      <w:r w:rsidRPr="002E7930">
        <w:t>Lead the way</w:t>
      </w:r>
      <w:bookmarkEnd w:id="52"/>
    </w:p>
    <w:p w14:paraId="1607B201" w14:textId="77777777" w:rsidR="002E7930" w:rsidRDefault="002E7930" w:rsidP="002E7930">
      <w:pPr>
        <w:suppressAutoHyphens w:val="0"/>
        <w:spacing w:before="120" w:after="120" w:line="240" w:lineRule="auto"/>
        <w:rPr>
          <w:color w:val="auto"/>
        </w:rPr>
      </w:pPr>
      <w:r w:rsidRPr="002E7930">
        <w:rPr>
          <w:color w:val="auto"/>
        </w:rPr>
        <w:t>We communicate, anticipate, and proactively re</w:t>
      </w:r>
      <w:r>
        <w:rPr>
          <w:color w:val="auto"/>
        </w:rPr>
        <w:t xml:space="preserve">spond to have a positive impact </w:t>
      </w:r>
      <w:r w:rsidRPr="002E7930">
        <w:rPr>
          <w:color w:val="auto"/>
        </w:rPr>
        <w:t>for people with disability.</w:t>
      </w:r>
    </w:p>
    <w:p w14:paraId="40448138" w14:textId="77777777" w:rsidR="002E7930" w:rsidRDefault="002E7930" w:rsidP="002E7930">
      <w:pPr>
        <w:pStyle w:val="Heading3"/>
        <w:spacing w:before="240" w:after="120" w:line="240" w:lineRule="auto"/>
      </w:pPr>
      <w:bookmarkStart w:id="53" w:name="_Toc112642114"/>
      <w:r>
        <w:t>Build trust</w:t>
      </w:r>
      <w:bookmarkEnd w:id="53"/>
    </w:p>
    <w:p w14:paraId="1F1E054E" w14:textId="77777777" w:rsidR="002E7930" w:rsidRDefault="002E7930" w:rsidP="002E7930">
      <w:pPr>
        <w:suppressAutoHyphens w:val="0"/>
        <w:spacing w:before="120" w:after="120" w:line="240" w:lineRule="auto"/>
        <w:rPr>
          <w:color w:val="auto"/>
        </w:rPr>
      </w:pPr>
      <w:r w:rsidRPr="002E7930">
        <w:rPr>
          <w:color w:val="auto"/>
        </w:rPr>
        <w:t>We are transparent, confident, and effecti</w:t>
      </w:r>
      <w:r>
        <w:rPr>
          <w:color w:val="auto"/>
        </w:rPr>
        <w:t xml:space="preserve">ve in protecting the rights and </w:t>
      </w:r>
      <w:r w:rsidRPr="002E7930">
        <w:rPr>
          <w:color w:val="auto"/>
        </w:rPr>
        <w:t>safeguards of people with disability.</w:t>
      </w:r>
    </w:p>
    <w:p w14:paraId="5DBE5182" w14:textId="77777777" w:rsidR="002E7930" w:rsidRPr="002E7930" w:rsidRDefault="002E7930" w:rsidP="002E7930">
      <w:pPr>
        <w:pStyle w:val="Heading3"/>
        <w:spacing w:before="240" w:after="120" w:line="240" w:lineRule="auto"/>
      </w:pPr>
      <w:bookmarkStart w:id="54" w:name="_Toc112642115"/>
      <w:r w:rsidRPr="002E7930">
        <w:t>Keep learning</w:t>
      </w:r>
      <w:bookmarkEnd w:id="54"/>
    </w:p>
    <w:p w14:paraId="6949CFB3" w14:textId="77777777" w:rsidR="002E7930" w:rsidRPr="002E7930" w:rsidRDefault="002E7930" w:rsidP="002E7930">
      <w:pPr>
        <w:suppressAutoHyphens w:val="0"/>
        <w:spacing w:before="120" w:after="120" w:line="240" w:lineRule="auto"/>
        <w:rPr>
          <w:color w:val="auto"/>
        </w:rPr>
      </w:pPr>
      <w:r w:rsidRPr="002E7930">
        <w:rPr>
          <w:color w:val="auto"/>
        </w:rPr>
        <w:t>We continuously invest in our development an</w:t>
      </w:r>
      <w:r>
        <w:rPr>
          <w:color w:val="auto"/>
        </w:rPr>
        <w:t xml:space="preserve">d build our knowledge to evolve </w:t>
      </w:r>
      <w:r w:rsidRPr="002E7930">
        <w:rPr>
          <w:color w:val="auto"/>
        </w:rPr>
        <w:t>and improve.</w:t>
      </w:r>
    </w:p>
    <w:p w14:paraId="4FB2004F" w14:textId="77777777" w:rsidR="002E7930" w:rsidRPr="002E7930" w:rsidRDefault="002E7930" w:rsidP="002E7930">
      <w:pPr>
        <w:pStyle w:val="Heading3"/>
        <w:spacing w:before="240" w:after="120" w:line="240" w:lineRule="auto"/>
      </w:pPr>
      <w:bookmarkStart w:id="55" w:name="_Toc112642116"/>
      <w:r w:rsidRPr="002E7930">
        <w:t>Bring insight</w:t>
      </w:r>
      <w:bookmarkEnd w:id="55"/>
    </w:p>
    <w:p w14:paraId="7AC2C152" w14:textId="77777777" w:rsidR="002E7930" w:rsidRPr="002E7930" w:rsidRDefault="002E7930" w:rsidP="002E7930">
      <w:pPr>
        <w:suppressAutoHyphens w:val="0"/>
        <w:spacing w:before="120" w:after="120" w:line="240" w:lineRule="auto"/>
        <w:rPr>
          <w:color w:val="auto"/>
        </w:rPr>
      </w:pPr>
      <w:r w:rsidRPr="002E7930">
        <w:rPr>
          <w:color w:val="auto"/>
        </w:rPr>
        <w:t>We use data, technology, and our relationships to</w:t>
      </w:r>
      <w:r>
        <w:rPr>
          <w:color w:val="auto"/>
        </w:rPr>
        <w:t xml:space="preserve"> identify information patterns, </w:t>
      </w:r>
      <w:r w:rsidRPr="002E7930">
        <w:rPr>
          <w:color w:val="auto"/>
        </w:rPr>
        <w:t>act early and influence the National Disability Insurance Scheme.</w:t>
      </w:r>
    </w:p>
    <w:p w14:paraId="1C7F52D7" w14:textId="77777777" w:rsidR="002E7930" w:rsidRPr="002E7930" w:rsidRDefault="002E7930" w:rsidP="002E7930">
      <w:pPr>
        <w:pStyle w:val="Heading3"/>
        <w:spacing w:before="240" w:after="120" w:line="240" w:lineRule="auto"/>
      </w:pPr>
      <w:bookmarkStart w:id="56" w:name="_Toc112642117"/>
      <w:r w:rsidRPr="002E7930">
        <w:t>Stay connected</w:t>
      </w:r>
      <w:bookmarkEnd w:id="56"/>
    </w:p>
    <w:p w14:paraId="5B99B2E2" w14:textId="77777777" w:rsidR="002E7930" w:rsidRDefault="002E7930" w:rsidP="002E7930">
      <w:pPr>
        <w:suppressAutoHyphens w:val="0"/>
        <w:spacing w:before="120" w:after="120" w:line="240" w:lineRule="auto"/>
        <w:rPr>
          <w:color w:val="auto"/>
        </w:rPr>
      </w:pPr>
      <w:r w:rsidRPr="002E7930">
        <w:rPr>
          <w:color w:val="auto"/>
        </w:rPr>
        <w:t>We work as One Commission, as part of the National Disability Insura</w:t>
      </w:r>
      <w:r>
        <w:rPr>
          <w:color w:val="auto"/>
        </w:rPr>
        <w:t xml:space="preserve">nce Scheme </w:t>
      </w:r>
      <w:r w:rsidRPr="002E7930">
        <w:rPr>
          <w:color w:val="auto"/>
        </w:rPr>
        <w:t>to learn, influence and adapt for regulatory impact.</w:t>
      </w:r>
    </w:p>
    <w:p w14:paraId="32706B75" w14:textId="77777777" w:rsidR="002E7930" w:rsidRDefault="002E7930">
      <w:pPr>
        <w:suppressAutoHyphens w:val="0"/>
        <w:spacing w:before="120" w:after="120" w:line="240" w:lineRule="auto"/>
        <w:rPr>
          <w:color w:val="auto"/>
        </w:rPr>
      </w:pPr>
      <w:r>
        <w:rPr>
          <w:color w:val="auto"/>
        </w:rPr>
        <w:br w:type="page"/>
      </w:r>
    </w:p>
    <w:p w14:paraId="1DD73BCD" w14:textId="77777777" w:rsidR="00EA458C" w:rsidRDefault="00EA458C" w:rsidP="002E7930">
      <w:pPr>
        <w:pStyle w:val="Heading2"/>
      </w:pPr>
      <w:bookmarkStart w:id="57" w:name="_Toc112642118"/>
      <w:r>
        <w:lastRenderedPageBreak/>
        <w:t>Workforce capability</w:t>
      </w:r>
      <w:bookmarkEnd w:id="57"/>
    </w:p>
    <w:p w14:paraId="651DE835" w14:textId="77777777" w:rsidR="00EA458C" w:rsidRDefault="00EA458C" w:rsidP="00EA458C">
      <w:pPr>
        <w:suppressAutoHyphens w:val="0"/>
        <w:spacing w:before="120" w:after="120" w:line="240" w:lineRule="auto"/>
      </w:pPr>
      <w:r>
        <w:t>Our ability to achieve our strategic priorities is reliant on a workforce that is united, capable, and empowered.</w:t>
      </w:r>
    </w:p>
    <w:p w14:paraId="4762370F" w14:textId="77777777" w:rsidR="00EA458C" w:rsidRDefault="00EA458C" w:rsidP="00EA458C">
      <w:pPr>
        <w:suppressAutoHyphens w:val="0"/>
        <w:spacing w:before="120" w:after="120" w:line="240" w:lineRule="auto"/>
      </w:pPr>
      <w:r>
        <w:t>Over the next 12 months, we will launch a workforce strategy that:</w:t>
      </w:r>
    </w:p>
    <w:p w14:paraId="1DE71351" w14:textId="77777777" w:rsidR="00EA458C" w:rsidRDefault="00EA458C" w:rsidP="002E7930">
      <w:pPr>
        <w:pStyle w:val="Bullet1"/>
      </w:pPr>
      <w:r>
        <w:t>inspires leaders to set the standard of regulatory excellence the NDIS Commission strives for, and model the cultural behaviours that achieve the outcomes we want.</w:t>
      </w:r>
    </w:p>
    <w:p w14:paraId="44DCCE3C" w14:textId="77777777" w:rsidR="00EA458C" w:rsidRDefault="00EA458C" w:rsidP="002E7930">
      <w:pPr>
        <w:pStyle w:val="Bullet1"/>
      </w:pPr>
      <w:r>
        <w:t>creates a high-performing and efficient team with a clear understanding of our organisation’s purpose and the confidence to meaningfully engage with people with disability.</w:t>
      </w:r>
    </w:p>
    <w:p w14:paraId="65E0BC65" w14:textId="77777777" w:rsidR="00EA458C" w:rsidRDefault="00EA458C" w:rsidP="002E7930">
      <w:pPr>
        <w:pStyle w:val="Bullet1"/>
      </w:pPr>
      <w:r>
        <w:t>establishes the NDIS Commission as a pioneer in innovative and adaptive regulation that attracts talented people to join our organisation.</w:t>
      </w:r>
    </w:p>
    <w:p w14:paraId="79A85E68" w14:textId="77777777" w:rsidR="00EA458C" w:rsidRDefault="00EA458C" w:rsidP="00EA458C">
      <w:pPr>
        <w:suppressAutoHyphens w:val="0"/>
        <w:spacing w:before="120" w:after="120" w:line="240" w:lineRule="auto"/>
      </w:pPr>
      <w:r>
        <w:t>Our commitment to making progress across each of these priorities in the next five years is motivated by the positive impact we want to achieve for NDIS participants and providers, and the wider disability sector.</w:t>
      </w:r>
    </w:p>
    <w:p w14:paraId="4B3AB551" w14:textId="77777777" w:rsidR="00EA458C" w:rsidRDefault="002E7930" w:rsidP="002E7930">
      <w:pPr>
        <w:pStyle w:val="call-out"/>
      </w:pPr>
      <w:r>
        <w:t>Our team will be an important influencer of change across the NDIS market by building connections and collaboration across the NDIS Commission and with providers, peers, participants, and other NDIS stakeholders.</w:t>
      </w:r>
    </w:p>
    <w:p w14:paraId="264AAFE1" w14:textId="77777777" w:rsidR="00EA458C" w:rsidRDefault="00EA458C" w:rsidP="00EA458C">
      <w:pPr>
        <w:suppressAutoHyphens w:val="0"/>
        <w:spacing w:before="120" w:after="120" w:line="240" w:lineRule="auto"/>
      </w:pPr>
      <w:r>
        <w:t>This includes through relevant education programs and insightful thought leadership.</w:t>
      </w:r>
    </w:p>
    <w:p w14:paraId="1A4A2135" w14:textId="5646A1D0" w:rsidR="00EA458C" w:rsidRDefault="00EA458C" w:rsidP="00EA458C">
      <w:pPr>
        <w:suppressAutoHyphens w:val="0"/>
        <w:spacing w:before="120" w:after="120" w:line="240" w:lineRule="auto"/>
      </w:pPr>
      <w:r>
        <w:t xml:space="preserve">In addition to our five priorities, the NDIS Commission will always fulfil its routine legislated activities, as outlined in </w:t>
      </w:r>
      <w:r w:rsidRPr="001F4A1E">
        <w:t xml:space="preserve">Appendix B (page </w:t>
      </w:r>
      <w:r w:rsidR="00EE67AD" w:rsidRPr="001F4A1E">
        <w:t>30</w:t>
      </w:r>
      <w:r w:rsidRPr="001F4A1E">
        <w:t>).</w:t>
      </w:r>
    </w:p>
    <w:p w14:paraId="28E8B942" w14:textId="77777777" w:rsidR="002E7930" w:rsidRDefault="002E7930">
      <w:pPr>
        <w:suppressAutoHyphens w:val="0"/>
        <w:spacing w:before="120" w:after="120" w:line="240" w:lineRule="auto"/>
      </w:pPr>
      <w:r>
        <w:br w:type="page"/>
      </w:r>
    </w:p>
    <w:p w14:paraId="0317EC00" w14:textId="77777777" w:rsidR="00EA458C" w:rsidRDefault="00EA458C" w:rsidP="002E7930">
      <w:pPr>
        <w:pStyle w:val="Heading1"/>
      </w:pPr>
      <w:bookmarkStart w:id="58" w:name="_Performance_metrics"/>
      <w:bookmarkStart w:id="59" w:name="_Toc112642119"/>
      <w:bookmarkEnd w:id="58"/>
      <w:r>
        <w:lastRenderedPageBreak/>
        <w:t>Performance metrics</w:t>
      </w:r>
      <w:bookmarkEnd w:id="59"/>
    </w:p>
    <w:p w14:paraId="47C5795E" w14:textId="77777777" w:rsidR="00EA458C" w:rsidRDefault="00EA458C" w:rsidP="002E7930">
      <w:pPr>
        <w:pStyle w:val="firstparagraph"/>
      </w:pPr>
      <w:r>
        <w:t>During the transitional, or establishment, phase of the Commission, our performance was measured predominantly in qualitative analysis, as we did not yet have the data holdings to provide meaningful comparative numeric information. We n</w:t>
      </w:r>
      <w:r w:rsidR="002E7930">
        <w:t xml:space="preserve">ow have increasing access </w:t>
      </w:r>
      <w:r>
        <w:t>to larger amounts of quality data, and so can begin to evolve our performance reporting to include more specific measures and targets. This brings us closer to achieving the required blend of qualitative and quantitative insights that will lead to more effective operations and contributions to the sector.</w:t>
      </w:r>
    </w:p>
    <w:p w14:paraId="7DCDDBEC" w14:textId="77777777" w:rsidR="00EA458C" w:rsidRDefault="00EA458C" w:rsidP="00EA458C">
      <w:pPr>
        <w:suppressAutoHyphens w:val="0"/>
        <w:spacing w:before="120" w:after="120" w:line="240" w:lineRule="auto"/>
      </w:pPr>
      <w:r>
        <w:t>As part of our Future State planning, and during the development of our five-year Strategic Plan, we established a Metrics Working Group to discuss the current data capabilities and future data needs of the Commission’s areas and processes.</w:t>
      </w:r>
    </w:p>
    <w:p w14:paraId="5D7AD63B" w14:textId="77777777" w:rsidR="00EA458C" w:rsidRDefault="00EA458C" w:rsidP="00EA458C">
      <w:pPr>
        <w:suppressAutoHyphens w:val="0"/>
        <w:spacing w:before="120" w:after="120" w:line="240" w:lineRule="auto"/>
      </w:pPr>
      <w:r>
        <w:t>We are now able to start providing baseline data against targets aligned with our strategic impact areas, and we are determined to establish key performance indicators that will, over time, create longitudinal datasets that will reflect our achievements and inform our continuous improvement efforts.</w:t>
      </w:r>
    </w:p>
    <w:p w14:paraId="4C798C0B" w14:textId="77777777" w:rsidR="00EA458C" w:rsidRDefault="00EA458C" w:rsidP="00EA458C">
      <w:pPr>
        <w:suppressAutoHyphens w:val="0"/>
        <w:spacing w:before="120" w:after="120" w:line="240" w:lineRule="auto"/>
      </w:pPr>
      <w:r>
        <w:t>The three Impacts set out below are those set out in the NDIS Commission Strategic Plan 2022–2027.</w:t>
      </w:r>
    </w:p>
    <w:p w14:paraId="6DFE7070" w14:textId="77777777" w:rsidR="00EA458C" w:rsidRDefault="00EA458C" w:rsidP="00EA458C">
      <w:pPr>
        <w:suppressAutoHyphens w:val="0"/>
        <w:spacing w:before="120" w:after="120" w:line="240" w:lineRule="auto"/>
      </w:pPr>
      <w:r>
        <w:t>The Performance Measures state the outcomes we aim to achieve.</w:t>
      </w:r>
    </w:p>
    <w:p w14:paraId="552C6ED9" w14:textId="77777777" w:rsidR="00EA458C" w:rsidRDefault="00EA458C" w:rsidP="00EA458C">
      <w:pPr>
        <w:suppressAutoHyphens w:val="0"/>
        <w:spacing w:before="120" w:after="120" w:line="240" w:lineRule="auto"/>
      </w:pPr>
      <w:r>
        <w:t>The Targets indicate quantitative and qualitative ways in which we will show movement both this year, 2022–23, and over a forecast four years following that.</w:t>
      </w:r>
    </w:p>
    <w:p w14:paraId="24A565E8" w14:textId="77777777" w:rsidR="00EA458C" w:rsidRDefault="00EA458C" w:rsidP="00EA458C">
      <w:pPr>
        <w:suppressAutoHyphens w:val="0"/>
        <w:spacing w:before="120" w:after="120" w:line="240" w:lineRule="auto"/>
      </w:pPr>
      <w:r>
        <w:t>Performance against our measures and targets will be reported on in the Annual Performance Statements 2022–23, which will be published in the NDIS Commission’s Annual Report 2022–23.</w:t>
      </w:r>
    </w:p>
    <w:p w14:paraId="78433E68" w14:textId="77777777" w:rsidR="00E47366" w:rsidRDefault="00E47366">
      <w:pPr>
        <w:suppressAutoHyphens w:val="0"/>
        <w:spacing w:before="120" w:after="120" w:line="240" w:lineRule="auto"/>
        <w:rPr>
          <w:color w:val="612C69"/>
          <w:sz w:val="32"/>
        </w:rPr>
      </w:pPr>
      <w:r>
        <w:br w:type="page"/>
      </w:r>
    </w:p>
    <w:p w14:paraId="46BE26C6" w14:textId="77777777" w:rsidR="00DD6202" w:rsidRPr="00E47366" w:rsidRDefault="00DD6202" w:rsidP="00E47366">
      <w:pPr>
        <w:pStyle w:val="Heading2"/>
        <w:rPr>
          <w:color w:val="275D3A"/>
        </w:rPr>
      </w:pPr>
      <w:bookmarkStart w:id="60" w:name="_Toc112642120"/>
      <w:r w:rsidRPr="00E47366">
        <w:rPr>
          <w:color w:val="275D3A"/>
        </w:rPr>
        <w:lastRenderedPageBreak/>
        <w:t>Impact 1 – The rights of people with disability</w:t>
      </w:r>
      <w:bookmarkEnd w:id="60"/>
    </w:p>
    <w:p w14:paraId="07E251AD" w14:textId="77777777" w:rsidR="00DD6202" w:rsidRDefault="00DD6202" w:rsidP="00DD6202">
      <w:pPr>
        <w:suppressAutoHyphens w:val="0"/>
        <w:spacing w:before="120" w:after="120" w:line="240" w:lineRule="auto"/>
      </w:pPr>
      <w:r>
        <w:t>The NDIS Commission amplifies and promotes the rights of people with disability by creating and enabling access to and delivery of quality services and supports.</w:t>
      </w:r>
    </w:p>
    <w:p w14:paraId="106401DD" w14:textId="77777777" w:rsidR="00EA458C" w:rsidRPr="00E47366" w:rsidRDefault="00EA458C" w:rsidP="00246A7B">
      <w:pPr>
        <w:pStyle w:val="Heading3"/>
        <w:spacing w:before="240" w:after="120"/>
        <w:rPr>
          <w:b w:val="0"/>
          <w:color w:val="275D3A"/>
        </w:rPr>
      </w:pPr>
      <w:bookmarkStart w:id="61" w:name="_Toc112642121"/>
      <w:r w:rsidRPr="00E47366">
        <w:rPr>
          <w:b w:val="0"/>
          <w:color w:val="275D3A"/>
        </w:rPr>
        <w:t>PM 1.1: People with disability know their rights and trust us to support them and their carers and advocates to make complaints, and report violence, abuse, neglect and risk of harm</w:t>
      </w:r>
      <w:bookmarkEnd w:id="61"/>
    </w:p>
    <w:tbl>
      <w:tblPr>
        <w:tblW w:w="8901" w:type="dxa"/>
        <w:tblLayout w:type="fixed"/>
        <w:tblCellMar>
          <w:left w:w="0" w:type="dxa"/>
          <w:right w:w="0" w:type="dxa"/>
        </w:tblCellMar>
        <w:tblLook w:val="01E0" w:firstRow="1" w:lastRow="1" w:firstColumn="1" w:lastColumn="1" w:noHBand="0" w:noVBand="0"/>
      </w:tblPr>
      <w:tblGrid>
        <w:gridCol w:w="3005"/>
        <w:gridCol w:w="1474"/>
        <w:gridCol w:w="1474"/>
        <w:gridCol w:w="1474"/>
        <w:gridCol w:w="1474"/>
      </w:tblGrid>
      <w:tr w:rsidR="00E47366" w14:paraId="1123EDB9" w14:textId="77777777" w:rsidTr="00E47366">
        <w:trPr>
          <w:cantSplit/>
          <w:trHeight w:val="546"/>
          <w:tblHeader/>
        </w:trPr>
        <w:tc>
          <w:tcPr>
            <w:tcW w:w="3005" w:type="dxa"/>
            <w:tcBorders>
              <w:top w:val="single" w:sz="18" w:space="0" w:color="246042"/>
              <w:bottom w:val="single" w:sz="6" w:space="0" w:color="5F636A"/>
            </w:tcBorders>
            <w:shd w:val="clear" w:color="auto" w:fill="EDF0F0"/>
          </w:tcPr>
          <w:p w14:paraId="67A82E9C" w14:textId="77777777" w:rsidR="00E47366" w:rsidRPr="0028213F" w:rsidRDefault="00E47366" w:rsidP="00E47366">
            <w:pPr>
              <w:pStyle w:val="TableParagraph"/>
              <w:spacing w:before="136"/>
              <w:ind w:left="142"/>
              <w:rPr>
                <w:rFonts w:asciiTheme="minorHAnsi" w:hAnsiTheme="minorHAnsi"/>
                <w:sz w:val="24"/>
                <w:szCs w:val="24"/>
              </w:rPr>
            </w:pPr>
            <w:r w:rsidRPr="0028213F">
              <w:rPr>
                <w:rFonts w:asciiTheme="minorHAnsi" w:hAnsiTheme="minorHAnsi"/>
                <w:color w:val="246042"/>
                <w:sz w:val="24"/>
                <w:szCs w:val="24"/>
              </w:rPr>
              <w:t>Targets for 2022–23</w:t>
            </w:r>
          </w:p>
        </w:tc>
        <w:tc>
          <w:tcPr>
            <w:tcW w:w="1474" w:type="dxa"/>
            <w:tcBorders>
              <w:top w:val="single" w:sz="18" w:space="0" w:color="246042"/>
              <w:bottom w:val="single" w:sz="6" w:space="0" w:color="5F636A"/>
            </w:tcBorders>
            <w:shd w:val="clear" w:color="auto" w:fill="EDF0F0"/>
          </w:tcPr>
          <w:p w14:paraId="3A1100C5" w14:textId="77777777" w:rsidR="00E47366" w:rsidRPr="0028213F" w:rsidRDefault="00E47366" w:rsidP="00E47366">
            <w:pPr>
              <w:pStyle w:val="TableParagraph"/>
              <w:spacing w:before="136"/>
              <w:ind w:left="142"/>
              <w:rPr>
                <w:rFonts w:asciiTheme="minorHAnsi" w:hAnsiTheme="minorHAnsi"/>
                <w:sz w:val="24"/>
                <w:szCs w:val="24"/>
              </w:rPr>
            </w:pPr>
            <w:r w:rsidRPr="0028213F">
              <w:rPr>
                <w:rFonts w:asciiTheme="minorHAnsi" w:hAnsiTheme="minorHAnsi"/>
                <w:color w:val="246042"/>
                <w:sz w:val="24"/>
                <w:szCs w:val="24"/>
              </w:rPr>
              <w:t>2023–24</w:t>
            </w:r>
          </w:p>
        </w:tc>
        <w:tc>
          <w:tcPr>
            <w:tcW w:w="1474" w:type="dxa"/>
            <w:tcBorders>
              <w:top w:val="single" w:sz="18" w:space="0" w:color="246042"/>
              <w:bottom w:val="single" w:sz="6" w:space="0" w:color="5F636A"/>
            </w:tcBorders>
            <w:shd w:val="clear" w:color="auto" w:fill="EDF0F0"/>
          </w:tcPr>
          <w:p w14:paraId="39576733" w14:textId="77777777" w:rsidR="00E47366" w:rsidRPr="0028213F" w:rsidRDefault="00E47366" w:rsidP="00E47366">
            <w:pPr>
              <w:pStyle w:val="TableParagraph"/>
              <w:spacing w:before="136"/>
              <w:ind w:left="142"/>
              <w:rPr>
                <w:rFonts w:asciiTheme="minorHAnsi" w:hAnsiTheme="minorHAnsi"/>
                <w:sz w:val="24"/>
                <w:szCs w:val="24"/>
              </w:rPr>
            </w:pPr>
            <w:r w:rsidRPr="0028213F">
              <w:rPr>
                <w:rFonts w:asciiTheme="minorHAnsi" w:hAnsiTheme="minorHAnsi"/>
                <w:color w:val="246042"/>
                <w:sz w:val="24"/>
                <w:szCs w:val="24"/>
              </w:rPr>
              <w:t>2024–25</w:t>
            </w:r>
          </w:p>
        </w:tc>
        <w:tc>
          <w:tcPr>
            <w:tcW w:w="1474" w:type="dxa"/>
            <w:tcBorders>
              <w:top w:val="single" w:sz="18" w:space="0" w:color="246042"/>
              <w:bottom w:val="single" w:sz="6" w:space="0" w:color="5F636A"/>
            </w:tcBorders>
            <w:shd w:val="clear" w:color="auto" w:fill="EDF0F0"/>
          </w:tcPr>
          <w:p w14:paraId="691EDD00" w14:textId="77777777" w:rsidR="00E47366" w:rsidRPr="0028213F" w:rsidRDefault="00E47366" w:rsidP="00E47366">
            <w:pPr>
              <w:pStyle w:val="TableParagraph"/>
              <w:spacing w:before="136"/>
              <w:ind w:left="142"/>
              <w:rPr>
                <w:rFonts w:asciiTheme="minorHAnsi" w:hAnsiTheme="minorHAnsi"/>
                <w:sz w:val="24"/>
                <w:szCs w:val="24"/>
              </w:rPr>
            </w:pPr>
            <w:r w:rsidRPr="0028213F">
              <w:rPr>
                <w:rFonts w:asciiTheme="minorHAnsi" w:hAnsiTheme="minorHAnsi"/>
                <w:color w:val="246042"/>
                <w:sz w:val="24"/>
                <w:szCs w:val="24"/>
              </w:rPr>
              <w:t>2025–26</w:t>
            </w:r>
          </w:p>
        </w:tc>
        <w:tc>
          <w:tcPr>
            <w:tcW w:w="1474" w:type="dxa"/>
            <w:tcBorders>
              <w:top w:val="single" w:sz="18" w:space="0" w:color="246042"/>
              <w:bottom w:val="single" w:sz="6" w:space="0" w:color="5F636A"/>
            </w:tcBorders>
            <w:shd w:val="clear" w:color="auto" w:fill="EDF0F0"/>
          </w:tcPr>
          <w:p w14:paraId="60114228" w14:textId="77777777" w:rsidR="00E47366" w:rsidRPr="0028213F" w:rsidRDefault="00E47366" w:rsidP="00E47366">
            <w:pPr>
              <w:pStyle w:val="TableParagraph"/>
              <w:spacing w:before="136"/>
              <w:ind w:left="142"/>
              <w:rPr>
                <w:rFonts w:asciiTheme="minorHAnsi" w:hAnsiTheme="minorHAnsi"/>
                <w:sz w:val="24"/>
                <w:szCs w:val="24"/>
              </w:rPr>
            </w:pPr>
            <w:r w:rsidRPr="0028213F">
              <w:rPr>
                <w:rFonts w:asciiTheme="minorHAnsi" w:hAnsiTheme="minorHAnsi"/>
                <w:color w:val="246042"/>
                <w:sz w:val="24"/>
                <w:szCs w:val="24"/>
              </w:rPr>
              <w:t>2026–27</w:t>
            </w:r>
          </w:p>
        </w:tc>
      </w:tr>
      <w:tr w:rsidR="00E47366" w14:paraId="6F30BBE6" w14:textId="77777777" w:rsidTr="00E47366">
        <w:trPr>
          <w:cantSplit/>
          <w:trHeight w:val="872"/>
        </w:trPr>
        <w:tc>
          <w:tcPr>
            <w:tcW w:w="3005" w:type="dxa"/>
            <w:tcBorders>
              <w:top w:val="single" w:sz="6" w:space="0" w:color="5F636A"/>
              <w:bottom w:val="single" w:sz="4" w:space="0" w:color="5F636A"/>
            </w:tcBorders>
          </w:tcPr>
          <w:p w14:paraId="2A6388FB" w14:textId="77777777" w:rsidR="00E47366" w:rsidRPr="00E47366" w:rsidRDefault="00E47366" w:rsidP="00246A7B">
            <w:pPr>
              <w:pStyle w:val="TableParagraph"/>
              <w:spacing w:before="60" w:after="120"/>
              <w:ind w:left="142" w:right="326"/>
              <w:rPr>
                <w:rFonts w:asciiTheme="minorHAnsi" w:hAnsiTheme="minorHAnsi"/>
              </w:rPr>
            </w:pPr>
            <w:r w:rsidRPr="00E47366">
              <w:rPr>
                <w:rFonts w:asciiTheme="minorHAnsi" w:hAnsiTheme="minorHAnsi"/>
              </w:rPr>
              <w:t>80% of respondents said they trust the NDIS Commission</w:t>
            </w:r>
          </w:p>
        </w:tc>
        <w:tc>
          <w:tcPr>
            <w:tcW w:w="1474" w:type="dxa"/>
            <w:tcBorders>
              <w:top w:val="single" w:sz="6" w:space="0" w:color="5F636A"/>
              <w:bottom w:val="single" w:sz="4" w:space="0" w:color="5F636A"/>
            </w:tcBorders>
          </w:tcPr>
          <w:p w14:paraId="478AD68E" w14:textId="77777777" w:rsidR="00E47366" w:rsidRPr="00E47366" w:rsidRDefault="00E47366" w:rsidP="00246A7B">
            <w:pPr>
              <w:pStyle w:val="TableParagraph"/>
              <w:spacing w:before="60" w:after="120"/>
              <w:ind w:left="142"/>
              <w:rPr>
                <w:rFonts w:asciiTheme="minorHAnsi" w:hAnsiTheme="minorHAnsi"/>
              </w:rPr>
            </w:pPr>
            <w:r w:rsidRPr="00E47366">
              <w:rPr>
                <w:rFonts w:asciiTheme="minorHAnsi" w:hAnsiTheme="minorHAnsi"/>
              </w:rPr>
              <w:t>83% trust</w:t>
            </w:r>
          </w:p>
        </w:tc>
        <w:tc>
          <w:tcPr>
            <w:tcW w:w="1474" w:type="dxa"/>
            <w:tcBorders>
              <w:top w:val="single" w:sz="6" w:space="0" w:color="5F636A"/>
              <w:bottom w:val="single" w:sz="4" w:space="0" w:color="5F636A"/>
            </w:tcBorders>
          </w:tcPr>
          <w:p w14:paraId="3455E977" w14:textId="77777777" w:rsidR="00E47366" w:rsidRPr="00E47366" w:rsidRDefault="00E47366" w:rsidP="00246A7B">
            <w:pPr>
              <w:pStyle w:val="TableParagraph"/>
              <w:spacing w:before="60" w:after="120"/>
              <w:ind w:left="142"/>
              <w:rPr>
                <w:rFonts w:asciiTheme="minorHAnsi" w:hAnsiTheme="minorHAnsi"/>
              </w:rPr>
            </w:pPr>
            <w:r w:rsidRPr="00E47366">
              <w:rPr>
                <w:rFonts w:asciiTheme="minorHAnsi" w:hAnsiTheme="minorHAnsi"/>
              </w:rPr>
              <w:t>85% trust</w:t>
            </w:r>
          </w:p>
        </w:tc>
        <w:tc>
          <w:tcPr>
            <w:tcW w:w="1474" w:type="dxa"/>
            <w:tcBorders>
              <w:top w:val="single" w:sz="6" w:space="0" w:color="5F636A"/>
              <w:bottom w:val="single" w:sz="4" w:space="0" w:color="5F636A"/>
            </w:tcBorders>
          </w:tcPr>
          <w:p w14:paraId="5EEA58F0" w14:textId="77777777" w:rsidR="00E47366" w:rsidRPr="00E47366" w:rsidRDefault="00E47366" w:rsidP="00246A7B">
            <w:pPr>
              <w:pStyle w:val="TableParagraph"/>
              <w:spacing w:before="60" w:after="120"/>
              <w:ind w:left="142"/>
              <w:rPr>
                <w:rFonts w:asciiTheme="minorHAnsi" w:hAnsiTheme="minorHAnsi"/>
              </w:rPr>
            </w:pPr>
            <w:r w:rsidRPr="00E47366">
              <w:rPr>
                <w:rFonts w:asciiTheme="minorHAnsi" w:hAnsiTheme="minorHAnsi"/>
              </w:rPr>
              <w:t>87% trust</w:t>
            </w:r>
          </w:p>
        </w:tc>
        <w:tc>
          <w:tcPr>
            <w:tcW w:w="1474" w:type="dxa"/>
            <w:tcBorders>
              <w:top w:val="single" w:sz="6" w:space="0" w:color="5F636A"/>
              <w:bottom w:val="single" w:sz="4" w:space="0" w:color="5F636A"/>
            </w:tcBorders>
          </w:tcPr>
          <w:p w14:paraId="5F62DFCE" w14:textId="77777777" w:rsidR="00E47366" w:rsidRPr="00E47366" w:rsidRDefault="00E47366" w:rsidP="00246A7B">
            <w:pPr>
              <w:pStyle w:val="TableParagraph"/>
              <w:spacing w:before="60" w:after="120"/>
              <w:ind w:left="142"/>
              <w:rPr>
                <w:rFonts w:asciiTheme="minorHAnsi" w:hAnsiTheme="minorHAnsi"/>
              </w:rPr>
            </w:pPr>
            <w:r w:rsidRPr="00E47366">
              <w:rPr>
                <w:rFonts w:asciiTheme="minorHAnsi" w:hAnsiTheme="minorHAnsi"/>
              </w:rPr>
              <w:t>90% trust</w:t>
            </w:r>
          </w:p>
        </w:tc>
      </w:tr>
      <w:tr w:rsidR="00E47366" w14:paraId="74D203F8" w14:textId="77777777" w:rsidTr="00E47366">
        <w:trPr>
          <w:cantSplit/>
          <w:trHeight w:val="1400"/>
        </w:trPr>
        <w:tc>
          <w:tcPr>
            <w:tcW w:w="3005" w:type="dxa"/>
            <w:tcBorders>
              <w:top w:val="single" w:sz="4" w:space="0" w:color="5F636A"/>
              <w:bottom w:val="single" w:sz="4" w:space="0" w:color="5F636A"/>
            </w:tcBorders>
          </w:tcPr>
          <w:p w14:paraId="3BA54D22" w14:textId="77777777" w:rsidR="00E47366" w:rsidRPr="00E47366" w:rsidRDefault="00E47366" w:rsidP="00246A7B">
            <w:pPr>
              <w:pStyle w:val="TableParagraph"/>
              <w:spacing w:before="60" w:after="120"/>
              <w:ind w:left="142" w:right="140"/>
              <w:rPr>
                <w:rFonts w:asciiTheme="minorHAnsi" w:hAnsiTheme="minorHAnsi"/>
              </w:rPr>
            </w:pPr>
            <w:r w:rsidRPr="00E47366">
              <w:rPr>
                <w:rFonts w:asciiTheme="minorHAnsi" w:hAnsiTheme="minorHAnsi"/>
              </w:rPr>
              <w:t>60% of respondents said they were satisfied or very satisfied with the outcome of their interaction with the NDIS Commission</w:t>
            </w:r>
          </w:p>
        </w:tc>
        <w:tc>
          <w:tcPr>
            <w:tcW w:w="1474" w:type="dxa"/>
            <w:tcBorders>
              <w:top w:val="single" w:sz="4" w:space="0" w:color="5F636A"/>
              <w:bottom w:val="single" w:sz="4" w:space="0" w:color="5F636A"/>
            </w:tcBorders>
          </w:tcPr>
          <w:p w14:paraId="4F8CDE74" w14:textId="77777777" w:rsidR="00E47366" w:rsidRPr="00E47366" w:rsidRDefault="00E47366" w:rsidP="00246A7B">
            <w:pPr>
              <w:pStyle w:val="TableParagraph"/>
              <w:spacing w:before="60" w:after="120"/>
              <w:ind w:left="142"/>
              <w:rPr>
                <w:rFonts w:asciiTheme="minorHAnsi" w:hAnsiTheme="minorHAnsi"/>
              </w:rPr>
            </w:pPr>
            <w:r w:rsidRPr="00E47366">
              <w:rPr>
                <w:rFonts w:asciiTheme="minorHAnsi" w:hAnsiTheme="minorHAnsi"/>
              </w:rPr>
              <w:t>60% satisfied/ very satisfied</w:t>
            </w:r>
          </w:p>
        </w:tc>
        <w:tc>
          <w:tcPr>
            <w:tcW w:w="1474" w:type="dxa"/>
            <w:tcBorders>
              <w:top w:val="single" w:sz="4" w:space="0" w:color="5F636A"/>
              <w:bottom w:val="single" w:sz="4" w:space="0" w:color="5F636A"/>
            </w:tcBorders>
          </w:tcPr>
          <w:p w14:paraId="6A3EDE75" w14:textId="77777777" w:rsidR="00E47366" w:rsidRPr="00E47366" w:rsidRDefault="00E47366" w:rsidP="00246A7B">
            <w:pPr>
              <w:pStyle w:val="TableParagraph"/>
              <w:spacing w:before="60" w:after="120"/>
              <w:ind w:left="142"/>
              <w:rPr>
                <w:rFonts w:asciiTheme="minorHAnsi" w:hAnsiTheme="minorHAnsi"/>
              </w:rPr>
            </w:pPr>
            <w:r w:rsidRPr="00E47366">
              <w:rPr>
                <w:rFonts w:asciiTheme="minorHAnsi" w:hAnsiTheme="minorHAnsi"/>
              </w:rPr>
              <w:t>65% satisfied/ very satisfied</w:t>
            </w:r>
          </w:p>
        </w:tc>
        <w:tc>
          <w:tcPr>
            <w:tcW w:w="1474" w:type="dxa"/>
            <w:tcBorders>
              <w:top w:val="single" w:sz="4" w:space="0" w:color="5F636A"/>
              <w:bottom w:val="single" w:sz="4" w:space="0" w:color="5F636A"/>
            </w:tcBorders>
          </w:tcPr>
          <w:p w14:paraId="08E911F0" w14:textId="77777777" w:rsidR="00E47366" w:rsidRPr="00E47366" w:rsidRDefault="00E47366" w:rsidP="00246A7B">
            <w:pPr>
              <w:pStyle w:val="TableParagraph"/>
              <w:spacing w:before="60" w:after="120"/>
              <w:ind w:left="142"/>
              <w:rPr>
                <w:rFonts w:asciiTheme="minorHAnsi" w:hAnsiTheme="minorHAnsi"/>
              </w:rPr>
            </w:pPr>
            <w:r w:rsidRPr="00E47366">
              <w:rPr>
                <w:rFonts w:asciiTheme="minorHAnsi" w:hAnsiTheme="minorHAnsi"/>
              </w:rPr>
              <w:t>70% satisfied/ very satisfied</w:t>
            </w:r>
          </w:p>
        </w:tc>
        <w:tc>
          <w:tcPr>
            <w:tcW w:w="1474" w:type="dxa"/>
            <w:tcBorders>
              <w:top w:val="single" w:sz="4" w:space="0" w:color="5F636A"/>
              <w:bottom w:val="single" w:sz="4" w:space="0" w:color="5F636A"/>
            </w:tcBorders>
          </w:tcPr>
          <w:p w14:paraId="7061D916" w14:textId="77777777" w:rsidR="00E47366" w:rsidRPr="00E47366" w:rsidRDefault="00E47366" w:rsidP="00246A7B">
            <w:pPr>
              <w:pStyle w:val="TableParagraph"/>
              <w:spacing w:before="60" w:after="120"/>
              <w:ind w:left="142"/>
              <w:rPr>
                <w:rFonts w:asciiTheme="minorHAnsi" w:hAnsiTheme="minorHAnsi"/>
              </w:rPr>
            </w:pPr>
            <w:r w:rsidRPr="00E47366">
              <w:rPr>
                <w:rFonts w:asciiTheme="minorHAnsi" w:hAnsiTheme="minorHAnsi"/>
              </w:rPr>
              <w:t>75% satisfied/ very satisfied</w:t>
            </w:r>
          </w:p>
        </w:tc>
      </w:tr>
      <w:tr w:rsidR="00E47366" w14:paraId="33B5442B" w14:textId="77777777" w:rsidTr="00E47366">
        <w:trPr>
          <w:cantSplit/>
          <w:trHeight w:val="608"/>
        </w:trPr>
        <w:tc>
          <w:tcPr>
            <w:tcW w:w="3005" w:type="dxa"/>
            <w:tcBorders>
              <w:top w:val="single" w:sz="4" w:space="0" w:color="5F636A"/>
              <w:bottom w:val="single" w:sz="4" w:space="0" w:color="5F636A"/>
            </w:tcBorders>
          </w:tcPr>
          <w:p w14:paraId="37EF3F59" w14:textId="77777777" w:rsidR="00E47366" w:rsidRPr="00E47366" w:rsidRDefault="00E47366" w:rsidP="00246A7B">
            <w:pPr>
              <w:pStyle w:val="TableParagraph"/>
              <w:spacing w:before="60" w:after="120"/>
              <w:ind w:left="142"/>
              <w:rPr>
                <w:rFonts w:asciiTheme="minorHAnsi" w:hAnsiTheme="minorHAnsi"/>
              </w:rPr>
            </w:pPr>
            <w:r w:rsidRPr="00E47366">
              <w:rPr>
                <w:rFonts w:asciiTheme="minorHAnsi" w:hAnsiTheme="minorHAnsi"/>
              </w:rPr>
              <w:t xml:space="preserve">70% of complaints resolved </w:t>
            </w:r>
            <w:r w:rsidR="00246A7B">
              <w:rPr>
                <w:rFonts w:asciiTheme="minorHAnsi" w:hAnsiTheme="minorHAnsi"/>
              </w:rPr>
              <w:br/>
            </w:r>
            <w:r w:rsidRPr="00E47366">
              <w:rPr>
                <w:rFonts w:asciiTheme="minorHAnsi" w:hAnsiTheme="minorHAnsi"/>
              </w:rPr>
              <w:t>in 90 days</w:t>
            </w:r>
          </w:p>
        </w:tc>
        <w:tc>
          <w:tcPr>
            <w:tcW w:w="1474" w:type="dxa"/>
            <w:tcBorders>
              <w:top w:val="single" w:sz="4" w:space="0" w:color="5F636A"/>
              <w:bottom w:val="single" w:sz="4" w:space="0" w:color="5F636A"/>
            </w:tcBorders>
          </w:tcPr>
          <w:p w14:paraId="705E15B7" w14:textId="77777777" w:rsidR="00E47366" w:rsidRPr="00E47366" w:rsidRDefault="00E47366" w:rsidP="00246A7B">
            <w:pPr>
              <w:pStyle w:val="TableParagraph"/>
              <w:spacing w:before="60" w:after="120"/>
              <w:ind w:left="142"/>
              <w:rPr>
                <w:rFonts w:asciiTheme="minorHAnsi" w:hAnsiTheme="minorHAnsi"/>
              </w:rPr>
            </w:pPr>
            <w:r w:rsidRPr="00E47366">
              <w:rPr>
                <w:rFonts w:asciiTheme="minorHAnsi" w:hAnsiTheme="minorHAnsi"/>
              </w:rPr>
              <w:t>73%</w:t>
            </w:r>
          </w:p>
        </w:tc>
        <w:tc>
          <w:tcPr>
            <w:tcW w:w="1474" w:type="dxa"/>
            <w:tcBorders>
              <w:top w:val="single" w:sz="4" w:space="0" w:color="5F636A"/>
              <w:bottom w:val="single" w:sz="4" w:space="0" w:color="5F636A"/>
            </w:tcBorders>
          </w:tcPr>
          <w:p w14:paraId="64740C42" w14:textId="77777777" w:rsidR="00E47366" w:rsidRPr="00E47366" w:rsidRDefault="00E47366" w:rsidP="00246A7B">
            <w:pPr>
              <w:pStyle w:val="TableParagraph"/>
              <w:spacing w:before="60" w:after="120"/>
              <w:ind w:left="142"/>
              <w:rPr>
                <w:rFonts w:asciiTheme="minorHAnsi" w:hAnsiTheme="minorHAnsi"/>
              </w:rPr>
            </w:pPr>
            <w:r w:rsidRPr="00E47366">
              <w:rPr>
                <w:rFonts w:asciiTheme="minorHAnsi" w:hAnsiTheme="minorHAnsi"/>
              </w:rPr>
              <w:t>75%</w:t>
            </w:r>
          </w:p>
        </w:tc>
        <w:tc>
          <w:tcPr>
            <w:tcW w:w="1474" w:type="dxa"/>
            <w:tcBorders>
              <w:top w:val="single" w:sz="4" w:space="0" w:color="5F636A"/>
              <w:bottom w:val="single" w:sz="4" w:space="0" w:color="5F636A"/>
            </w:tcBorders>
          </w:tcPr>
          <w:p w14:paraId="530726B4" w14:textId="77777777" w:rsidR="00E47366" w:rsidRPr="00E47366" w:rsidRDefault="00E47366" w:rsidP="00246A7B">
            <w:pPr>
              <w:pStyle w:val="TableParagraph"/>
              <w:spacing w:before="60" w:after="120"/>
              <w:ind w:left="142"/>
              <w:rPr>
                <w:rFonts w:asciiTheme="minorHAnsi" w:hAnsiTheme="minorHAnsi"/>
              </w:rPr>
            </w:pPr>
            <w:r w:rsidRPr="00E47366">
              <w:rPr>
                <w:rFonts w:asciiTheme="minorHAnsi" w:hAnsiTheme="minorHAnsi"/>
              </w:rPr>
              <w:t>77%</w:t>
            </w:r>
          </w:p>
        </w:tc>
        <w:tc>
          <w:tcPr>
            <w:tcW w:w="1474" w:type="dxa"/>
            <w:tcBorders>
              <w:top w:val="single" w:sz="4" w:space="0" w:color="5F636A"/>
              <w:bottom w:val="single" w:sz="4" w:space="0" w:color="5F636A"/>
            </w:tcBorders>
          </w:tcPr>
          <w:p w14:paraId="5464A25A" w14:textId="77777777" w:rsidR="00E47366" w:rsidRPr="00E47366" w:rsidRDefault="00E47366" w:rsidP="00246A7B">
            <w:pPr>
              <w:pStyle w:val="TableParagraph"/>
              <w:spacing w:before="60" w:after="120"/>
              <w:ind w:left="142"/>
              <w:rPr>
                <w:rFonts w:asciiTheme="minorHAnsi" w:hAnsiTheme="minorHAnsi"/>
              </w:rPr>
            </w:pPr>
            <w:r w:rsidRPr="00E47366">
              <w:rPr>
                <w:rFonts w:asciiTheme="minorHAnsi" w:hAnsiTheme="minorHAnsi"/>
              </w:rPr>
              <w:t>80%</w:t>
            </w:r>
          </w:p>
        </w:tc>
      </w:tr>
      <w:tr w:rsidR="00E47366" w14:paraId="26EA91E0" w14:textId="77777777" w:rsidTr="00E47366">
        <w:trPr>
          <w:cantSplit/>
          <w:trHeight w:val="2353"/>
        </w:trPr>
        <w:tc>
          <w:tcPr>
            <w:tcW w:w="3005" w:type="dxa"/>
            <w:tcBorders>
              <w:top w:val="single" w:sz="4" w:space="0" w:color="5F636A"/>
              <w:bottom w:val="single" w:sz="12" w:space="0" w:color="808080" w:themeColor="background1" w:themeShade="80"/>
            </w:tcBorders>
          </w:tcPr>
          <w:p w14:paraId="4C04E78F" w14:textId="77777777" w:rsidR="00E47366" w:rsidRPr="00E47366" w:rsidRDefault="00E47366" w:rsidP="00246A7B">
            <w:pPr>
              <w:pStyle w:val="TableParagraph"/>
              <w:spacing w:before="60" w:after="120"/>
              <w:ind w:left="142" w:right="522"/>
              <w:rPr>
                <w:rFonts w:asciiTheme="minorHAnsi" w:hAnsiTheme="minorHAnsi"/>
              </w:rPr>
            </w:pPr>
            <w:r w:rsidRPr="00E47366">
              <w:rPr>
                <w:rFonts w:asciiTheme="minorHAnsi" w:hAnsiTheme="minorHAnsi"/>
              </w:rPr>
              <w:t>Qualitative analysis of NDIS Commiss</w:t>
            </w:r>
            <w:r>
              <w:rPr>
                <w:rFonts w:asciiTheme="minorHAnsi" w:hAnsiTheme="minorHAnsi"/>
              </w:rPr>
              <w:t xml:space="preserve">ion communication and education campaigns promoting consumer </w:t>
            </w:r>
            <w:r w:rsidRPr="00E47366">
              <w:rPr>
                <w:rFonts w:asciiTheme="minorHAnsi" w:hAnsiTheme="minorHAnsi"/>
              </w:rPr>
              <w:t>independence and the rights of people with disability</w:t>
            </w:r>
          </w:p>
        </w:tc>
        <w:tc>
          <w:tcPr>
            <w:tcW w:w="1474" w:type="dxa"/>
            <w:tcBorders>
              <w:top w:val="single" w:sz="4" w:space="0" w:color="5F636A"/>
              <w:bottom w:val="single" w:sz="12" w:space="0" w:color="808080" w:themeColor="background1" w:themeShade="80"/>
            </w:tcBorders>
          </w:tcPr>
          <w:p w14:paraId="73342CCB" w14:textId="77777777" w:rsidR="00E47366" w:rsidRPr="00E47366" w:rsidRDefault="00E47366" w:rsidP="00246A7B">
            <w:pPr>
              <w:pStyle w:val="TableParagraph"/>
              <w:spacing w:before="60" w:after="120"/>
              <w:ind w:left="142"/>
              <w:rPr>
                <w:rFonts w:asciiTheme="minorHAnsi" w:hAnsiTheme="minorHAnsi"/>
              </w:rPr>
            </w:pPr>
            <w:r w:rsidRPr="00E47366">
              <w:rPr>
                <w:rFonts w:asciiTheme="minorHAnsi" w:hAnsiTheme="minorHAnsi"/>
              </w:rPr>
              <w:t>Qualitative analysis</w:t>
            </w:r>
          </w:p>
        </w:tc>
        <w:tc>
          <w:tcPr>
            <w:tcW w:w="1474" w:type="dxa"/>
            <w:tcBorders>
              <w:top w:val="single" w:sz="4" w:space="0" w:color="5F636A"/>
              <w:bottom w:val="single" w:sz="12" w:space="0" w:color="808080" w:themeColor="background1" w:themeShade="80"/>
            </w:tcBorders>
          </w:tcPr>
          <w:p w14:paraId="33A74B67" w14:textId="77777777" w:rsidR="00E47366" w:rsidRPr="00E47366" w:rsidRDefault="00E47366" w:rsidP="00246A7B">
            <w:pPr>
              <w:pStyle w:val="TableParagraph"/>
              <w:spacing w:before="60" w:after="120"/>
              <w:ind w:left="142"/>
              <w:rPr>
                <w:rFonts w:asciiTheme="minorHAnsi" w:hAnsiTheme="minorHAnsi"/>
              </w:rPr>
            </w:pPr>
            <w:r w:rsidRPr="00E47366">
              <w:rPr>
                <w:rFonts w:asciiTheme="minorHAnsi" w:hAnsiTheme="minorHAnsi"/>
              </w:rPr>
              <w:t>Qualitative analysis</w:t>
            </w:r>
          </w:p>
        </w:tc>
        <w:tc>
          <w:tcPr>
            <w:tcW w:w="1474" w:type="dxa"/>
            <w:tcBorders>
              <w:top w:val="single" w:sz="4" w:space="0" w:color="5F636A"/>
              <w:bottom w:val="single" w:sz="12" w:space="0" w:color="808080" w:themeColor="background1" w:themeShade="80"/>
            </w:tcBorders>
          </w:tcPr>
          <w:p w14:paraId="34047860" w14:textId="77777777" w:rsidR="00E47366" w:rsidRPr="00E47366" w:rsidRDefault="00E47366" w:rsidP="00246A7B">
            <w:pPr>
              <w:pStyle w:val="TableParagraph"/>
              <w:spacing w:before="60" w:after="120"/>
              <w:ind w:left="142"/>
              <w:rPr>
                <w:rFonts w:asciiTheme="minorHAnsi" w:hAnsiTheme="minorHAnsi"/>
              </w:rPr>
            </w:pPr>
            <w:r w:rsidRPr="00E47366">
              <w:rPr>
                <w:rFonts w:asciiTheme="minorHAnsi" w:hAnsiTheme="minorHAnsi"/>
              </w:rPr>
              <w:t>Qualitative analysis</w:t>
            </w:r>
          </w:p>
        </w:tc>
        <w:tc>
          <w:tcPr>
            <w:tcW w:w="1474" w:type="dxa"/>
            <w:tcBorders>
              <w:top w:val="single" w:sz="4" w:space="0" w:color="5F636A"/>
              <w:bottom w:val="single" w:sz="12" w:space="0" w:color="808080" w:themeColor="background1" w:themeShade="80"/>
            </w:tcBorders>
          </w:tcPr>
          <w:p w14:paraId="2A8AB911" w14:textId="77777777" w:rsidR="00E47366" w:rsidRPr="00E47366" w:rsidRDefault="00E47366" w:rsidP="00246A7B">
            <w:pPr>
              <w:pStyle w:val="TableParagraph"/>
              <w:spacing w:before="60" w:after="120"/>
              <w:ind w:left="142"/>
              <w:rPr>
                <w:rFonts w:asciiTheme="minorHAnsi" w:hAnsiTheme="minorHAnsi"/>
              </w:rPr>
            </w:pPr>
            <w:r w:rsidRPr="00E47366">
              <w:rPr>
                <w:rFonts w:asciiTheme="minorHAnsi" w:hAnsiTheme="minorHAnsi"/>
              </w:rPr>
              <w:t>Qualitative analysis</w:t>
            </w:r>
          </w:p>
        </w:tc>
      </w:tr>
    </w:tbl>
    <w:p w14:paraId="0FEB09E8" w14:textId="77777777" w:rsidR="00EA458C" w:rsidRPr="00E47366" w:rsidRDefault="00EA458C" w:rsidP="00246A7B">
      <w:pPr>
        <w:pStyle w:val="Heading3"/>
        <w:spacing w:before="240" w:after="120"/>
        <w:rPr>
          <w:b w:val="0"/>
          <w:color w:val="275D3A"/>
        </w:rPr>
      </w:pPr>
      <w:bookmarkStart w:id="62" w:name="_Toc112642122"/>
      <w:r w:rsidRPr="00E47366">
        <w:rPr>
          <w:b w:val="0"/>
          <w:color w:val="275D3A"/>
        </w:rPr>
        <w:t>PM 1.2: The use of restrictive practices is reduced or eliminated through increased quality of behaviour support plans, and NDIS Commission programs contribute to increased lodgement of behaviour support plans and a reduction in unauthorised restrictive practices (URPs)</w:t>
      </w:r>
      <w:bookmarkEnd w:id="62"/>
    </w:p>
    <w:tbl>
      <w:tblPr>
        <w:tblW w:w="8901" w:type="dxa"/>
        <w:tblLayout w:type="fixed"/>
        <w:tblCellMar>
          <w:left w:w="0" w:type="dxa"/>
          <w:right w:w="0" w:type="dxa"/>
        </w:tblCellMar>
        <w:tblLook w:val="01E0" w:firstRow="1" w:lastRow="1" w:firstColumn="1" w:lastColumn="1" w:noHBand="0" w:noVBand="0"/>
      </w:tblPr>
      <w:tblGrid>
        <w:gridCol w:w="3005"/>
        <w:gridCol w:w="1474"/>
        <w:gridCol w:w="1474"/>
        <w:gridCol w:w="1474"/>
        <w:gridCol w:w="1474"/>
      </w:tblGrid>
      <w:tr w:rsidR="00EE46BF" w14:paraId="518CB81D" w14:textId="77777777" w:rsidTr="00960207">
        <w:trPr>
          <w:cantSplit/>
          <w:trHeight w:val="546"/>
          <w:tblHeader/>
        </w:trPr>
        <w:tc>
          <w:tcPr>
            <w:tcW w:w="3005" w:type="dxa"/>
            <w:tcBorders>
              <w:top w:val="single" w:sz="18" w:space="0" w:color="246042"/>
              <w:bottom w:val="single" w:sz="6" w:space="0" w:color="5F636A"/>
            </w:tcBorders>
            <w:shd w:val="clear" w:color="auto" w:fill="EDF0F0"/>
          </w:tcPr>
          <w:p w14:paraId="46E7C05A" w14:textId="77777777" w:rsidR="00EE46BF" w:rsidRPr="0028213F" w:rsidRDefault="00EE46BF" w:rsidP="00960207">
            <w:pPr>
              <w:pStyle w:val="TableParagraph"/>
              <w:spacing w:before="136"/>
              <w:ind w:left="142"/>
              <w:rPr>
                <w:rFonts w:asciiTheme="minorHAnsi" w:hAnsiTheme="minorHAnsi"/>
                <w:sz w:val="24"/>
                <w:szCs w:val="24"/>
              </w:rPr>
            </w:pPr>
            <w:r w:rsidRPr="0028213F">
              <w:rPr>
                <w:rFonts w:asciiTheme="minorHAnsi" w:hAnsiTheme="minorHAnsi"/>
                <w:color w:val="246042"/>
                <w:sz w:val="24"/>
                <w:szCs w:val="24"/>
              </w:rPr>
              <w:t>Targets for 2022–23</w:t>
            </w:r>
          </w:p>
        </w:tc>
        <w:tc>
          <w:tcPr>
            <w:tcW w:w="1474" w:type="dxa"/>
            <w:tcBorders>
              <w:top w:val="single" w:sz="18" w:space="0" w:color="246042"/>
              <w:bottom w:val="single" w:sz="6" w:space="0" w:color="5F636A"/>
            </w:tcBorders>
            <w:shd w:val="clear" w:color="auto" w:fill="EDF0F0"/>
          </w:tcPr>
          <w:p w14:paraId="43CB29F1" w14:textId="77777777" w:rsidR="00EE46BF" w:rsidRPr="0028213F" w:rsidRDefault="00EE46BF" w:rsidP="00EE46BF">
            <w:pPr>
              <w:pStyle w:val="TableParagraph"/>
              <w:spacing w:before="136"/>
              <w:ind w:left="0"/>
              <w:rPr>
                <w:rFonts w:asciiTheme="minorHAnsi" w:hAnsiTheme="minorHAnsi"/>
                <w:sz w:val="24"/>
                <w:szCs w:val="24"/>
              </w:rPr>
            </w:pPr>
            <w:r w:rsidRPr="0028213F">
              <w:rPr>
                <w:rFonts w:asciiTheme="minorHAnsi" w:hAnsiTheme="minorHAnsi"/>
                <w:color w:val="246042"/>
                <w:sz w:val="24"/>
                <w:szCs w:val="24"/>
              </w:rPr>
              <w:t>2023–24</w:t>
            </w:r>
          </w:p>
        </w:tc>
        <w:tc>
          <w:tcPr>
            <w:tcW w:w="1474" w:type="dxa"/>
            <w:tcBorders>
              <w:top w:val="single" w:sz="18" w:space="0" w:color="246042"/>
              <w:bottom w:val="single" w:sz="6" w:space="0" w:color="5F636A"/>
            </w:tcBorders>
            <w:shd w:val="clear" w:color="auto" w:fill="EDF0F0"/>
          </w:tcPr>
          <w:p w14:paraId="6414D5F2" w14:textId="77777777" w:rsidR="00EE46BF" w:rsidRPr="0028213F" w:rsidRDefault="00EE46BF" w:rsidP="00EE46BF">
            <w:pPr>
              <w:pStyle w:val="TableParagraph"/>
              <w:spacing w:before="136"/>
              <w:ind w:left="0"/>
              <w:rPr>
                <w:rFonts w:asciiTheme="minorHAnsi" w:hAnsiTheme="minorHAnsi"/>
                <w:sz w:val="24"/>
                <w:szCs w:val="24"/>
              </w:rPr>
            </w:pPr>
            <w:r w:rsidRPr="0028213F">
              <w:rPr>
                <w:rFonts w:asciiTheme="minorHAnsi" w:hAnsiTheme="minorHAnsi"/>
                <w:color w:val="246042"/>
                <w:sz w:val="24"/>
                <w:szCs w:val="24"/>
              </w:rPr>
              <w:t>2024–25</w:t>
            </w:r>
          </w:p>
        </w:tc>
        <w:tc>
          <w:tcPr>
            <w:tcW w:w="1474" w:type="dxa"/>
            <w:tcBorders>
              <w:top w:val="single" w:sz="18" w:space="0" w:color="246042"/>
              <w:bottom w:val="single" w:sz="6" w:space="0" w:color="5F636A"/>
            </w:tcBorders>
            <w:shd w:val="clear" w:color="auto" w:fill="EDF0F0"/>
          </w:tcPr>
          <w:p w14:paraId="0E608520" w14:textId="77777777" w:rsidR="00EE46BF" w:rsidRPr="0028213F" w:rsidRDefault="00EE46BF" w:rsidP="00EE46BF">
            <w:pPr>
              <w:pStyle w:val="TableParagraph"/>
              <w:spacing w:before="136"/>
              <w:ind w:left="0"/>
              <w:rPr>
                <w:rFonts w:asciiTheme="minorHAnsi" w:hAnsiTheme="minorHAnsi"/>
                <w:sz w:val="24"/>
                <w:szCs w:val="24"/>
              </w:rPr>
            </w:pPr>
            <w:r w:rsidRPr="0028213F">
              <w:rPr>
                <w:rFonts w:asciiTheme="minorHAnsi" w:hAnsiTheme="minorHAnsi"/>
                <w:color w:val="246042"/>
                <w:sz w:val="24"/>
                <w:szCs w:val="24"/>
              </w:rPr>
              <w:t>2025–26</w:t>
            </w:r>
          </w:p>
        </w:tc>
        <w:tc>
          <w:tcPr>
            <w:tcW w:w="1474" w:type="dxa"/>
            <w:tcBorders>
              <w:top w:val="single" w:sz="18" w:space="0" w:color="246042"/>
              <w:bottom w:val="single" w:sz="6" w:space="0" w:color="5F636A"/>
            </w:tcBorders>
            <w:shd w:val="clear" w:color="auto" w:fill="EDF0F0"/>
          </w:tcPr>
          <w:p w14:paraId="27DFD8CB" w14:textId="77777777" w:rsidR="00EE46BF" w:rsidRPr="0028213F" w:rsidRDefault="00EE46BF" w:rsidP="00EE46BF">
            <w:pPr>
              <w:pStyle w:val="TableParagraph"/>
              <w:spacing w:before="136"/>
              <w:ind w:left="0"/>
              <w:rPr>
                <w:rFonts w:asciiTheme="minorHAnsi" w:hAnsiTheme="minorHAnsi"/>
                <w:sz w:val="24"/>
                <w:szCs w:val="24"/>
              </w:rPr>
            </w:pPr>
            <w:r w:rsidRPr="0028213F">
              <w:rPr>
                <w:rFonts w:asciiTheme="minorHAnsi" w:hAnsiTheme="minorHAnsi"/>
                <w:color w:val="246042"/>
                <w:sz w:val="24"/>
                <w:szCs w:val="24"/>
              </w:rPr>
              <w:t>2026–27</w:t>
            </w:r>
          </w:p>
        </w:tc>
      </w:tr>
      <w:tr w:rsidR="00EE46BF" w14:paraId="6A9EA0B1" w14:textId="77777777" w:rsidTr="00960207">
        <w:trPr>
          <w:cantSplit/>
          <w:trHeight w:val="872"/>
        </w:trPr>
        <w:tc>
          <w:tcPr>
            <w:tcW w:w="3005" w:type="dxa"/>
            <w:tcBorders>
              <w:top w:val="single" w:sz="6" w:space="0" w:color="5F636A"/>
              <w:bottom w:val="single" w:sz="4" w:space="0" w:color="5F636A"/>
            </w:tcBorders>
          </w:tcPr>
          <w:p w14:paraId="1E801E9B" w14:textId="77777777" w:rsidR="00EE46BF" w:rsidRPr="00EE46BF" w:rsidRDefault="00EE46BF" w:rsidP="00246A7B">
            <w:pPr>
              <w:pStyle w:val="TableParagraph"/>
              <w:spacing w:before="60" w:after="120"/>
              <w:ind w:left="142" w:right="522"/>
              <w:rPr>
                <w:rFonts w:asciiTheme="minorHAnsi" w:hAnsiTheme="minorHAnsi"/>
              </w:rPr>
            </w:pPr>
            <w:r w:rsidRPr="00EE46BF">
              <w:rPr>
                <w:rFonts w:asciiTheme="minorHAnsi" w:hAnsiTheme="minorHAnsi"/>
              </w:rPr>
              <w:t>Baseline data -</w:t>
            </w:r>
            <w:r>
              <w:rPr>
                <w:rFonts w:asciiTheme="minorHAnsi" w:hAnsiTheme="minorHAnsi"/>
              </w:rPr>
              <w:br/>
            </w:r>
            <w:r w:rsidRPr="00EE46BF">
              <w:rPr>
                <w:rFonts w:asciiTheme="minorHAnsi" w:hAnsiTheme="minorHAnsi"/>
              </w:rPr>
              <w:t>Increase in lodgement of BSPs, and quality of BSPs</w:t>
            </w:r>
          </w:p>
        </w:tc>
        <w:tc>
          <w:tcPr>
            <w:tcW w:w="1474" w:type="dxa"/>
            <w:tcBorders>
              <w:top w:val="single" w:sz="6" w:space="0" w:color="5F636A"/>
              <w:bottom w:val="single" w:sz="4" w:space="0" w:color="5F636A"/>
            </w:tcBorders>
          </w:tcPr>
          <w:p w14:paraId="3422F3A1" w14:textId="77777777" w:rsidR="00EE46BF" w:rsidRPr="00F078DC" w:rsidRDefault="00EE46BF" w:rsidP="00246A7B">
            <w:pPr>
              <w:spacing w:before="60" w:after="120"/>
            </w:pPr>
            <w:r>
              <w:t>Increase in relation to previous year</w:t>
            </w:r>
          </w:p>
        </w:tc>
        <w:tc>
          <w:tcPr>
            <w:tcW w:w="1474" w:type="dxa"/>
            <w:tcBorders>
              <w:top w:val="single" w:sz="6" w:space="0" w:color="5F636A"/>
              <w:bottom w:val="single" w:sz="4" w:space="0" w:color="5F636A"/>
            </w:tcBorders>
          </w:tcPr>
          <w:p w14:paraId="3BE940BA" w14:textId="77777777" w:rsidR="00EE46BF" w:rsidRDefault="00EE46BF" w:rsidP="00246A7B">
            <w:pPr>
              <w:spacing w:before="60" w:after="120"/>
            </w:pPr>
            <w:r w:rsidRPr="00C71F73">
              <w:t>Increase in relation to previous year</w:t>
            </w:r>
          </w:p>
        </w:tc>
        <w:tc>
          <w:tcPr>
            <w:tcW w:w="1474" w:type="dxa"/>
            <w:tcBorders>
              <w:top w:val="single" w:sz="6" w:space="0" w:color="5F636A"/>
              <w:bottom w:val="single" w:sz="4" w:space="0" w:color="5F636A"/>
            </w:tcBorders>
          </w:tcPr>
          <w:p w14:paraId="7E650638" w14:textId="77777777" w:rsidR="00EE46BF" w:rsidRDefault="00EE46BF" w:rsidP="00246A7B">
            <w:pPr>
              <w:spacing w:before="60" w:after="120"/>
            </w:pPr>
            <w:r w:rsidRPr="00C71F73">
              <w:t>Increase in relation to previous year</w:t>
            </w:r>
          </w:p>
        </w:tc>
        <w:tc>
          <w:tcPr>
            <w:tcW w:w="1474" w:type="dxa"/>
            <w:tcBorders>
              <w:top w:val="single" w:sz="6" w:space="0" w:color="5F636A"/>
              <w:bottom w:val="single" w:sz="4" w:space="0" w:color="5F636A"/>
            </w:tcBorders>
          </w:tcPr>
          <w:p w14:paraId="04AC8CB5" w14:textId="77777777" w:rsidR="00EE46BF" w:rsidRDefault="00EE46BF" w:rsidP="00246A7B">
            <w:pPr>
              <w:spacing w:before="60" w:after="120"/>
            </w:pPr>
            <w:r w:rsidRPr="00C71F73">
              <w:t>Increase in relation to previous year</w:t>
            </w:r>
          </w:p>
        </w:tc>
      </w:tr>
      <w:tr w:rsidR="00EE46BF" w14:paraId="4B9F770B" w14:textId="77777777" w:rsidTr="00960207">
        <w:trPr>
          <w:cantSplit/>
          <w:trHeight w:val="1400"/>
        </w:trPr>
        <w:tc>
          <w:tcPr>
            <w:tcW w:w="3005" w:type="dxa"/>
            <w:tcBorders>
              <w:top w:val="single" w:sz="4" w:space="0" w:color="5F636A"/>
              <w:bottom w:val="single" w:sz="4" w:space="0" w:color="5F636A"/>
            </w:tcBorders>
          </w:tcPr>
          <w:p w14:paraId="62879531" w14:textId="77777777" w:rsidR="00EE46BF" w:rsidRPr="00E47366" w:rsidRDefault="00EE46BF" w:rsidP="00246A7B">
            <w:pPr>
              <w:pStyle w:val="TableParagraph"/>
              <w:spacing w:before="60" w:after="120"/>
              <w:ind w:left="142" w:right="522"/>
              <w:rPr>
                <w:rFonts w:asciiTheme="minorHAnsi" w:hAnsiTheme="minorHAnsi"/>
              </w:rPr>
            </w:pPr>
            <w:r w:rsidRPr="00EE46BF">
              <w:rPr>
                <w:rFonts w:asciiTheme="minorHAnsi" w:hAnsiTheme="minorHAnsi"/>
              </w:rPr>
              <w:t>Baseline data -</w:t>
            </w:r>
            <w:r>
              <w:rPr>
                <w:rFonts w:asciiTheme="minorHAnsi" w:hAnsiTheme="minorHAnsi"/>
              </w:rPr>
              <w:br/>
            </w:r>
            <w:r w:rsidRPr="00EE46BF">
              <w:rPr>
                <w:rFonts w:asciiTheme="minorHAnsi" w:hAnsiTheme="minorHAnsi"/>
              </w:rPr>
              <w:t>Increased number of participants who have had restrictive practices reduced</w:t>
            </w:r>
          </w:p>
        </w:tc>
        <w:tc>
          <w:tcPr>
            <w:tcW w:w="1474" w:type="dxa"/>
            <w:tcBorders>
              <w:top w:val="single" w:sz="4" w:space="0" w:color="5F636A"/>
              <w:bottom w:val="single" w:sz="4" w:space="0" w:color="5F636A"/>
            </w:tcBorders>
          </w:tcPr>
          <w:p w14:paraId="0673726A" w14:textId="77777777" w:rsidR="00EE46BF" w:rsidRPr="00F078DC" w:rsidRDefault="00EE46BF" w:rsidP="00246A7B">
            <w:pPr>
              <w:spacing w:before="60" w:after="120"/>
            </w:pPr>
            <w:r>
              <w:t>Increase in relation to previous year</w:t>
            </w:r>
          </w:p>
        </w:tc>
        <w:tc>
          <w:tcPr>
            <w:tcW w:w="1474" w:type="dxa"/>
            <w:tcBorders>
              <w:top w:val="single" w:sz="4" w:space="0" w:color="5F636A"/>
              <w:bottom w:val="single" w:sz="4" w:space="0" w:color="5F636A"/>
            </w:tcBorders>
          </w:tcPr>
          <w:p w14:paraId="15F8F86B" w14:textId="77777777" w:rsidR="00EE46BF" w:rsidRDefault="00EE46BF" w:rsidP="00246A7B">
            <w:pPr>
              <w:spacing w:before="60" w:after="120"/>
            </w:pPr>
            <w:r w:rsidRPr="00C71F73">
              <w:t>Increase in relation to previous year</w:t>
            </w:r>
          </w:p>
        </w:tc>
        <w:tc>
          <w:tcPr>
            <w:tcW w:w="1474" w:type="dxa"/>
            <w:tcBorders>
              <w:top w:val="single" w:sz="4" w:space="0" w:color="5F636A"/>
              <w:bottom w:val="single" w:sz="4" w:space="0" w:color="5F636A"/>
            </w:tcBorders>
          </w:tcPr>
          <w:p w14:paraId="0B5EE549" w14:textId="77777777" w:rsidR="00EE46BF" w:rsidRDefault="00EE46BF" w:rsidP="00246A7B">
            <w:pPr>
              <w:spacing w:before="60" w:after="120"/>
            </w:pPr>
            <w:r w:rsidRPr="00C71F73">
              <w:t>Increase in relation to previous year</w:t>
            </w:r>
          </w:p>
        </w:tc>
        <w:tc>
          <w:tcPr>
            <w:tcW w:w="1474" w:type="dxa"/>
            <w:tcBorders>
              <w:top w:val="single" w:sz="4" w:space="0" w:color="5F636A"/>
              <w:bottom w:val="single" w:sz="4" w:space="0" w:color="5F636A"/>
            </w:tcBorders>
          </w:tcPr>
          <w:p w14:paraId="528ECEC7" w14:textId="77777777" w:rsidR="00EE46BF" w:rsidRDefault="00EE46BF" w:rsidP="00246A7B">
            <w:pPr>
              <w:spacing w:before="60" w:after="120"/>
            </w:pPr>
            <w:r w:rsidRPr="00C71F73">
              <w:t>Increase in relation to previous year</w:t>
            </w:r>
          </w:p>
        </w:tc>
      </w:tr>
      <w:tr w:rsidR="00EE46BF" w14:paraId="33CD46B5" w14:textId="77777777" w:rsidTr="00EE46BF">
        <w:trPr>
          <w:cantSplit/>
          <w:trHeight w:val="1778"/>
        </w:trPr>
        <w:tc>
          <w:tcPr>
            <w:tcW w:w="3005" w:type="dxa"/>
            <w:tcBorders>
              <w:top w:val="single" w:sz="4" w:space="0" w:color="5F636A"/>
              <w:bottom w:val="single" w:sz="12" w:space="0" w:color="808080" w:themeColor="background1" w:themeShade="80"/>
            </w:tcBorders>
          </w:tcPr>
          <w:p w14:paraId="3FA6B72A" w14:textId="77777777" w:rsidR="00EE46BF" w:rsidRPr="00E47366" w:rsidRDefault="00EE46BF" w:rsidP="00246A7B">
            <w:pPr>
              <w:pStyle w:val="TableParagraph"/>
              <w:spacing w:before="60" w:after="120"/>
              <w:ind w:left="142" w:right="522"/>
              <w:rPr>
                <w:rFonts w:asciiTheme="minorHAnsi" w:hAnsiTheme="minorHAnsi"/>
              </w:rPr>
            </w:pPr>
            <w:r>
              <w:rPr>
                <w:rFonts w:asciiTheme="minorHAnsi" w:hAnsiTheme="minorHAnsi"/>
              </w:rPr>
              <w:lastRenderedPageBreak/>
              <w:t>Baseline data -</w:t>
            </w:r>
            <w:r>
              <w:rPr>
                <w:rFonts w:asciiTheme="minorHAnsi" w:hAnsiTheme="minorHAnsi"/>
              </w:rPr>
              <w:br/>
            </w:r>
            <w:r w:rsidRPr="00EE46BF">
              <w:rPr>
                <w:rFonts w:asciiTheme="minorHAnsi" w:hAnsiTheme="minorHAnsi"/>
              </w:rPr>
              <w:t>Increased number of participants who have had restrictive practices eliminated from their support</w:t>
            </w:r>
          </w:p>
        </w:tc>
        <w:tc>
          <w:tcPr>
            <w:tcW w:w="1474" w:type="dxa"/>
            <w:tcBorders>
              <w:top w:val="single" w:sz="4" w:space="0" w:color="5F636A"/>
              <w:bottom w:val="single" w:sz="12" w:space="0" w:color="808080" w:themeColor="background1" w:themeShade="80"/>
            </w:tcBorders>
          </w:tcPr>
          <w:p w14:paraId="79CD9BBF" w14:textId="77777777" w:rsidR="00EE46BF" w:rsidRPr="00F078DC" w:rsidRDefault="00EE46BF" w:rsidP="00246A7B">
            <w:pPr>
              <w:spacing w:before="60" w:after="120"/>
            </w:pPr>
            <w:r>
              <w:t>Increase in relation to previous year</w:t>
            </w:r>
          </w:p>
        </w:tc>
        <w:tc>
          <w:tcPr>
            <w:tcW w:w="1474" w:type="dxa"/>
            <w:tcBorders>
              <w:top w:val="single" w:sz="4" w:space="0" w:color="5F636A"/>
              <w:bottom w:val="single" w:sz="12" w:space="0" w:color="808080" w:themeColor="background1" w:themeShade="80"/>
            </w:tcBorders>
          </w:tcPr>
          <w:p w14:paraId="5FDCF841" w14:textId="77777777" w:rsidR="00EE46BF" w:rsidRDefault="00EE46BF" w:rsidP="00246A7B">
            <w:pPr>
              <w:spacing w:before="60" w:after="120"/>
            </w:pPr>
            <w:r w:rsidRPr="00C71F73">
              <w:t>Increase in relation to previous year</w:t>
            </w:r>
          </w:p>
        </w:tc>
        <w:tc>
          <w:tcPr>
            <w:tcW w:w="1474" w:type="dxa"/>
            <w:tcBorders>
              <w:top w:val="single" w:sz="4" w:space="0" w:color="5F636A"/>
              <w:bottom w:val="single" w:sz="12" w:space="0" w:color="808080" w:themeColor="background1" w:themeShade="80"/>
            </w:tcBorders>
          </w:tcPr>
          <w:p w14:paraId="3B2CB7D8" w14:textId="77777777" w:rsidR="00EE46BF" w:rsidRDefault="00EE46BF" w:rsidP="00246A7B">
            <w:pPr>
              <w:spacing w:before="60" w:after="120"/>
            </w:pPr>
            <w:r w:rsidRPr="00C71F73">
              <w:t>Increase in relation to previous year</w:t>
            </w:r>
          </w:p>
        </w:tc>
        <w:tc>
          <w:tcPr>
            <w:tcW w:w="1474" w:type="dxa"/>
            <w:tcBorders>
              <w:top w:val="single" w:sz="4" w:space="0" w:color="5F636A"/>
              <w:bottom w:val="single" w:sz="12" w:space="0" w:color="808080" w:themeColor="background1" w:themeShade="80"/>
            </w:tcBorders>
          </w:tcPr>
          <w:p w14:paraId="3D95B854" w14:textId="77777777" w:rsidR="00EE46BF" w:rsidRDefault="00EE46BF" w:rsidP="00246A7B">
            <w:pPr>
              <w:spacing w:before="60" w:after="120"/>
            </w:pPr>
            <w:r w:rsidRPr="00C71F73">
              <w:t>Increase in relation to previous year</w:t>
            </w:r>
          </w:p>
        </w:tc>
      </w:tr>
    </w:tbl>
    <w:p w14:paraId="651E5F93" w14:textId="77777777" w:rsidR="00EA458C" w:rsidRPr="00EE46BF" w:rsidRDefault="00EA458C" w:rsidP="00246A7B">
      <w:pPr>
        <w:pStyle w:val="Heading3"/>
        <w:spacing w:before="240" w:after="120"/>
        <w:rPr>
          <w:b w:val="0"/>
          <w:color w:val="275D3A"/>
        </w:rPr>
      </w:pPr>
      <w:bookmarkStart w:id="63" w:name="_Toc112642123"/>
      <w:r w:rsidRPr="00EE46BF">
        <w:rPr>
          <w:b w:val="0"/>
          <w:color w:val="275D3A"/>
        </w:rPr>
        <w:t>PM 1.3: Providers and workers have an increased understanding of what quality and safety means to NDIS participants, and understand the rights of people with disability as consumers</w:t>
      </w:r>
      <w:bookmarkEnd w:id="63"/>
    </w:p>
    <w:tbl>
      <w:tblPr>
        <w:tblW w:w="8901" w:type="dxa"/>
        <w:tblLayout w:type="fixed"/>
        <w:tblCellMar>
          <w:left w:w="0" w:type="dxa"/>
          <w:right w:w="0" w:type="dxa"/>
        </w:tblCellMar>
        <w:tblLook w:val="01E0" w:firstRow="1" w:lastRow="1" w:firstColumn="1" w:lastColumn="1" w:noHBand="0" w:noVBand="0"/>
      </w:tblPr>
      <w:tblGrid>
        <w:gridCol w:w="3005"/>
        <w:gridCol w:w="1474"/>
        <w:gridCol w:w="1474"/>
        <w:gridCol w:w="1474"/>
        <w:gridCol w:w="1474"/>
      </w:tblGrid>
      <w:tr w:rsidR="00EC35C4" w14:paraId="40425590" w14:textId="77777777" w:rsidTr="00960207">
        <w:trPr>
          <w:cantSplit/>
          <w:trHeight w:val="546"/>
          <w:tblHeader/>
        </w:trPr>
        <w:tc>
          <w:tcPr>
            <w:tcW w:w="3005" w:type="dxa"/>
            <w:tcBorders>
              <w:top w:val="single" w:sz="18" w:space="0" w:color="246042"/>
              <w:bottom w:val="single" w:sz="6" w:space="0" w:color="5F636A"/>
            </w:tcBorders>
            <w:shd w:val="clear" w:color="auto" w:fill="EDF0F0"/>
          </w:tcPr>
          <w:p w14:paraId="594571BA" w14:textId="77777777" w:rsidR="00EC35C4" w:rsidRPr="0028213F" w:rsidRDefault="00EC35C4" w:rsidP="00960207">
            <w:pPr>
              <w:pStyle w:val="TableParagraph"/>
              <w:spacing w:before="136"/>
              <w:ind w:left="142"/>
              <w:rPr>
                <w:rFonts w:asciiTheme="minorHAnsi" w:hAnsiTheme="minorHAnsi"/>
                <w:sz w:val="24"/>
                <w:szCs w:val="24"/>
              </w:rPr>
            </w:pPr>
            <w:r w:rsidRPr="0028213F">
              <w:rPr>
                <w:rFonts w:asciiTheme="minorHAnsi" w:hAnsiTheme="minorHAnsi"/>
                <w:color w:val="246042"/>
                <w:sz w:val="24"/>
                <w:szCs w:val="24"/>
              </w:rPr>
              <w:t>Targets for 2022–23</w:t>
            </w:r>
          </w:p>
        </w:tc>
        <w:tc>
          <w:tcPr>
            <w:tcW w:w="1474" w:type="dxa"/>
            <w:tcBorders>
              <w:top w:val="single" w:sz="18" w:space="0" w:color="246042"/>
              <w:bottom w:val="single" w:sz="6" w:space="0" w:color="5F636A"/>
            </w:tcBorders>
            <w:shd w:val="clear" w:color="auto" w:fill="EDF0F0"/>
          </w:tcPr>
          <w:p w14:paraId="5828D8EA" w14:textId="77777777" w:rsidR="00EC35C4" w:rsidRPr="0028213F" w:rsidRDefault="00EC35C4" w:rsidP="00960207">
            <w:pPr>
              <w:pStyle w:val="TableParagraph"/>
              <w:spacing w:before="136"/>
              <w:ind w:left="142"/>
              <w:rPr>
                <w:rFonts w:asciiTheme="minorHAnsi" w:hAnsiTheme="minorHAnsi"/>
                <w:sz w:val="24"/>
                <w:szCs w:val="24"/>
              </w:rPr>
            </w:pPr>
            <w:r w:rsidRPr="0028213F">
              <w:rPr>
                <w:rFonts w:asciiTheme="minorHAnsi" w:hAnsiTheme="minorHAnsi"/>
                <w:color w:val="246042"/>
                <w:sz w:val="24"/>
                <w:szCs w:val="24"/>
              </w:rPr>
              <w:t>2023–24</w:t>
            </w:r>
          </w:p>
        </w:tc>
        <w:tc>
          <w:tcPr>
            <w:tcW w:w="1474" w:type="dxa"/>
            <w:tcBorders>
              <w:top w:val="single" w:sz="18" w:space="0" w:color="246042"/>
              <w:bottom w:val="single" w:sz="6" w:space="0" w:color="5F636A"/>
            </w:tcBorders>
            <w:shd w:val="clear" w:color="auto" w:fill="EDF0F0"/>
          </w:tcPr>
          <w:p w14:paraId="32167BE0" w14:textId="77777777" w:rsidR="00EC35C4" w:rsidRPr="0028213F" w:rsidRDefault="00EC35C4" w:rsidP="00960207">
            <w:pPr>
              <w:pStyle w:val="TableParagraph"/>
              <w:spacing w:before="136"/>
              <w:ind w:left="142"/>
              <w:rPr>
                <w:rFonts w:asciiTheme="minorHAnsi" w:hAnsiTheme="minorHAnsi"/>
                <w:sz w:val="24"/>
                <w:szCs w:val="24"/>
              </w:rPr>
            </w:pPr>
            <w:r w:rsidRPr="0028213F">
              <w:rPr>
                <w:rFonts w:asciiTheme="minorHAnsi" w:hAnsiTheme="minorHAnsi"/>
                <w:color w:val="246042"/>
                <w:sz w:val="24"/>
                <w:szCs w:val="24"/>
              </w:rPr>
              <w:t>2024–25</w:t>
            </w:r>
          </w:p>
        </w:tc>
        <w:tc>
          <w:tcPr>
            <w:tcW w:w="1474" w:type="dxa"/>
            <w:tcBorders>
              <w:top w:val="single" w:sz="18" w:space="0" w:color="246042"/>
              <w:bottom w:val="single" w:sz="6" w:space="0" w:color="5F636A"/>
            </w:tcBorders>
            <w:shd w:val="clear" w:color="auto" w:fill="EDF0F0"/>
          </w:tcPr>
          <w:p w14:paraId="239B0550" w14:textId="77777777" w:rsidR="00EC35C4" w:rsidRPr="0028213F" w:rsidRDefault="00EC35C4" w:rsidP="00960207">
            <w:pPr>
              <w:pStyle w:val="TableParagraph"/>
              <w:spacing w:before="136"/>
              <w:ind w:left="142"/>
              <w:rPr>
                <w:rFonts w:asciiTheme="minorHAnsi" w:hAnsiTheme="minorHAnsi"/>
                <w:sz w:val="24"/>
                <w:szCs w:val="24"/>
              </w:rPr>
            </w:pPr>
            <w:r w:rsidRPr="0028213F">
              <w:rPr>
                <w:rFonts w:asciiTheme="minorHAnsi" w:hAnsiTheme="minorHAnsi"/>
                <w:color w:val="246042"/>
                <w:sz w:val="24"/>
                <w:szCs w:val="24"/>
              </w:rPr>
              <w:t>2025–26</w:t>
            </w:r>
          </w:p>
        </w:tc>
        <w:tc>
          <w:tcPr>
            <w:tcW w:w="1474" w:type="dxa"/>
            <w:tcBorders>
              <w:top w:val="single" w:sz="18" w:space="0" w:color="246042"/>
              <w:bottom w:val="single" w:sz="6" w:space="0" w:color="5F636A"/>
            </w:tcBorders>
            <w:shd w:val="clear" w:color="auto" w:fill="EDF0F0"/>
          </w:tcPr>
          <w:p w14:paraId="0D2785BD" w14:textId="77777777" w:rsidR="00EC35C4" w:rsidRPr="0028213F" w:rsidRDefault="00EC35C4" w:rsidP="00960207">
            <w:pPr>
              <w:pStyle w:val="TableParagraph"/>
              <w:spacing w:before="136"/>
              <w:ind w:left="142"/>
              <w:rPr>
                <w:rFonts w:asciiTheme="minorHAnsi" w:hAnsiTheme="minorHAnsi"/>
                <w:sz w:val="24"/>
                <w:szCs w:val="24"/>
              </w:rPr>
            </w:pPr>
            <w:r w:rsidRPr="0028213F">
              <w:rPr>
                <w:rFonts w:asciiTheme="minorHAnsi" w:hAnsiTheme="minorHAnsi"/>
                <w:color w:val="246042"/>
                <w:sz w:val="24"/>
                <w:szCs w:val="24"/>
              </w:rPr>
              <w:t>2026–27</w:t>
            </w:r>
          </w:p>
        </w:tc>
      </w:tr>
      <w:tr w:rsidR="00EC35C4" w14:paraId="6995377E" w14:textId="77777777" w:rsidTr="00960207">
        <w:trPr>
          <w:cantSplit/>
          <w:trHeight w:val="872"/>
        </w:trPr>
        <w:tc>
          <w:tcPr>
            <w:tcW w:w="3005" w:type="dxa"/>
            <w:tcBorders>
              <w:top w:val="single" w:sz="6" w:space="0" w:color="5F636A"/>
              <w:bottom w:val="single" w:sz="4" w:space="0" w:color="5F636A"/>
            </w:tcBorders>
          </w:tcPr>
          <w:p w14:paraId="4BD94E1A" w14:textId="77777777" w:rsidR="00EC35C4" w:rsidRPr="00192885" w:rsidRDefault="00EC35C4" w:rsidP="00246A7B">
            <w:pPr>
              <w:spacing w:before="60" w:after="120" w:line="240" w:lineRule="auto"/>
            </w:pPr>
            <w:r w:rsidRPr="00192885">
              <w:t>Number/type of Commission resources, activities and engagements</w:t>
            </w:r>
          </w:p>
        </w:tc>
        <w:tc>
          <w:tcPr>
            <w:tcW w:w="1474" w:type="dxa"/>
            <w:tcBorders>
              <w:top w:val="single" w:sz="6" w:space="0" w:color="5F636A"/>
              <w:bottom w:val="single" w:sz="4" w:space="0" w:color="5F636A"/>
            </w:tcBorders>
          </w:tcPr>
          <w:p w14:paraId="6A961EA6" w14:textId="77777777" w:rsidR="00EC35C4" w:rsidRPr="00EF458D" w:rsidRDefault="00EC35C4" w:rsidP="00246A7B">
            <w:pPr>
              <w:spacing w:before="60" w:after="120"/>
            </w:pPr>
            <w:r w:rsidRPr="00EF458D">
              <w:t>Number/type with analysis</w:t>
            </w:r>
          </w:p>
        </w:tc>
        <w:tc>
          <w:tcPr>
            <w:tcW w:w="1474" w:type="dxa"/>
            <w:tcBorders>
              <w:top w:val="single" w:sz="6" w:space="0" w:color="5F636A"/>
              <w:bottom w:val="single" w:sz="4" w:space="0" w:color="5F636A"/>
            </w:tcBorders>
          </w:tcPr>
          <w:p w14:paraId="1C22B307" w14:textId="77777777" w:rsidR="00EC35C4" w:rsidRPr="00EF458D" w:rsidRDefault="00EC35C4" w:rsidP="00246A7B">
            <w:pPr>
              <w:spacing w:before="60" w:after="120"/>
            </w:pPr>
            <w:r w:rsidRPr="00EF458D">
              <w:t>Number/type with analysis</w:t>
            </w:r>
          </w:p>
        </w:tc>
        <w:tc>
          <w:tcPr>
            <w:tcW w:w="1474" w:type="dxa"/>
            <w:tcBorders>
              <w:top w:val="single" w:sz="6" w:space="0" w:color="5F636A"/>
              <w:bottom w:val="single" w:sz="4" w:space="0" w:color="5F636A"/>
            </w:tcBorders>
          </w:tcPr>
          <w:p w14:paraId="7A3ADC85" w14:textId="77777777" w:rsidR="00EC35C4" w:rsidRPr="00EF458D" w:rsidRDefault="00EC35C4" w:rsidP="00246A7B">
            <w:pPr>
              <w:spacing w:before="60" w:after="120"/>
            </w:pPr>
            <w:r w:rsidRPr="00EF458D">
              <w:t>Number/type with analysis</w:t>
            </w:r>
          </w:p>
        </w:tc>
        <w:tc>
          <w:tcPr>
            <w:tcW w:w="1474" w:type="dxa"/>
            <w:tcBorders>
              <w:top w:val="single" w:sz="6" w:space="0" w:color="5F636A"/>
              <w:bottom w:val="single" w:sz="4" w:space="0" w:color="5F636A"/>
            </w:tcBorders>
          </w:tcPr>
          <w:p w14:paraId="3F2AD75F" w14:textId="77777777" w:rsidR="00EC35C4" w:rsidRDefault="00EC35C4" w:rsidP="00246A7B">
            <w:pPr>
              <w:spacing w:before="60" w:after="120"/>
            </w:pPr>
            <w:r w:rsidRPr="00EF458D">
              <w:t>Number/type with analysis</w:t>
            </w:r>
          </w:p>
        </w:tc>
      </w:tr>
      <w:tr w:rsidR="00EC35C4" w14:paraId="7BE586B2" w14:textId="77777777" w:rsidTr="00960207">
        <w:trPr>
          <w:cantSplit/>
          <w:trHeight w:val="1400"/>
        </w:trPr>
        <w:tc>
          <w:tcPr>
            <w:tcW w:w="3005" w:type="dxa"/>
            <w:tcBorders>
              <w:top w:val="single" w:sz="4" w:space="0" w:color="5F636A"/>
              <w:bottom w:val="single" w:sz="4" w:space="0" w:color="5F636A"/>
            </w:tcBorders>
          </w:tcPr>
          <w:p w14:paraId="1C7ED0C4" w14:textId="77777777" w:rsidR="00EC35C4" w:rsidRDefault="00EC35C4" w:rsidP="00246A7B">
            <w:pPr>
              <w:spacing w:before="60" w:after="120" w:line="240" w:lineRule="auto"/>
            </w:pPr>
            <w:r w:rsidRPr="00192885">
              <w:t xml:space="preserve">90% of providers surveyed </w:t>
            </w:r>
            <w:r>
              <w:br/>
            </w:r>
            <w:r w:rsidRPr="00192885">
              <w:t xml:space="preserve">said training had increased </w:t>
            </w:r>
            <w:r>
              <w:br/>
            </w:r>
            <w:r w:rsidRPr="00192885">
              <w:t>their understanding of what quality and safety means for NDIS participants</w:t>
            </w:r>
          </w:p>
        </w:tc>
        <w:tc>
          <w:tcPr>
            <w:tcW w:w="1474" w:type="dxa"/>
            <w:tcBorders>
              <w:top w:val="single" w:sz="4" w:space="0" w:color="5F636A"/>
              <w:bottom w:val="single" w:sz="4" w:space="0" w:color="5F636A"/>
            </w:tcBorders>
          </w:tcPr>
          <w:p w14:paraId="481BA992" w14:textId="77777777" w:rsidR="00EC35C4" w:rsidRPr="001656BB" w:rsidRDefault="00EC35C4" w:rsidP="00246A7B">
            <w:pPr>
              <w:spacing w:before="60" w:after="120"/>
            </w:pPr>
            <w:r w:rsidRPr="001656BB">
              <w:t>94% of providers</w:t>
            </w:r>
          </w:p>
        </w:tc>
        <w:tc>
          <w:tcPr>
            <w:tcW w:w="1474" w:type="dxa"/>
            <w:tcBorders>
              <w:top w:val="single" w:sz="4" w:space="0" w:color="5F636A"/>
              <w:bottom w:val="single" w:sz="4" w:space="0" w:color="5F636A"/>
            </w:tcBorders>
          </w:tcPr>
          <w:p w14:paraId="684532FC" w14:textId="77777777" w:rsidR="00EC35C4" w:rsidRPr="001656BB" w:rsidRDefault="00EC35C4" w:rsidP="00246A7B">
            <w:pPr>
              <w:spacing w:before="60" w:after="120"/>
            </w:pPr>
            <w:r w:rsidRPr="001656BB">
              <w:t>96% of providers</w:t>
            </w:r>
          </w:p>
        </w:tc>
        <w:tc>
          <w:tcPr>
            <w:tcW w:w="1474" w:type="dxa"/>
            <w:tcBorders>
              <w:top w:val="single" w:sz="4" w:space="0" w:color="5F636A"/>
              <w:bottom w:val="single" w:sz="4" w:space="0" w:color="5F636A"/>
            </w:tcBorders>
          </w:tcPr>
          <w:p w14:paraId="41C1CB6F" w14:textId="77777777" w:rsidR="00EC35C4" w:rsidRPr="001656BB" w:rsidRDefault="00EC35C4" w:rsidP="00246A7B">
            <w:pPr>
              <w:spacing w:before="60" w:after="120"/>
            </w:pPr>
            <w:r w:rsidRPr="001656BB">
              <w:t>98% of providers</w:t>
            </w:r>
          </w:p>
        </w:tc>
        <w:tc>
          <w:tcPr>
            <w:tcW w:w="1474" w:type="dxa"/>
            <w:tcBorders>
              <w:top w:val="single" w:sz="4" w:space="0" w:color="5F636A"/>
              <w:bottom w:val="single" w:sz="4" w:space="0" w:color="5F636A"/>
            </w:tcBorders>
          </w:tcPr>
          <w:p w14:paraId="42A62BA7" w14:textId="77777777" w:rsidR="00EC35C4" w:rsidRDefault="00EC35C4" w:rsidP="00246A7B">
            <w:pPr>
              <w:spacing w:before="60" w:after="120"/>
            </w:pPr>
            <w:r w:rsidRPr="001656BB">
              <w:t>100% of providers</w:t>
            </w:r>
          </w:p>
        </w:tc>
      </w:tr>
      <w:tr w:rsidR="00EC35C4" w14:paraId="486CB961" w14:textId="77777777" w:rsidTr="00960207">
        <w:trPr>
          <w:cantSplit/>
          <w:trHeight w:val="608"/>
        </w:trPr>
        <w:tc>
          <w:tcPr>
            <w:tcW w:w="3005" w:type="dxa"/>
            <w:tcBorders>
              <w:top w:val="single" w:sz="4" w:space="0" w:color="5F636A"/>
              <w:bottom w:val="single" w:sz="4" w:space="0" w:color="5F636A"/>
            </w:tcBorders>
          </w:tcPr>
          <w:p w14:paraId="2F6D637C" w14:textId="77777777" w:rsidR="00EC35C4" w:rsidRPr="00EC35C4" w:rsidRDefault="00EC35C4" w:rsidP="00246A7B">
            <w:pPr>
              <w:spacing w:before="60" w:after="120" w:line="240" w:lineRule="auto"/>
            </w:pPr>
            <w:r>
              <w:t>Baseline data -</w:t>
            </w:r>
            <w:r>
              <w:br/>
              <w:t>% of NDIS participants</w:t>
            </w:r>
            <w:r>
              <w:br/>
              <w:t xml:space="preserve"> surveyed report they have </w:t>
            </w:r>
            <w:r>
              <w:br/>
              <w:t xml:space="preserve">had a positive experience </w:t>
            </w:r>
            <w:r>
              <w:br/>
              <w:t>with their providers</w:t>
            </w:r>
          </w:p>
        </w:tc>
        <w:tc>
          <w:tcPr>
            <w:tcW w:w="1474" w:type="dxa"/>
            <w:tcBorders>
              <w:top w:val="single" w:sz="4" w:space="0" w:color="5F636A"/>
              <w:bottom w:val="single" w:sz="4" w:space="0" w:color="5F636A"/>
            </w:tcBorders>
          </w:tcPr>
          <w:p w14:paraId="128E599A" w14:textId="77777777" w:rsidR="00EC35C4" w:rsidRPr="00197EFA" w:rsidRDefault="00EC35C4" w:rsidP="00246A7B">
            <w:pPr>
              <w:spacing w:before="60" w:after="120"/>
            </w:pPr>
            <w:r w:rsidRPr="00197EFA">
              <w:t>% increased from previous year</w:t>
            </w:r>
          </w:p>
        </w:tc>
        <w:tc>
          <w:tcPr>
            <w:tcW w:w="1474" w:type="dxa"/>
            <w:tcBorders>
              <w:top w:val="single" w:sz="4" w:space="0" w:color="5F636A"/>
              <w:bottom w:val="single" w:sz="4" w:space="0" w:color="5F636A"/>
            </w:tcBorders>
          </w:tcPr>
          <w:p w14:paraId="7A101C58" w14:textId="77777777" w:rsidR="00EC35C4" w:rsidRPr="00197EFA" w:rsidRDefault="00EC35C4" w:rsidP="00246A7B">
            <w:pPr>
              <w:spacing w:before="60" w:after="120"/>
            </w:pPr>
            <w:r w:rsidRPr="00197EFA">
              <w:t>% increased from previous year</w:t>
            </w:r>
          </w:p>
        </w:tc>
        <w:tc>
          <w:tcPr>
            <w:tcW w:w="1474" w:type="dxa"/>
            <w:tcBorders>
              <w:top w:val="single" w:sz="4" w:space="0" w:color="5F636A"/>
              <w:bottom w:val="single" w:sz="4" w:space="0" w:color="5F636A"/>
            </w:tcBorders>
          </w:tcPr>
          <w:p w14:paraId="571C4D09" w14:textId="77777777" w:rsidR="00EC35C4" w:rsidRPr="00197EFA" w:rsidRDefault="00EC35C4" w:rsidP="00246A7B">
            <w:pPr>
              <w:spacing w:before="60" w:after="120"/>
            </w:pPr>
            <w:r w:rsidRPr="00197EFA">
              <w:t>% increased from previous year</w:t>
            </w:r>
          </w:p>
        </w:tc>
        <w:tc>
          <w:tcPr>
            <w:tcW w:w="1474" w:type="dxa"/>
            <w:tcBorders>
              <w:top w:val="single" w:sz="4" w:space="0" w:color="5F636A"/>
              <w:bottom w:val="single" w:sz="4" w:space="0" w:color="5F636A"/>
            </w:tcBorders>
          </w:tcPr>
          <w:p w14:paraId="73C42FDA" w14:textId="77777777" w:rsidR="00EC35C4" w:rsidRPr="00197EFA" w:rsidRDefault="00EC35C4" w:rsidP="00246A7B">
            <w:pPr>
              <w:spacing w:before="60" w:after="120"/>
            </w:pPr>
            <w:r w:rsidRPr="00197EFA">
              <w:t>% increased from previous year</w:t>
            </w:r>
          </w:p>
        </w:tc>
      </w:tr>
      <w:tr w:rsidR="00EC35C4" w14:paraId="15B435DC" w14:textId="77777777" w:rsidTr="00246A7B">
        <w:trPr>
          <w:cantSplit/>
          <w:trHeight w:val="1666"/>
        </w:trPr>
        <w:tc>
          <w:tcPr>
            <w:tcW w:w="3005" w:type="dxa"/>
            <w:tcBorders>
              <w:top w:val="single" w:sz="4" w:space="0" w:color="5F636A"/>
              <w:bottom w:val="single" w:sz="12" w:space="0" w:color="808080" w:themeColor="background1" w:themeShade="80"/>
            </w:tcBorders>
          </w:tcPr>
          <w:p w14:paraId="0E108965" w14:textId="77777777" w:rsidR="00EC35C4" w:rsidRPr="00EC35C4" w:rsidRDefault="00EC35C4" w:rsidP="00246A7B">
            <w:pPr>
              <w:spacing w:before="60" w:after="120" w:line="240" w:lineRule="auto"/>
            </w:pPr>
            <w:r>
              <w:t>Baseline data -</w:t>
            </w:r>
            <w:r>
              <w:br/>
            </w:r>
            <w:r w:rsidRPr="00EC35C4">
              <w:t xml:space="preserve">% of NDIS participants </w:t>
            </w:r>
            <w:r>
              <w:br/>
            </w:r>
            <w:r w:rsidRPr="00EC35C4">
              <w:t xml:space="preserve">surveyed say they feel they </w:t>
            </w:r>
            <w:r>
              <w:br/>
            </w:r>
            <w:r w:rsidRPr="00EC35C4">
              <w:t>have a voice in improving the safety and quality of provider systems</w:t>
            </w:r>
          </w:p>
        </w:tc>
        <w:tc>
          <w:tcPr>
            <w:tcW w:w="1474" w:type="dxa"/>
            <w:tcBorders>
              <w:top w:val="single" w:sz="4" w:space="0" w:color="5F636A"/>
              <w:bottom w:val="single" w:sz="12" w:space="0" w:color="808080" w:themeColor="background1" w:themeShade="80"/>
            </w:tcBorders>
          </w:tcPr>
          <w:p w14:paraId="2B73A249" w14:textId="77777777" w:rsidR="00EC35C4" w:rsidRPr="00197EFA" w:rsidRDefault="00EC35C4" w:rsidP="00246A7B">
            <w:pPr>
              <w:spacing w:before="60" w:after="120"/>
            </w:pPr>
            <w:r w:rsidRPr="00197EFA">
              <w:t>% increased from previous year</w:t>
            </w:r>
          </w:p>
        </w:tc>
        <w:tc>
          <w:tcPr>
            <w:tcW w:w="1474" w:type="dxa"/>
            <w:tcBorders>
              <w:top w:val="single" w:sz="4" w:space="0" w:color="5F636A"/>
              <w:bottom w:val="single" w:sz="12" w:space="0" w:color="808080" w:themeColor="background1" w:themeShade="80"/>
            </w:tcBorders>
          </w:tcPr>
          <w:p w14:paraId="0E25A603" w14:textId="77777777" w:rsidR="00EC35C4" w:rsidRPr="00197EFA" w:rsidRDefault="00EC35C4" w:rsidP="00246A7B">
            <w:pPr>
              <w:spacing w:before="60" w:after="120"/>
            </w:pPr>
            <w:r w:rsidRPr="00197EFA">
              <w:t>% increased from previous year</w:t>
            </w:r>
          </w:p>
        </w:tc>
        <w:tc>
          <w:tcPr>
            <w:tcW w:w="1474" w:type="dxa"/>
            <w:tcBorders>
              <w:top w:val="single" w:sz="4" w:space="0" w:color="5F636A"/>
              <w:bottom w:val="single" w:sz="12" w:space="0" w:color="808080" w:themeColor="background1" w:themeShade="80"/>
            </w:tcBorders>
          </w:tcPr>
          <w:p w14:paraId="555E6C3F" w14:textId="77777777" w:rsidR="00EC35C4" w:rsidRPr="00197EFA" w:rsidRDefault="00EC35C4" w:rsidP="00246A7B">
            <w:pPr>
              <w:spacing w:before="60" w:after="120"/>
            </w:pPr>
            <w:r w:rsidRPr="00197EFA">
              <w:t>% increased from previous year</w:t>
            </w:r>
          </w:p>
        </w:tc>
        <w:tc>
          <w:tcPr>
            <w:tcW w:w="1474" w:type="dxa"/>
            <w:tcBorders>
              <w:top w:val="single" w:sz="4" w:space="0" w:color="5F636A"/>
              <w:bottom w:val="single" w:sz="12" w:space="0" w:color="808080" w:themeColor="background1" w:themeShade="80"/>
            </w:tcBorders>
          </w:tcPr>
          <w:p w14:paraId="226B9EB4" w14:textId="77777777" w:rsidR="00EC35C4" w:rsidRDefault="00EC35C4" w:rsidP="00246A7B">
            <w:pPr>
              <w:spacing w:before="60" w:after="120"/>
            </w:pPr>
            <w:r w:rsidRPr="00197EFA">
              <w:t>% increased from previous year</w:t>
            </w:r>
          </w:p>
        </w:tc>
      </w:tr>
    </w:tbl>
    <w:p w14:paraId="3D8303ED" w14:textId="77777777" w:rsidR="00EA458C" w:rsidRPr="00EE46BF" w:rsidRDefault="00EA458C" w:rsidP="00EE46BF">
      <w:pPr>
        <w:pStyle w:val="Heading3"/>
        <w:rPr>
          <w:b w:val="0"/>
          <w:color w:val="275D3A"/>
        </w:rPr>
      </w:pPr>
      <w:bookmarkStart w:id="64" w:name="_Toc112642124"/>
      <w:r w:rsidRPr="00EE46BF">
        <w:rPr>
          <w:b w:val="0"/>
          <w:color w:val="275D3A"/>
        </w:rPr>
        <w:t>PM 1.4: The NDIS Commission has a well-resourced, diverse and capable workforce to serve the needs, and promote the rights of, people with disability within a regulatory context</w:t>
      </w:r>
      <w:bookmarkEnd w:id="64"/>
    </w:p>
    <w:tbl>
      <w:tblPr>
        <w:tblW w:w="8901" w:type="dxa"/>
        <w:tblLayout w:type="fixed"/>
        <w:tblCellMar>
          <w:left w:w="0" w:type="dxa"/>
          <w:right w:w="0" w:type="dxa"/>
        </w:tblCellMar>
        <w:tblLook w:val="01E0" w:firstRow="1" w:lastRow="1" w:firstColumn="1" w:lastColumn="1" w:noHBand="0" w:noVBand="0"/>
      </w:tblPr>
      <w:tblGrid>
        <w:gridCol w:w="3005"/>
        <w:gridCol w:w="1474"/>
        <w:gridCol w:w="1474"/>
        <w:gridCol w:w="1474"/>
        <w:gridCol w:w="1474"/>
      </w:tblGrid>
      <w:tr w:rsidR="0028213F" w14:paraId="1E238EA7" w14:textId="77777777" w:rsidTr="00960207">
        <w:trPr>
          <w:cantSplit/>
          <w:trHeight w:val="546"/>
          <w:tblHeader/>
        </w:trPr>
        <w:tc>
          <w:tcPr>
            <w:tcW w:w="3005" w:type="dxa"/>
            <w:tcBorders>
              <w:top w:val="single" w:sz="18" w:space="0" w:color="246042"/>
              <w:bottom w:val="single" w:sz="6" w:space="0" w:color="5F636A"/>
            </w:tcBorders>
            <w:shd w:val="clear" w:color="auto" w:fill="EDF0F0"/>
          </w:tcPr>
          <w:p w14:paraId="663A6E1E" w14:textId="77777777" w:rsidR="0028213F" w:rsidRPr="0028213F" w:rsidRDefault="0028213F" w:rsidP="00960207">
            <w:pPr>
              <w:pStyle w:val="TableParagraph"/>
              <w:spacing w:before="136"/>
              <w:ind w:left="142"/>
              <w:rPr>
                <w:rFonts w:asciiTheme="minorHAnsi" w:hAnsiTheme="minorHAnsi"/>
                <w:sz w:val="24"/>
                <w:szCs w:val="24"/>
              </w:rPr>
            </w:pPr>
            <w:r w:rsidRPr="0028213F">
              <w:rPr>
                <w:rFonts w:asciiTheme="minorHAnsi" w:hAnsiTheme="minorHAnsi"/>
                <w:color w:val="246042"/>
                <w:sz w:val="24"/>
                <w:szCs w:val="24"/>
              </w:rPr>
              <w:t>Targets for 2022–23</w:t>
            </w:r>
          </w:p>
        </w:tc>
        <w:tc>
          <w:tcPr>
            <w:tcW w:w="1474" w:type="dxa"/>
            <w:tcBorders>
              <w:top w:val="single" w:sz="18" w:space="0" w:color="246042"/>
              <w:bottom w:val="single" w:sz="6" w:space="0" w:color="5F636A"/>
            </w:tcBorders>
            <w:shd w:val="clear" w:color="auto" w:fill="EDF0F0"/>
          </w:tcPr>
          <w:p w14:paraId="6A9F58A0" w14:textId="77777777" w:rsidR="0028213F" w:rsidRPr="0028213F" w:rsidRDefault="0028213F" w:rsidP="00960207">
            <w:pPr>
              <w:pStyle w:val="TableParagraph"/>
              <w:spacing w:before="136"/>
              <w:ind w:left="0"/>
              <w:rPr>
                <w:rFonts w:asciiTheme="minorHAnsi" w:hAnsiTheme="minorHAnsi"/>
                <w:sz w:val="24"/>
                <w:szCs w:val="24"/>
              </w:rPr>
            </w:pPr>
            <w:r w:rsidRPr="0028213F">
              <w:rPr>
                <w:rFonts w:asciiTheme="minorHAnsi" w:hAnsiTheme="minorHAnsi"/>
                <w:color w:val="246042"/>
                <w:sz w:val="24"/>
                <w:szCs w:val="24"/>
              </w:rPr>
              <w:t>2023–24</w:t>
            </w:r>
          </w:p>
        </w:tc>
        <w:tc>
          <w:tcPr>
            <w:tcW w:w="1474" w:type="dxa"/>
            <w:tcBorders>
              <w:top w:val="single" w:sz="18" w:space="0" w:color="246042"/>
              <w:bottom w:val="single" w:sz="6" w:space="0" w:color="5F636A"/>
            </w:tcBorders>
            <w:shd w:val="clear" w:color="auto" w:fill="EDF0F0"/>
          </w:tcPr>
          <w:p w14:paraId="7E17E942" w14:textId="77777777" w:rsidR="0028213F" w:rsidRPr="0028213F" w:rsidRDefault="0028213F" w:rsidP="00960207">
            <w:pPr>
              <w:pStyle w:val="TableParagraph"/>
              <w:spacing w:before="136"/>
              <w:ind w:left="0"/>
              <w:rPr>
                <w:rFonts w:asciiTheme="minorHAnsi" w:hAnsiTheme="minorHAnsi"/>
                <w:sz w:val="24"/>
                <w:szCs w:val="24"/>
              </w:rPr>
            </w:pPr>
            <w:r w:rsidRPr="0028213F">
              <w:rPr>
                <w:rFonts w:asciiTheme="minorHAnsi" w:hAnsiTheme="minorHAnsi"/>
                <w:color w:val="246042"/>
                <w:sz w:val="24"/>
                <w:szCs w:val="24"/>
              </w:rPr>
              <w:t>2024–25</w:t>
            </w:r>
          </w:p>
        </w:tc>
        <w:tc>
          <w:tcPr>
            <w:tcW w:w="1474" w:type="dxa"/>
            <w:tcBorders>
              <w:top w:val="single" w:sz="18" w:space="0" w:color="246042"/>
              <w:bottom w:val="single" w:sz="6" w:space="0" w:color="5F636A"/>
            </w:tcBorders>
            <w:shd w:val="clear" w:color="auto" w:fill="EDF0F0"/>
          </w:tcPr>
          <w:p w14:paraId="765C81D5" w14:textId="77777777" w:rsidR="0028213F" w:rsidRPr="0028213F" w:rsidRDefault="0028213F" w:rsidP="00960207">
            <w:pPr>
              <w:pStyle w:val="TableParagraph"/>
              <w:spacing w:before="136"/>
              <w:ind w:left="0"/>
              <w:rPr>
                <w:rFonts w:asciiTheme="minorHAnsi" w:hAnsiTheme="minorHAnsi"/>
                <w:sz w:val="24"/>
                <w:szCs w:val="24"/>
              </w:rPr>
            </w:pPr>
            <w:r w:rsidRPr="0028213F">
              <w:rPr>
                <w:rFonts w:asciiTheme="minorHAnsi" w:hAnsiTheme="minorHAnsi"/>
                <w:color w:val="246042"/>
                <w:sz w:val="24"/>
                <w:szCs w:val="24"/>
              </w:rPr>
              <w:t>2025–26</w:t>
            </w:r>
          </w:p>
        </w:tc>
        <w:tc>
          <w:tcPr>
            <w:tcW w:w="1474" w:type="dxa"/>
            <w:tcBorders>
              <w:top w:val="single" w:sz="18" w:space="0" w:color="246042"/>
              <w:bottom w:val="single" w:sz="6" w:space="0" w:color="5F636A"/>
            </w:tcBorders>
            <w:shd w:val="clear" w:color="auto" w:fill="EDF0F0"/>
          </w:tcPr>
          <w:p w14:paraId="55EDC821" w14:textId="77777777" w:rsidR="0028213F" w:rsidRPr="0028213F" w:rsidRDefault="0028213F" w:rsidP="00960207">
            <w:pPr>
              <w:pStyle w:val="TableParagraph"/>
              <w:spacing w:before="136"/>
              <w:ind w:left="0"/>
              <w:rPr>
                <w:rFonts w:asciiTheme="minorHAnsi" w:hAnsiTheme="minorHAnsi"/>
                <w:sz w:val="24"/>
                <w:szCs w:val="24"/>
              </w:rPr>
            </w:pPr>
            <w:r w:rsidRPr="0028213F">
              <w:rPr>
                <w:rFonts w:asciiTheme="minorHAnsi" w:hAnsiTheme="minorHAnsi"/>
                <w:color w:val="246042"/>
                <w:sz w:val="24"/>
                <w:szCs w:val="24"/>
              </w:rPr>
              <w:t>2026–27</w:t>
            </w:r>
          </w:p>
        </w:tc>
      </w:tr>
      <w:tr w:rsidR="0028213F" w14:paraId="041B2308" w14:textId="77777777" w:rsidTr="00246A7B">
        <w:trPr>
          <w:cantSplit/>
          <w:trHeight w:val="1086"/>
        </w:trPr>
        <w:tc>
          <w:tcPr>
            <w:tcW w:w="3005" w:type="dxa"/>
            <w:tcBorders>
              <w:top w:val="single" w:sz="4" w:space="0" w:color="5F636A"/>
              <w:bottom w:val="single" w:sz="12" w:space="0" w:color="808080" w:themeColor="background1" w:themeShade="80"/>
            </w:tcBorders>
          </w:tcPr>
          <w:p w14:paraId="55246F63" w14:textId="77777777" w:rsidR="0028213F" w:rsidRPr="00E47366" w:rsidRDefault="0028213F" w:rsidP="00246A7B">
            <w:pPr>
              <w:pStyle w:val="TableParagraph"/>
              <w:spacing w:before="120" w:after="120"/>
              <w:ind w:left="142" w:right="522"/>
              <w:rPr>
                <w:rFonts w:asciiTheme="minorHAnsi" w:hAnsiTheme="minorHAnsi"/>
              </w:rPr>
            </w:pPr>
            <w:r>
              <w:rPr>
                <w:rFonts w:asciiTheme="minorHAnsi" w:hAnsiTheme="minorHAnsi"/>
              </w:rPr>
              <w:t>Baseline data -</w:t>
            </w:r>
            <w:r>
              <w:rPr>
                <w:rFonts w:asciiTheme="minorHAnsi" w:hAnsiTheme="minorHAnsi"/>
              </w:rPr>
              <w:br/>
            </w:r>
            <w:r w:rsidRPr="0028213F">
              <w:rPr>
                <w:rFonts w:asciiTheme="minorHAnsi" w:hAnsiTheme="minorHAnsi"/>
              </w:rPr>
              <w:t>Benchmark resourcing numbers and percentages</w:t>
            </w:r>
          </w:p>
        </w:tc>
        <w:tc>
          <w:tcPr>
            <w:tcW w:w="1474" w:type="dxa"/>
            <w:tcBorders>
              <w:top w:val="single" w:sz="4" w:space="0" w:color="5F636A"/>
              <w:bottom w:val="single" w:sz="12" w:space="0" w:color="808080" w:themeColor="background1" w:themeShade="80"/>
            </w:tcBorders>
          </w:tcPr>
          <w:p w14:paraId="71D2172F" w14:textId="77777777" w:rsidR="0028213F" w:rsidRPr="00F078DC" w:rsidRDefault="0028213F" w:rsidP="00246A7B">
            <w:pPr>
              <w:spacing w:after="120"/>
            </w:pPr>
            <w:r>
              <w:t xml:space="preserve">Resourcing numbers </w:t>
            </w:r>
            <w:r>
              <w:br/>
              <w:t>&gt; 2022–23</w:t>
            </w:r>
          </w:p>
        </w:tc>
        <w:tc>
          <w:tcPr>
            <w:tcW w:w="1474" w:type="dxa"/>
            <w:tcBorders>
              <w:top w:val="single" w:sz="4" w:space="0" w:color="5F636A"/>
              <w:bottom w:val="single" w:sz="12" w:space="0" w:color="808080" w:themeColor="background1" w:themeShade="80"/>
            </w:tcBorders>
          </w:tcPr>
          <w:p w14:paraId="23D04755" w14:textId="77777777" w:rsidR="0028213F" w:rsidRDefault="0028213F" w:rsidP="00246A7B">
            <w:pPr>
              <w:spacing w:after="120"/>
            </w:pPr>
            <w:r w:rsidRPr="002F6D8C">
              <w:t xml:space="preserve">Resourcing numbers </w:t>
            </w:r>
            <w:r w:rsidRPr="002F6D8C">
              <w:br/>
              <w:t>&gt; 202</w:t>
            </w:r>
            <w:r>
              <w:t>3</w:t>
            </w:r>
            <w:r w:rsidRPr="002F6D8C">
              <w:t>–2</w:t>
            </w:r>
            <w:r>
              <w:t>4</w:t>
            </w:r>
          </w:p>
        </w:tc>
        <w:tc>
          <w:tcPr>
            <w:tcW w:w="1474" w:type="dxa"/>
            <w:tcBorders>
              <w:top w:val="single" w:sz="4" w:space="0" w:color="5F636A"/>
              <w:bottom w:val="single" w:sz="12" w:space="0" w:color="808080" w:themeColor="background1" w:themeShade="80"/>
            </w:tcBorders>
          </w:tcPr>
          <w:p w14:paraId="084D5908" w14:textId="77777777" w:rsidR="0028213F" w:rsidRDefault="0028213F" w:rsidP="00246A7B">
            <w:pPr>
              <w:spacing w:after="120"/>
            </w:pPr>
            <w:r w:rsidRPr="002F6D8C">
              <w:t xml:space="preserve">Resourcing numbers </w:t>
            </w:r>
            <w:r w:rsidRPr="002F6D8C">
              <w:br/>
              <w:t>&gt; 202</w:t>
            </w:r>
            <w:r>
              <w:t>4</w:t>
            </w:r>
            <w:r w:rsidRPr="002F6D8C">
              <w:t>–2</w:t>
            </w:r>
            <w:r>
              <w:t>5</w:t>
            </w:r>
          </w:p>
        </w:tc>
        <w:tc>
          <w:tcPr>
            <w:tcW w:w="1474" w:type="dxa"/>
            <w:tcBorders>
              <w:top w:val="single" w:sz="4" w:space="0" w:color="5F636A"/>
              <w:bottom w:val="single" w:sz="12" w:space="0" w:color="808080" w:themeColor="background1" w:themeShade="80"/>
            </w:tcBorders>
          </w:tcPr>
          <w:p w14:paraId="1A5D3085" w14:textId="77777777" w:rsidR="0028213F" w:rsidRDefault="0028213F" w:rsidP="00246A7B">
            <w:pPr>
              <w:spacing w:after="120"/>
            </w:pPr>
            <w:r w:rsidRPr="002F6D8C">
              <w:t xml:space="preserve">Resourcing numbers </w:t>
            </w:r>
            <w:r w:rsidRPr="002F6D8C">
              <w:br/>
              <w:t>&gt; 202</w:t>
            </w:r>
            <w:r>
              <w:t>5</w:t>
            </w:r>
            <w:r w:rsidRPr="002F6D8C">
              <w:t>–2</w:t>
            </w:r>
            <w:r>
              <w:t>6</w:t>
            </w:r>
          </w:p>
        </w:tc>
      </w:tr>
    </w:tbl>
    <w:p w14:paraId="201B8CAD" w14:textId="77777777" w:rsidR="0028213F" w:rsidRDefault="0028213F" w:rsidP="0028213F">
      <w:pPr>
        <w:pStyle w:val="Heading2"/>
      </w:pPr>
      <w:bookmarkStart w:id="65" w:name="_Toc112642125"/>
      <w:r>
        <w:lastRenderedPageBreak/>
        <w:t>Impact 2 – Quality providers and workers</w:t>
      </w:r>
      <w:bookmarkEnd w:id="65"/>
    </w:p>
    <w:p w14:paraId="5BF0871D" w14:textId="77777777" w:rsidR="0028213F" w:rsidRDefault="0028213F" w:rsidP="0028213F">
      <w:pPr>
        <w:suppressAutoHyphens w:val="0"/>
        <w:spacing w:before="120" w:after="120" w:line="240" w:lineRule="auto"/>
      </w:pPr>
      <w:r>
        <w:t>Every NDIS participant has safeguards in place and access to quality services delivered by skilled workers</w:t>
      </w:r>
      <w:r w:rsidR="005A52E5">
        <w:t>.</w:t>
      </w:r>
    </w:p>
    <w:p w14:paraId="357C3B34" w14:textId="77777777" w:rsidR="00EA458C" w:rsidRPr="0028213F" w:rsidRDefault="00EA458C" w:rsidP="0028213F">
      <w:pPr>
        <w:pStyle w:val="Heading3"/>
        <w:rPr>
          <w:b w:val="0"/>
        </w:rPr>
      </w:pPr>
      <w:bookmarkStart w:id="66" w:name="_Toc112642126"/>
      <w:r w:rsidRPr="0028213F">
        <w:rPr>
          <w:b w:val="0"/>
        </w:rPr>
        <w:t>PM 2.1: The quality of NDIS provider and worker provision increases over time, with systemic issues related to poor quality and safety reduced or eliminated</w:t>
      </w:r>
      <w:bookmarkEnd w:id="66"/>
    </w:p>
    <w:tbl>
      <w:tblPr>
        <w:tblW w:w="8901" w:type="dxa"/>
        <w:tblLayout w:type="fixed"/>
        <w:tblCellMar>
          <w:left w:w="0" w:type="dxa"/>
          <w:right w:w="0" w:type="dxa"/>
        </w:tblCellMar>
        <w:tblLook w:val="01E0" w:firstRow="1" w:lastRow="1" w:firstColumn="1" w:lastColumn="1" w:noHBand="0" w:noVBand="0"/>
      </w:tblPr>
      <w:tblGrid>
        <w:gridCol w:w="3005"/>
        <w:gridCol w:w="1474"/>
        <w:gridCol w:w="1474"/>
        <w:gridCol w:w="1474"/>
        <w:gridCol w:w="1474"/>
      </w:tblGrid>
      <w:tr w:rsidR="005A52E5" w14:paraId="48594224" w14:textId="77777777" w:rsidTr="005A52E5">
        <w:trPr>
          <w:trHeight w:val="546"/>
        </w:trPr>
        <w:tc>
          <w:tcPr>
            <w:tcW w:w="3005" w:type="dxa"/>
            <w:tcBorders>
              <w:top w:val="single" w:sz="18" w:space="0" w:color="602167"/>
              <w:bottom w:val="single" w:sz="6" w:space="0" w:color="5F636A"/>
            </w:tcBorders>
            <w:shd w:val="clear" w:color="auto" w:fill="EFEFF1"/>
          </w:tcPr>
          <w:p w14:paraId="79F8014B" w14:textId="77777777" w:rsidR="005A52E5" w:rsidRPr="005A52E5" w:rsidRDefault="005A52E5" w:rsidP="005A52E5">
            <w:pPr>
              <w:pStyle w:val="TableParagraph"/>
              <w:spacing w:before="136"/>
              <w:ind w:left="142"/>
              <w:rPr>
                <w:rFonts w:asciiTheme="minorHAnsi" w:hAnsiTheme="minorHAnsi"/>
                <w:sz w:val="24"/>
              </w:rPr>
            </w:pPr>
            <w:r w:rsidRPr="005A52E5">
              <w:rPr>
                <w:rFonts w:asciiTheme="minorHAnsi" w:hAnsiTheme="minorHAnsi"/>
                <w:color w:val="602167"/>
                <w:sz w:val="24"/>
              </w:rPr>
              <w:t>Targets for 2022–23</w:t>
            </w:r>
          </w:p>
        </w:tc>
        <w:tc>
          <w:tcPr>
            <w:tcW w:w="1474" w:type="dxa"/>
            <w:tcBorders>
              <w:top w:val="single" w:sz="18" w:space="0" w:color="602167"/>
              <w:bottom w:val="single" w:sz="6" w:space="0" w:color="5F636A"/>
            </w:tcBorders>
            <w:shd w:val="clear" w:color="auto" w:fill="EFEFF1"/>
          </w:tcPr>
          <w:p w14:paraId="3A569E6C" w14:textId="77777777" w:rsidR="005A52E5" w:rsidRPr="005A52E5" w:rsidRDefault="005A52E5" w:rsidP="005A52E5">
            <w:pPr>
              <w:pStyle w:val="TableParagraph"/>
              <w:spacing w:before="136"/>
              <w:ind w:left="0"/>
              <w:rPr>
                <w:rFonts w:asciiTheme="minorHAnsi" w:hAnsiTheme="minorHAnsi"/>
                <w:sz w:val="24"/>
              </w:rPr>
            </w:pPr>
            <w:r w:rsidRPr="005A52E5">
              <w:rPr>
                <w:rFonts w:asciiTheme="minorHAnsi" w:hAnsiTheme="minorHAnsi"/>
                <w:color w:val="602167"/>
                <w:sz w:val="24"/>
              </w:rPr>
              <w:t>2023–24</w:t>
            </w:r>
          </w:p>
        </w:tc>
        <w:tc>
          <w:tcPr>
            <w:tcW w:w="1474" w:type="dxa"/>
            <w:tcBorders>
              <w:top w:val="single" w:sz="18" w:space="0" w:color="602167"/>
              <w:bottom w:val="single" w:sz="6" w:space="0" w:color="5F636A"/>
            </w:tcBorders>
            <w:shd w:val="clear" w:color="auto" w:fill="EFEFF1"/>
          </w:tcPr>
          <w:p w14:paraId="28085899" w14:textId="77777777" w:rsidR="005A52E5" w:rsidRPr="005A52E5" w:rsidRDefault="005A52E5" w:rsidP="00960207">
            <w:pPr>
              <w:pStyle w:val="TableParagraph"/>
              <w:spacing w:before="136"/>
              <w:ind w:left="93"/>
              <w:rPr>
                <w:rFonts w:asciiTheme="minorHAnsi" w:hAnsiTheme="minorHAnsi"/>
                <w:sz w:val="24"/>
              </w:rPr>
            </w:pPr>
            <w:r w:rsidRPr="005A52E5">
              <w:rPr>
                <w:rFonts w:asciiTheme="minorHAnsi" w:hAnsiTheme="minorHAnsi"/>
                <w:color w:val="602167"/>
                <w:sz w:val="24"/>
              </w:rPr>
              <w:t>2024–25</w:t>
            </w:r>
          </w:p>
        </w:tc>
        <w:tc>
          <w:tcPr>
            <w:tcW w:w="1474" w:type="dxa"/>
            <w:tcBorders>
              <w:top w:val="single" w:sz="18" w:space="0" w:color="602167"/>
              <w:bottom w:val="single" w:sz="6" w:space="0" w:color="5F636A"/>
            </w:tcBorders>
            <w:shd w:val="clear" w:color="auto" w:fill="EFEFF1"/>
          </w:tcPr>
          <w:p w14:paraId="633BA45F" w14:textId="77777777" w:rsidR="005A52E5" w:rsidRPr="005A52E5" w:rsidRDefault="005A52E5" w:rsidP="00960207">
            <w:pPr>
              <w:pStyle w:val="TableParagraph"/>
              <w:spacing w:before="136"/>
              <w:ind w:left="98"/>
              <w:rPr>
                <w:rFonts w:asciiTheme="minorHAnsi" w:hAnsiTheme="minorHAnsi"/>
                <w:sz w:val="24"/>
              </w:rPr>
            </w:pPr>
            <w:r w:rsidRPr="005A52E5">
              <w:rPr>
                <w:rFonts w:asciiTheme="minorHAnsi" w:hAnsiTheme="minorHAnsi"/>
                <w:color w:val="602167"/>
                <w:sz w:val="24"/>
              </w:rPr>
              <w:t>2025–26</w:t>
            </w:r>
          </w:p>
        </w:tc>
        <w:tc>
          <w:tcPr>
            <w:tcW w:w="1474" w:type="dxa"/>
            <w:tcBorders>
              <w:top w:val="single" w:sz="18" w:space="0" w:color="602167"/>
              <w:bottom w:val="single" w:sz="6" w:space="0" w:color="5F636A"/>
            </w:tcBorders>
            <w:shd w:val="clear" w:color="auto" w:fill="EFEFF1"/>
          </w:tcPr>
          <w:p w14:paraId="021DB299" w14:textId="77777777" w:rsidR="005A52E5" w:rsidRPr="005A52E5" w:rsidRDefault="005A52E5" w:rsidP="00960207">
            <w:pPr>
              <w:pStyle w:val="TableParagraph"/>
              <w:spacing w:before="136"/>
              <w:ind w:left="92"/>
              <w:rPr>
                <w:rFonts w:asciiTheme="minorHAnsi" w:hAnsiTheme="minorHAnsi"/>
                <w:sz w:val="24"/>
              </w:rPr>
            </w:pPr>
            <w:r w:rsidRPr="005A52E5">
              <w:rPr>
                <w:rFonts w:asciiTheme="minorHAnsi" w:hAnsiTheme="minorHAnsi"/>
                <w:color w:val="602167"/>
                <w:sz w:val="24"/>
              </w:rPr>
              <w:t>2026–27</w:t>
            </w:r>
          </w:p>
        </w:tc>
      </w:tr>
      <w:tr w:rsidR="00960207" w14:paraId="788F809C" w14:textId="77777777" w:rsidTr="00246A7B">
        <w:trPr>
          <w:trHeight w:val="1160"/>
        </w:trPr>
        <w:tc>
          <w:tcPr>
            <w:tcW w:w="3005" w:type="dxa"/>
            <w:tcBorders>
              <w:top w:val="single" w:sz="6" w:space="0" w:color="5F636A"/>
              <w:bottom w:val="single" w:sz="4" w:space="0" w:color="5F636A"/>
            </w:tcBorders>
          </w:tcPr>
          <w:p w14:paraId="234B3F84" w14:textId="77777777" w:rsidR="00960207" w:rsidRPr="005A52E5" w:rsidRDefault="00960207" w:rsidP="00F86760">
            <w:pPr>
              <w:pStyle w:val="TableParagraph"/>
              <w:spacing w:before="60" w:after="120"/>
              <w:ind w:left="142"/>
              <w:rPr>
                <w:rFonts w:asciiTheme="minorHAnsi" w:hAnsiTheme="minorHAnsi"/>
              </w:rPr>
            </w:pPr>
            <w:r w:rsidRPr="00960207">
              <w:rPr>
                <w:rFonts w:asciiTheme="minorHAnsi" w:hAnsiTheme="minorHAnsi"/>
              </w:rPr>
              <w:t>Baseline data –</w:t>
            </w:r>
            <w:r>
              <w:rPr>
                <w:rFonts w:asciiTheme="minorHAnsi" w:hAnsiTheme="minorHAnsi"/>
              </w:rPr>
              <w:br/>
            </w:r>
            <w:r w:rsidRPr="00960207">
              <w:rPr>
                <w:rFonts w:asciiTheme="minorHAnsi" w:hAnsiTheme="minorHAnsi"/>
              </w:rPr>
              <w:t xml:space="preserve">% Participants say the </w:t>
            </w:r>
            <w:r>
              <w:rPr>
                <w:rFonts w:asciiTheme="minorHAnsi" w:hAnsiTheme="minorHAnsi"/>
              </w:rPr>
              <w:br/>
            </w:r>
            <w:r w:rsidRPr="00960207">
              <w:rPr>
                <w:rFonts w:asciiTheme="minorHAnsi" w:hAnsiTheme="minorHAnsi"/>
              </w:rPr>
              <w:t xml:space="preserve">quality of their supports </w:t>
            </w:r>
            <w:r>
              <w:rPr>
                <w:rFonts w:asciiTheme="minorHAnsi" w:hAnsiTheme="minorHAnsi"/>
              </w:rPr>
              <w:br/>
            </w:r>
            <w:r w:rsidRPr="00960207">
              <w:rPr>
                <w:rFonts w:asciiTheme="minorHAnsi" w:hAnsiTheme="minorHAnsi"/>
              </w:rPr>
              <w:t>has increased</w:t>
            </w:r>
          </w:p>
        </w:tc>
        <w:tc>
          <w:tcPr>
            <w:tcW w:w="1474" w:type="dxa"/>
            <w:tcBorders>
              <w:top w:val="single" w:sz="6" w:space="0" w:color="5F636A"/>
              <w:bottom w:val="single" w:sz="4" w:space="0" w:color="5F636A"/>
            </w:tcBorders>
          </w:tcPr>
          <w:p w14:paraId="18D06CAB" w14:textId="77777777" w:rsidR="00960207" w:rsidRPr="00495D2F" w:rsidRDefault="00960207" w:rsidP="00F86760">
            <w:pPr>
              <w:spacing w:before="60" w:after="120" w:line="240" w:lineRule="auto"/>
            </w:pPr>
            <w:r w:rsidRPr="00495D2F">
              <w:t>Increase from baseline</w:t>
            </w:r>
          </w:p>
        </w:tc>
        <w:tc>
          <w:tcPr>
            <w:tcW w:w="1474" w:type="dxa"/>
            <w:tcBorders>
              <w:top w:val="single" w:sz="6" w:space="0" w:color="5F636A"/>
              <w:bottom w:val="single" w:sz="4" w:space="0" w:color="5F636A"/>
            </w:tcBorders>
          </w:tcPr>
          <w:p w14:paraId="0EE59B10" w14:textId="77777777" w:rsidR="00960207" w:rsidRPr="00495D2F" w:rsidRDefault="00960207" w:rsidP="00F86760">
            <w:pPr>
              <w:spacing w:before="60" w:after="120" w:line="240" w:lineRule="auto"/>
            </w:pPr>
            <w:r w:rsidRPr="00495D2F">
              <w:t>Increase from previous year</w:t>
            </w:r>
          </w:p>
        </w:tc>
        <w:tc>
          <w:tcPr>
            <w:tcW w:w="1474" w:type="dxa"/>
            <w:tcBorders>
              <w:top w:val="single" w:sz="6" w:space="0" w:color="5F636A"/>
              <w:bottom w:val="single" w:sz="4" w:space="0" w:color="5F636A"/>
            </w:tcBorders>
          </w:tcPr>
          <w:p w14:paraId="197A7E78" w14:textId="77777777" w:rsidR="00960207" w:rsidRPr="00495D2F" w:rsidRDefault="00960207" w:rsidP="00F86760">
            <w:pPr>
              <w:spacing w:before="60" w:after="120" w:line="240" w:lineRule="auto"/>
            </w:pPr>
            <w:r w:rsidRPr="00495D2F">
              <w:t>Increase from previous year</w:t>
            </w:r>
          </w:p>
        </w:tc>
        <w:tc>
          <w:tcPr>
            <w:tcW w:w="1474" w:type="dxa"/>
            <w:tcBorders>
              <w:top w:val="single" w:sz="6" w:space="0" w:color="5F636A"/>
              <w:bottom w:val="single" w:sz="4" w:space="0" w:color="5F636A"/>
            </w:tcBorders>
          </w:tcPr>
          <w:p w14:paraId="0B528A47" w14:textId="77777777" w:rsidR="00960207" w:rsidRPr="00495D2F" w:rsidRDefault="00960207" w:rsidP="00F86760">
            <w:pPr>
              <w:spacing w:before="60" w:after="120" w:line="240" w:lineRule="auto"/>
            </w:pPr>
            <w:r w:rsidRPr="00495D2F">
              <w:t>Increase from previous year</w:t>
            </w:r>
          </w:p>
        </w:tc>
      </w:tr>
      <w:tr w:rsidR="00960207" w14:paraId="7BB552E6" w14:textId="77777777" w:rsidTr="00246A7B">
        <w:trPr>
          <w:trHeight w:val="1030"/>
        </w:trPr>
        <w:tc>
          <w:tcPr>
            <w:tcW w:w="3005" w:type="dxa"/>
            <w:tcBorders>
              <w:top w:val="single" w:sz="4" w:space="0" w:color="5F636A"/>
              <w:bottom w:val="single" w:sz="12" w:space="0" w:color="0D0D0D" w:themeColor="text1" w:themeTint="F2"/>
            </w:tcBorders>
          </w:tcPr>
          <w:p w14:paraId="3445D111" w14:textId="77777777" w:rsidR="00960207" w:rsidRPr="005A52E5" w:rsidRDefault="00960207" w:rsidP="00F86760">
            <w:pPr>
              <w:pStyle w:val="TableParagraph"/>
              <w:spacing w:before="60" w:after="120"/>
              <w:ind w:left="142"/>
              <w:rPr>
                <w:rFonts w:asciiTheme="minorHAnsi" w:hAnsiTheme="minorHAnsi"/>
              </w:rPr>
            </w:pPr>
            <w:r w:rsidRPr="00960207">
              <w:rPr>
                <w:rFonts w:asciiTheme="minorHAnsi" w:hAnsiTheme="minorHAnsi"/>
              </w:rPr>
              <w:t>Systemic issues defined</w:t>
            </w:r>
          </w:p>
        </w:tc>
        <w:tc>
          <w:tcPr>
            <w:tcW w:w="1474" w:type="dxa"/>
            <w:tcBorders>
              <w:top w:val="single" w:sz="4" w:space="0" w:color="5F636A"/>
              <w:bottom w:val="single" w:sz="12" w:space="0" w:color="0D0D0D" w:themeColor="text1" w:themeTint="F2"/>
            </w:tcBorders>
          </w:tcPr>
          <w:p w14:paraId="75723E55" w14:textId="77777777" w:rsidR="00960207" w:rsidRPr="00495D2F" w:rsidRDefault="00960207" w:rsidP="00F86760">
            <w:pPr>
              <w:spacing w:before="60" w:after="120" w:line="240" w:lineRule="auto"/>
            </w:pPr>
            <w:r w:rsidRPr="00495D2F">
              <w:t>Update and qualitative report</w:t>
            </w:r>
          </w:p>
        </w:tc>
        <w:tc>
          <w:tcPr>
            <w:tcW w:w="1474" w:type="dxa"/>
            <w:tcBorders>
              <w:top w:val="single" w:sz="4" w:space="0" w:color="5F636A"/>
              <w:bottom w:val="single" w:sz="12" w:space="0" w:color="0D0D0D" w:themeColor="text1" w:themeTint="F2"/>
            </w:tcBorders>
          </w:tcPr>
          <w:p w14:paraId="3ACE35D2" w14:textId="77777777" w:rsidR="00960207" w:rsidRPr="00495D2F" w:rsidRDefault="00960207" w:rsidP="00F86760">
            <w:pPr>
              <w:spacing w:before="60" w:after="120" w:line="240" w:lineRule="auto"/>
            </w:pPr>
            <w:r w:rsidRPr="00495D2F">
              <w:t>Update and qualitative report</w:t>
            </w:r>
          </w:p>
        </w:tc>
        <w:tc>
          <w:tcPr>
            <w:tcW w:w="1474" w:type="dxa"/>
            <w:tcBorders>
              <w:top w:val="single" w:sz="4" w:space="0" w:color="5F636A"/>
              <w:bottom w:val="single" w:sz="12" w:space="0" w:color="0D0D0D" w:themeColor="text1" w:themeTint="F2"/>
            </w:tcBorders>
          </w:tcPr>
          <w:p w14:paraId="13F38558" w14:textId="77777777" w:rsidR="00960207" w:rsidRPr="00495D2F" w:rsidRDefault="00960207" w:rsidP="00F86760">
            <w:pPr>
              <w:spacing w:before="60" w:after="120" w:line="240" w:lineRule="auto"/>
            </w:pPr>
            <w:r w:rsidRPr="00495D2F">
              <w:t>Update and qualitative report</w:t>
            </w:r>
          </w:p>
        </w:tc>
        <w:tc>
          <w:tcPr>
            <w:tcW w:w="1474" w:type="dxa"/>
            <w:tcBorders>
              <w:top w:val="single" w:sz="4" w:space="0" w:color="5F636A"/>
              <w:bottom w:val="single" w:sz="12" w:space="0" w:color="0D0D0D" w:themeColor="text1" w:themeTint="F2"/>
            </w:tcBorders>
          </w:tcPr>
          <w:p w14:paraId="004F4276" w14:textId="77777777" w:rsidR="00960207" w:rsidRDefault="00960207" w:rsidP="00F86760">
            <w:pPr>
              <w:spacing w:before="60" w:after="120" w:line="240" w:lineRule="auto"/>
            </w:pPr>
            <w:r w:rsidRPr="00495D2F">
              <w:t>Update and qualitative report</w:t>
            </w:r>
          </w:p>
        </w:tc>
      </w:tr>
    </w:tbl>
    <w:p w14:paraId="763A3DEF" w14:textId="77777777" w:rsidR="00EA458C" w:rsidRPr="00960207" w:rsidRDefault="00EA458C" w:rsidP="00960207">
      <w:pPr>
        <w:pStyle w:val="Heading3"/>
        <w:rPr>
          <w:b w:val="0"/>
        </w:rPr>
      </w:pPr>
      <w:bookmarkStart w:id="67" w:name="_Toc112642127"/>
      <w:r w:rsidRPr="00960207">
        <w:rPr>
          <w:b w:val="0"/>
        </w:rPr>
        <w:t>PM 2.2: NDIS participants have greater access to, and choice of, skilled workers</w:t>
      </w:r>
      <w:bookmarkEnd w:id="67"/>
    </w:p>
    <w:tbl>
      <w:tblPr>
        <w:tblW w:w="8901" w:type="dxa"/>
        <w:tblLayout w:type="fixed"/>
        <w:tblCellMar>
          <w:left w:w="0" w:type="dxa"/>
          <w:right w:w="0" w:type="dxa"/>
        </w:tblCellMar>
        <w:tblLook w:val="01E0" w:firstRow="1" w:lastRow="1" w:firstColumn="1" w:lastColumn="1" w:noHBand="0" w:noVBand="0"/>
      </w:tblPr>
      <w:tblGrid>
        <w:gridCol w:w="3005"/>
        <w:gridCol w:w="1474"/>
        <w:gridCol w:w="1474"/>
        <w:gridCol w:w="1474"/>
        <w:gridCol w:w="1474"/>
      </w:tblGrid>
      <w:tr w:rsidR="00960207" w14:paraId="1CEBE01C" w14:textId="77777777" w:rsidTr="00F86760">
        <w:trPr>
          <w:cantSplit/>
          <w:trHeight w:val="546"/>
          <w:tblHeader/>
        </w:trPr>
        <w:tc>
          <w:tcPr>
            <w:tcW w:w="3005" w:type="dxa"/>
            <w:tcBorders>
              <w:top w:val="single" w:sz="18" w:space="0" w:color="602167"/>
              <w:bottom w:val="single" w:sz="6" w:space="0" w:color="5F636A"/>
            </w:tcBorders>
            <w:shd w:val="clear" w:color="auto" w:fill="EFEFF1"/>
          </w:tcPr>
          <w:p w14:paraId="3366F622" w14:textId="77777777" w:rsidR="00960207" w:rsidRPr="005A52E5" w:rsidRDefault="00960207" w:rsidP="00960207">
            <w:pPr>
              <w:pStyle w:val="TableParagraph"/>
              <w:spacing w:before="136"/>
              <w:ind w:left="142"/>
              <w:rPr>
                <w:rFonts w:asciiTheme="minorHAnsi" w:hAnsiTheme="minorHAnsi"/>
                <w:sz w:val="24"/>
              </w:rPr>
            </w:pPr>
            <w:r w:rsidRPr="005A52E5">
              <w:rPr>
                <w:rFonts w:asciiTheme="minorHAnsi" w:hAnsiTheme="minorHAnsi"/>
                <w:color w:val="602167"/>
                <w:sz w:val="24"/>
              </w:rPr>
              <w:t>Targets for 2022–23</w:t>
            </w:r>
          </w:p>
        </w:tc>
        <w:tc>
          <w:tcPr>
            <w:tcW w:w="1474" w:type="dxa"/>
            <w:tcBorders>
              <w:top w:val="single" w:sz="18" w:space="0" w:color="602167"/>
              <w:bottom w:val="single" w:sz="6" w:space="0" w:color="5F636A"/>
            </w:tcBorders>
            <w:shd w:val="clear" w:color="auto" w:fill="EFEFF1"/>
          </w:tcPr>
          <w:p w14:paraId="0FFD3705" w14:textId="77777777" w:rsidR="00960207" w:rsidRPr="005A52E5" w:rsidRDefault="00960207" w:rsidP="00960207">
            <w:pPr>
              <w:pStyle w:val="TableParagraph"/>
              <w:spacing w:before="136"/>
              <w:ind w:left="0"/>
              <w:rPr>
                <w:rFonts w:asciiTheme="minorHAnsi" w:hAnsiTheme="minorHAnsi"/>
                <w:sz w:val="24"/>
              </w:rPr>
            </w:pPr>
            <w:r w:rsidRPr="005A52E5">
              <w:rPr>
                <w:rFonts w:asciiTheme="minorHAnsi" w:hAnsiTheme="minorHAnsi"/>
                <w:color w:val="602167"/>
                <w:sz w:val="24"/>
              </w:rPr>
              <w:t>2023–24</w:t>
            </w:r>
          </w:p>
        </w:tc>
        <w:tc>
          <w:tcPr>
            <w:tcW w:w="1474" w:type="dxa"/>
            <w:tcBorders>
              <w:top w:val="single" w:sz="18" w:space="0" w:color="602167"/>
              <w:bottom w:val="single" w:sz="6" w:space="0" w:color="5F636A"/>
            </w:tcBorders>
            <w:shd w:val="clear" w:color="auto" w:fill="EFEFF1"/>
          </w:tcPr>
          <w:p w14:paraId="003464EE" w14:textId="77777777" w:rsidR="00960207" w:rsidRPr="005A52E5" w:rsidRDefault="00960207" w:rsidP="00960207">
            <w:pPr>
              <w:pStyle w:val="TableParagraph"/>
              <w:spacing w:before="136"/>
              <w:ind w:left="93"/>
              <w:rPr>
                <w:rFonts w:asciiTheme="minorHAnsi" w:hAnsiTheme="minorHAnsi"/>
                <w:sz w:val="24"/>
              </w:rPr>
            </w:pPr>
            <w:r w:rsidRPr="005A52E5">
              <w:rPr>
                <w:rFonts w:asciiTheme="minorHAnsi" w:hAnsiTheme="minorHAnsi"/>
                <w:color w:val="602167"/>
                <w:sz w:val="24"/>
              </w:rPr>
              <w:t>2024–25</w:t>
            </w:r>
          </w:p>
        </w:tc>
        <w:tc>
          <w:tcPr>
            <w:tcW w:w="1474" w:type="dxa"/>
            <w:tcBorders>
              <w:top w:val="single" w:sz="18" w:space="0" w:color="602167"/>
              <w:bottom w:val="single" w:sz="6" w:space="0" w:color="5F636A"/>
            </w:tcBorders>
            <w:shd w:val="clear" w:color="auto" w:fill="EFEFF1"/>
          </w:tcPr>
          <w:p w14:paraId="7510B515" w14:textId="77777777" w:rsidR="00960207" w:rsidRPr="005A52E5" w:rsidRDefault="00960207" w:rsidP="00960207">
            <w:pPr>
              <w:pStyle w:val="TableParagraph"/>
              <w:spacing w:before="136"/>
              <w:ind w:left="98"/>
              <w:rPr>
                <w:rFonts w:asciiTheme="minorHAnsi" w:hAnsiTheme="minorHAnsi"/>
                <w:sz w:val="24"/>
              </w:rPr>
            </w:pPr>
            <w:r w:rsidRPr="005A52E5">
              <w:rPr>
                <w:rFonts w:asciiTheme="minorHAnsi" w:hAnsiTheme="minorHAnsi"/>
                <w:color w:val="602167"/>
                <w:sz w:val="24"/>
              </w:rPr>
              <w:t>2025–26</w:t>
            </w:r>
          </w:p>
        </w:tc>
        <w:tc>
          <w:tcPr>
            <w:tcW w:w="1474" w:type="dxa"/>
            <w:tcBorders>
              <w:top w:val="single" w:sz="18" w:space="0" w:color="602167"/>
              <w:bottom w:val="single" w:sz="6" w:space="0" w:color="5F636A"/>
            </w:tcBorders>
            <w:shd w:val="clear" w:color="auto" w:fill="EFEFF1"/>
          </w:tcPr>
          <w:p w14:paraId="1CFFD06E" w14:textId="77777777" w:rsidR="00960207" w:rsidRPr="005A52E5" w:rsidRDefault="00960207" w:rsidP="00960207">
            <w:pPr>
              <w:pStyle w:val="TableParagraph"/>
              <w:spacing w:before="136"/>
              <w:ind w:left="92"/>
              <w:rPr>
                <w:rFonts w:asciiTheme="minorHAnsi" w:hAnsiTheme="minorHAnsi"/>
                <w:sz w:val="24"/>
              </w:rPr>
            </w:pPr>
            <w:r w:rsidRPr="005A52E5">
              <w:rPr>
                <w:rFonts w:asciiTheme="minorHAnsi" w:hAnsiTheme="minorHAnsi"/>
                <w:color w:val="602167"/>
                <w:sz w:val="24"/>
              </w:rPr>
              <w:t>2026–27</w:t>
            </w:r>
          </w:p>
        </w:tc>
      </w:tr>
      <w:tr w:rsidR="00960207" w14:paraId="5EEAFD86" w14:textId="77777777" w:rsidTr="00F86760">
        <w:trPr>
          <w:cantSplit/>
          <w:trHeight w:val="1400"/>
        </w:trPr>
        <w:tc>
          <w:tcPr>
            <w:tcW w:w="3005" w:type="dxa"/>
            <w:tcBorders>
              <w:top w:val="single" w:sz="6" w:space="0" w:color="5F636A"/>
              <w:bottom w:val="single" w:sz="4" w:space="0" w:color="5F636A"/>
            </w:tcBorders>
          </w:tcPr>
          <w:p w14:paraId="200144FA" w14:textId="77777777" w:rsidR="00960207" w:rsidRPr="005A52E5" w:rsidRDefault="00960207" w:rsidP="00F86760">
            <w:pPr>
              <w:pStyle w:val="TableParagraph"/>
              <w:spacing w:beforeLines="60" w:before="144"/>
              <w:ind w:left="142"/>
              <w:rPr>
                <w:rFonts w:asciiTheme="minorHAnsi" w:hAnsiTheme="minorHAnsi"/>
              </w:rPr>
            </w:pPr>
            <w:r w:rsidRPr="00960207">
              <w:rPr>
                <w:rFonts w:asciiTheme="minorHAnsi" w:hAnsiTheme="minorHAnsi"/>
              </w:rPr>
              <w:t>Baseline data -</w:t>
            </w:r>
            <w:r w:rsidR="00F86760">
              <w:rPr>
                <w:rFonts w:asciiTheme="minorHAnsi" w:hAnsiTheme="minorHAnsi"/>
              </w:rPr>
              <w:br/>
            </w:r>
            <w:r w:rsidRPr="00960207">
              <w:rPr>
                <w:rFonts w:asciiTheme="minorHAnsi" w:hAnsiTheme="minorHAnsi"/>
              </w:rPr>
              <w:t>Uptake of the Workforce Capability Framework, building a skilled workforce</w:t>
            </w:r>
          </w:p>
        </w:tc>
        <w:tc>
          <w:tcPr>
            <w:tcW w:w="1474" w:type="dxa"/>
            <w:tcBorders>
              <w:top w:val="single" w:sz="6" w:space="0" w:color="5F636A"/>
              <w:bottom w:val="single" w:sz="4" w:space="0" w:color="5F636A"/>
            </w:tcBorders>
          </w:tcPr>
          <w:p w14:paraId="6BBFE423" w14:textId="77777777" w:rsidR="00960207" w:rsidRPr="00E878D0" w:rsidRDefault="00960207" w:rsidP="00F86760">
            <w:pPr>
              <w:spacing w:beforeLines="60" w:before="144"/>
            </w:pPr>
            <w:r w:rsidRPr="00E878D0">
              <w:t>Reported improvement from 2022–23</w:t>
            </w:r>
          </w:p>
        </w:tc>
        <w:tc>
          <w:tcPr>
            <w:tcW w:w="1474" w:type="dxa"/>
            <w:tcBorders>
              <w:top w:val="single" w:sz="6" w:space="0" w:color="5F636A"/>
              <w:bottom w:val="single" w:sz="4" w:space="0" w:color="5F636A"/>
            </w:tcBorders>
          </w:tcPr>
          <w:p w14:paraId="3BA01132" w14:textId="77777777" w:rsidR="00960207" w:rsidRPr="00E878D0" w:rsidRDefault="00960207" w:rsidP="00F86760">
            <w:pPr>
              <w:spacing w:beforeLines="60" w:before="144"/>
            </w:pPr>
            <w:r w:rsidRPr="00E878D0">
              <w:t>Reported improvement from 2023–24</w:t>
            </w:r>
          </w:p>
        </w:tc>
        <w:tc>
          <w:tcPr>
            <w:tcW w:w="1474" w:type="dxa"/>
            <w:tcBorders>
              <w:top w:val="single" w:sz="6" w:space="0" w:color="5F636A"/>
              <w:bottom w:val="single" w:sz="4" w:space="0" w:color="5F636A"/>
            </w:tcBorders>
          </w:tcPr>
          <w:p w14:paraId="06C07605" w14:textId="77777777" w:rsidR="00960207" w:rsidRPr="00E878D0" w:rsidRDefault="00960207" w:rsidP="00F86760">
            <w:pPr>
              <w:spacing w:beforeLines="60" w:before="144"/>
            </w:pPr>
            <w:r w:rsidRPr="00E878D0">
              <w:t>Reported improvement from 2024–25</w:t>
            </w:r>
          </w:p>
        </w:tc>
        <w:tc>
          <w:tcPr>
            <w:tcW w:w="1474" w:type="dxa"/>
            <w:tcBorders>
              <w:top w:val="single" w:sz="6" w:space="0" w:color="5F636A"/>
              <w:bottom w:val="single" w:sz="4" w:space="0" w:color="5F636A"/>
            </w:tcBorders>
          </w:tcPr>
          <w:p w14:paraId="207C62E7" w14:textId="77777777" w:rsidR="00960207" w:rsidRDefault="00960207" w:rsidP="00F86760">
            <w:pPr>
              <w:spacing w:beforeLines="60" w:before="144"/>
            </w:pPr>
            <w:r w:rsidRPr="00E878D0">
              <w:t>Reported improvement from 2025–26</w:t>
            </w:r>
          </w:p>
        </w:tc>
      </w:tr>
      <w:tr w:rsidR="00960207" w14:paraId="7CCED651" w14:textId="77777777" w:rsidTr="00246A7B">
        <w:trPr>
          <w:cantSplit/>
          <w:trHeight w:val="2449"/>
        </w:trPr>
        <w:tc>
          <w:tcPr>
            <w:tcW w:w="3005" w:type="dxa"/>
            <w:tcBorders>
              <w:top w:val="single" w:sz="4" w:space="0" w:color="5F636A"/>
              <w:bottom w:val="single" w:sz="12" w:space="0" w:color="0D0D0D" w:themeColor="text1" w:themeTint="F2"/>
            </w:tcBorders>
          </w:tcPr>
          <w:p w14:paraId="780CF410" w14:textId="77777777" w:rsidR="00960207" w:rsidRDefault="00960207" w:rsidP="00F86760">
            <w:pPr>
              <w:pStyle w:val="TableParagraph"/>
              <w:spacing w:beforeLines="60" w:before="144"/>
              <w:ind w:left="142"/>
              <w:rPr>
                <w:rFonts w:asciiTheme="minorHAnsi" w:hAnsiTheme="minorHAnsi"/>
              </w:rPr>
            </w:pPr>
            <w:r>
              <w:rPr>
                <w:rFonts w:asciiTheme="minorHAnsi" w:hAnsiTheme="minorHAnsi"/>
              </w:rPr>
              <w:t>Baseline data -</w:t>
            </w:r>
            <w:r>
              <w:rPr>
                <w:rFonts w:asciiTheme="minorHAnsi" w:hAnsiTheme="minorHAnsi"/>
              </w:rPr>
              <w:br/>
            </w:r>
            <w:r w:rsidRPr="00960207">
              <w:rPr>
                <w:rFonts w:asciiTheme="minorHAnsi" w:hAnsiTheme="minorHAnsi"/>
              </w:rPr>
              <w:t>Targete</w:t>
            </w:r>
            <w:r>
              <w:rPr>
                <w:rFonts w:asciiTheme="minorHAnsi" w:hAnsiTheme="minorHAnsi"/>
              </w:rPr>
              <w:t>d innovation and/or models for:</w:t>
            </w:r>
          </w:p>
          <w:p w14:paraId="23FC09B8" w14:textId="77777777" w:rsidR="00960207" w:rsidRPr="005A52E5" w:rsidRDefault="00960207" w:rsidP="00A54967">
            <w:pPr>
              <w:pStyle w:val="TableParagraph"/>
              <w:numPr>
                <w:ilvl w:val="0"/>
                <w:numId w:val="12"/>
              </w:numPr>
              <w:spacing w:before="0"/>
              <w:ind w:hanging="357"/>
              <w:rPr>
                <w:rFonts w:asciiTheme="minorHAnsi" w:hAnsiTheme="minorHAnsi"/>
              </w:rPr>
            </w:pPr>
            <w:r>
              <w:rPr>
                <w:rFonts w:asciiTheme="minorHAnsi" w:hAnsiTheme="minorHAnsi"/>
              </w:rPr>
              <w:t>rural and remote communities</w:t>
            </w:r>
            <w:r>
              <w:rPr>
                <w:rFonts w:asciiTheme="minorHAnsi" w:hAnsiTheme="minorHAnsi"/>
              </w:rPr>
              <w:br/>
            </w:r>
            <w:r w:rsidRPr="00960207">
              <w:rPr>
                <w:rFonts w:asciiTheme="minorHAnsi" w:hAnsiTheme="minorHAnsi"/>
              </w:rPr>
              <w:t>Aboriginal and Torres Strait Islander communities</w:t>
            </w:r>
          </w:p>
        </w:tc>
        <w:tc>
          <w:tcPr>
            <w:tcW w:w="1474" w:type="dxa"/>
            <w:tcBorders>
              <w:top w:val="single" w:sz="4" w:space="0" w:color="5F636A"/>
              <w:bottom w:val="single" w:sz="12" w:space="0" w:color="0D0D0D" w:themeColor="text1" w:themeTint="F2"/>
            </w:tcBorders>
          </w:tcPr>
          <w:p w14:paraId="170D8DB8" w14:textId="77777777" w:rsidR="00960207" w:rsidRPr="00BE625D" w:rsidRDefault="00960207" w:rsidP="00F86760">
            <w:pPr>
              <w:spacing w:beforeLines="60" w:before="144"/>
            </w:pPr>
            <w:r w:rsidRPr="00BE625D">
              <w:t>Reported improvement from 2022–23</w:t>
            </w:r>
          </w:p>
        </w:tc>
        <w:tc>
          <w:tcPr>
            <w:tcW w:w="1474" w:type="dxa"/>
            <w:tcBorders>
              <w:top w:val="single" w:sz="4" w:space="0" w:color="5F636A"/>
              <w:bottom w:val="single" w:sz="12" w:space="0" w:color="0D0D0D" w:themeColor="text1" w:themeTint="F2"/>
            </w:tcBorders>
          </w:tcPr>
          <w:p w14:paraId="7E029652" w14:textId="77777777" w:rsidR="00960207" w:rsidRPr="00BE625D" w:rsidRDefault="00960207" w:rsidP="00F86760">
            <w:pPr>
              <w:spacing w:beforeLines="60" w:before="144"/>
            </w:pPr>
            <w:r w:rsidRPr="00BE625D">
              <w:t>Reported improvement from 2023–24</w:t>
            </w:r>
          </w:p>
        </w:tc>
        <w:tc>
          <w:tcPr>
            <w:tcW w:w="1474" w:type="dxa"/>
            <w:tcBorders>
              <w:top w:val="single" w:sz="4" w:space="0" w:color="5F636A"/>
              <w:bottom w:val="single" w:sz="12" w:space="0" w:color="0D0D0D" w:themeColor="text1" w:themeTint="F2"/>
            </w:tcBorders>
          </w:tcPr>
          <w:p w14:paraId="444DB6C2" w14:textId="77777777" w:rsidR="00960207" w:rsidRPr="00BE625D" w:rsidRDefault="00960207" w:rsidP="00F86760">
            <w:pPr>
              <w:spacing w:beforeLines="60" w:before="144"/>
            </w:pPr>
            <w:r w:rsidRPr="00BE625D">
              <w:t>Reported improvement from 2024–25</w:t>
            </w:r>
          </w:p>
        </w:tc>
        <w:tc>
          <w:tcPr>
            <w:tcW w:w="1474" w:type="dxa"/>
            <w:tcBorders>
              <w:top w:val="single" w:sz="4" w:space="0" w:color="5F636A"/>
              <w:bottom w:val="single" w:sz="12" w:space="0" w:color="0D0D0D" w:themeColor="text1" w:themeTint="F2"/>
            </w:tcBorders>
          </w:tcPr>
          <w:p w14:paraId="74690AC3" w14:textId="77777777" w:rsidR="00960207" w:rsidRDefault="00960207" w:rsidP="00F86760">
            <w:pPr>
              <w:spacing w:beforeLines="60" w:before="144"/>
            </w:pPr>
            <w:r w:rsidRPr="00BE625D">
              <w:t>Reported improvement from 2025–26</w:t>
            </w:r>
          </w:p>
        </w:tc>
      </w:tr>
    </w:tbl>
    <w:p w14:paraId="2600EED1" w14:textId="77777777" w:rsidR="00EA458C" w:rsidRPr="00F86760" w:rsidRDefault="00EA458C" w:rsidP="00F86760">
      <w:pPr>
        <w:pStyle w:val="Heading3"/>
        <w:rPr>
          <w:b w:val="0"/>
        </w:rPr>
      </w:pPr>
      <w:bookmarkStart w:id="68" w:name="_Toc112642128"/>
      <w:r w:rsidRPr="00F86760">
        <w:rPr>
          <w:b w:val="0"/>
        </w:rPr>
        <w:t>PM 2.3: The NDIS Commission Grants Program creates resources and opportunities that enhance providers’, workers’ and auditors’ registration and training capability</w:t>
      </w:r>
      <w:bookmarkEnd w:id="68"/>
    </w:p>
    <w:tbl>
      <w:tblPr>
        <w:tblW w:w="8901" w:type="dxa"/>
        <w:tblLayout w:type="fixed"/>
        <w:tblCellMar>
          <w:left w:w="0" w:type="dxa"/>
          <w:right w:w="0" w:type="dxa"/>
        </w:tblCellMar>
        <w:tblLook w:val="01E0" w:firstRow="1" w:lastRow="1" w:firstColumn="1" w:lastColumn="1" w:noHBand="0" w:noVBand="0"/>
      </w:tblPr>
      <w:tblGrid>
        <w:gridCol w:w="3005"/>
        <w:gridCol w:w="1474"/>
        <w:gridCol w:w="1474"/>
        <w:gridCol w:w="1474"/>
        <w:gridCol w:w="1474"/>
      </w:tblGrid>
      <w:tr w:rsidR="00F86760" w14:paraId="048B3F10" w14:textId="77777777" w:rsidTr="00875A29">
        <w:trPr>
          <w:trHeight w:val="546"/>
        </w:trPr>
        <w:tc>
          <w:tcPr>
            <w:tcW w:w="3005" w:type="dxa"/>
            <w:tcBorders>
              <w:top w:val="single" w:sz="18" w:space="0" w:color="602167"/>
              <w:bottom w:val="single" w:sz="6" w:space="0" w:color="5F636A"/>
            </w:tcBorders>
            <w:shd w:val="clear" w:color="auto" w:fill="EFEFF1"/>
          </w:tcPr>
          <w:p w14:paraId="0CD6987A" w14:textId="77777777" w:rsidR="00F86760" w:rsidRPr="005A52E5" w:rsidRDefault="00F86760" w:rsidP="00875A29">
            <w:pPr>
              <w:pStyle w:val="TableParagraph"/>
              <w:spacing w:before="136"/>
              <w:ind w:left="142"/>
              <w:rPr>
                <w:rFonts w:asciiTheme="minorHAnsi" w:hAnsiTheme="minorHAnsi"/>
                <w:sz w:val="24"/>
              </w:rPr>
            </w:pPr>
            <w:r w:rsidRPr="005A52E5">
              <w:rPr>
                <w:rFonts w:asciiTheme="minorHAnsi" w:hAnsiTheme="minorHAnsi"/>
                <w:color w:val="602167"/>
                <w:sz w:val="24"/>
              </w:rPr>
              <w:t>Targets for 2022–23</w:t>
            </w:r>
          </w:p>
        </w:tc>
        <w:tc>
          <w:tcPr>
            <w:tcW w:w="1474" w:type="dxa"/>
            <w:tcBorders>
              <w:top w:val="single" w:sz="18" w:space="0" w:color="602167"/>
              <w:bottom w:val="single" w:sz="6" w:space="0" w:color="5F636A"/>
            </w:tcBorders>
            <w:shd w:val="clear" w:color="auto" w:fill="EFEFF1"/>
          </w:tcPr>
          <w:p w14:paraId="1FA43DEA" w14:textId="77777777" w:rsidR="00F86760" w:rsidRPr="005A52E5" w:rsidRDefault="00F86760" w:rsidP="00875A29">
            <w:pPr>
              <w:pStyle w:val="TableParagraph"/>
              <w:spacing w:before="136"/>
              <w:ind w:left="0"/>
              <w:rPr>
                <w:rFonts w:asciiTheme="minorHAnsi" w:hAnsiTheme="minorHAnsi"/>
                <w:sz w:val="24"/>
              </w:rPr>
            </w:pPr>
            <w:r w:rsidRPr="005A52E5">
              <w:rPr>
                <w:rFonts w:asciiTheme="minorHAnsi" w:hAnsiTheme="minorHAnsi"/>
                <w:color w:val="602167"/>
                <w:sz w:val="24"/>
              </w:rPr>
              <w:t>2023–24</w:t>
            </w:r>
          </w:p>
        </w:tc>
        <w:tc>
          <w:tcPr>
            <w:tcW w:w="1474" w:type="dxa"/>
            <w:tcBorders>
              <w:top w:val="single" w:sz="18" w:space="0" w:color="602167"/>
              <w:bottom w:val="single" w:sz="6" w:space="0" w:color="5F636A"/>
            </w:tcBorders>
            <w:shd w:val="clear" w:color="auto" w:fill="EFEFF1"/>
          </w:tcPr>
          <w:p w14:paraId="7AE7F952" w14:textId="77777777" w:rsidR="00F86760" w:rsidRPr="005A52E5" w:rsidRDefault="00F86760" w:rsidP="00875A29">
            <w:pPr>
              <w:pStyle w:val="TableParagraph"/>
              <w:spacing w:before="136"/>
              <w:ind w:left="93"/>
              <w:rPr>
                <w:rFonts w:asciiTheme="minorHAnsi" w:hAnsiTheme="minorHAnsi"/>
                <w:sz w:val="24"/>
              </w:rPr>
            </w:pPr>
            <w:r w:rsidRPr="005A52E5">
              <w:rPr>
                <w:rFonts w:asciiTheme="minorHAnsi" w:hAnsiTheme="minorHAnsi"/>
                <w:color w:val="602167"/>
                <w:sz w:val="24"/>
              </w:rPr>
              <w:t>2024–25</w:t>
            </w:r>
          </w:p>
        </w:tc>
        <w:tc>
          <w:tcPr>
            <w:tcW w:w="1474" w:type="dxa"/>
            <w:tcBorders>
              <w:top w:val="single" w:sz="18" w:space="0" w:color="602167"/>
              <w:bottom w:val="single" w:sz="6" w:space="0" w:color="5F636A"/>
            </w:tcBorders>
            <w:shd w:val="clear" w:color="auto" w:fill="EFEFF1"/>
          </w:tcPr>
          <w:p w14:paraId="3054AB49" w14:textId="77777777" w:rsidR="00F86760" w:rsidRPr="005A52E5" w:rsidRDefault="00F86760" w:rsidP="00875A29">
            <w:pPr>
              <w:pStyle w:val="TableParagraph"/>
              <w:spacing w:before="136"/>
              <w:ind w:left="98"/>
              <w:rPr>
                <w:rFonts w:asciiTheme="minorHAnsi" w:hAnsiTheme="minorHAnsi"/>
                <w:sz w:val="24"/>
              </w:rPr>
            </w:pPr>
            <w:r w:rsidRPr="005A52E5">
              <w:rPr>
                <w:rFonts w:asciiTheme="minorHAnsi" w:hAnsiTheme="minorHAnsi"/>
                <w:color w:val="602167"/>
                <w:sz w:val="24"/>
              </w:rPr>
              <w:t>2025–26</w:t>
            </w:r>
          </w:p>
        </w:tc>
        <w:tc>
          <w:tcPr>
            <w:tcW w:w="1474" w:type="dxa"/>
            <w:tcBorders>
              <w:top w:val="single" w:sz="18" w:space="0" w:color="602167"/>
              <w:bottom w:val="single" w:sz="6" w:space="0" w:color="5F636A"/>
            </w:tcBorders>
            <w:shd w:val="clear" w:color="auto" w:fill="EFEFF1"/>
          </w:tcPr>
          <w:p w14:paraId="3B3BE9F5" w14:textId="77777777" w:rsidR="00F86760" w:rsidRPr="005A52E5" w:rsidRDefault="00F86760" w:rsidP="00875A29">
            <w:pPr>
              <w:pStyle w:val="TableParagraph"/>
              <w:spacing w:before="136"/>
              <w:ind w:left="92"/>
              <w:rPr>
                <w:rFonts w:asciiTheme="minorHAnsi" w:hAnsiTheme="minorHAnsi"/>
                <w:sz w:val="24"/>
              </w:rPr>
            </w:pPr>
            <w:r w:rsidRPr="005A52E5">
              <w:rPr>
                <w:rFonts w:asciiTheme="minorHAnsi" w:hAnsiTheme="minorHAnsi"/>
                <w:color w:val="602167"/>
                <w:sz w:val="24"/>
              </w:rPr>
              <w:t>2026–27</w:t>
            </w:r>
          </w:p>
        </w:tc>
      </w:tr>
      <w:tr w:rsidR="00F86760" w14:paraId="755B1D69" w14:textId="77777777" w:rsidTr="00875A29">
        <w:trPr>
          <w:trHeight w:val="1178"/>
        </w:trPr>
        <w:tc>
          <w:tcPr>
            <w:tcW w:w="3005" w:type="dxa"/>
            <w:tcBorders>
              <w:top w:val="single" w:sz="4" w:space="0" w:color="5F636A"/>
              <w:bottom w:val="single" w:sz="12" w:space="0" w:color="0D0D0D" w:themeColor="text1" w:themeTint="F2"/>
            </w:tcBorders>
          </w:tcPr>
          <w:p w14:paraId="6CFF013B" w14:textId="77777777" w:rsidR="00F86760" w:rsidRPr="005A52E5" w:rsidRDefault="00F86760" w:rsidP="00F86760">
            <w:pPr>
              <w:pStyle w:val="TableParagraph"/>
              <w:spacing w:before="120" w:after="120"/>
              <w:ind w:left="142"/>
              <w:rPr>
                <w:rFonts w:asciiTheme="minorHAnsi" w:hAnsiTheme="minorHAnsi"/>
              </w:rPr>
            </w:pPr>
            <w:r w:rsidRPr="00F86760">
              <w:rPr>
                <w:rFonts w:asciiTheme="minorHAnsi" w:hAnsiTheme="minorHAnsi"/>
              </w:rPr>
              <w:t xml:space="preserve">Mix of statement of FY grant spend and qualitative </w:t>
            </w:r>
            <w:r>
              <w:rPr>
                <w:rFonts w:asciiTheme="minorHAnsi" w:hAnsiTheme="minorHAnsi"/>
              </w:rPr>
              <w:br/>
            </w:r>
            <w:r w:rsidRPr="00F86760">
              <w:rPr>
                <w:rFonts w:asciiTheme="minorHAnsi" w:hAnsiTheme="minorHAnsi"/>
              </w:rPr>
              <w:t>reporting</w:t>
            </w:r>
          </w:p>
        </w:tc>
        <w:tc>
          <w:tcPr>
            <w:tcW w:w="1474" w:type="dxa"/>
            <w:tcBorders>
              <w:top w:val="single" w:sz="4" w:space="0" w:color="5F636A"/>
              <w:bottom w:val="single" w:sz="12" w:space="0" w:color="0D0D0D" w:themeColor="text1" w:themeTint="F2"/>
            </w:tcBorders>
          </w:tcPr>
          <w:p w14:paraId="0DDF2C06" w14:textId="77777777" w:rsidR="00F86760" w:rsidRPr="000D724E" w:rsidRDefault="00F86760" w:rsidP="00F86760">
            <w:pPr>
              <w:spacing w:before="120" w:after="120" w:line="240" w:lineRule="auto"/>
            </w:pPr>
            <w:r w:rsidRPr="000D724E">
              <w:t>As previous year, but building on impact</w:t>
            </w:r>
          </w:p>
        </w:tc>
        <w:tc>
          <w:tcPr>
            <w:tcW w:w="1474" w:type="dxa"/>
            <w:tcBorders>
              <w:top w:val="single" w:sz="4" w:space="0" w:color="5F636A"/>
              <w:bottom w:val="single" w:sz="12" w:space="0" w:color="0D0D0D" w:themeColor="text1" w:themeTint="F2"/>
            </w:tcBorders>
          </w:tcPr>
          <w:p w14:paraId="45A891C2" w14:textId="77777777" w:rsidR="00F86760" w:rsidRPr="000D724E" w:rsidRDefault="00F86760" w:rsidP="00F86760">
            <w:pPr>
              <w:spacing w:before="120" w:after="120" w:line="240" w:lineRule="auto"/>
            </w:pPr>
            <w:r w:rsidRPr="000D724E">
              <w:t>Building on impact of previous year</w:t>
            </w:r>
          </w:p>
        </w:tc>
        <w:tc>
          <w:tcPr>
            <w:tcW w:w="1474" w:type="dxa"/>
            <w:tcBorders>
              <w:top w:val="single" w:sz="4" w:space="0" w:color="5F636A"/>
              <w:bottom w:val="single" w:sz="12" w:space="0" w:color="0D0D0D" w:themeColor="text1" w:themeTint="F2"/>
            </w:tcBorders>
          </w:tcPr>
          <w:p w14:paraId="6EECA66D" w14:textId="77777777" w:rsidR="00F86760" w:rsidRPr="000D724E" w:rsidRDefault="00F86760" w:rsidP="00F86760">
            <w:pPr>
              <w:spacing w:before="120" w:after="120" w:line="240" w:lineRule="auto"/>
            </w:pPr>
            <w:r w:rsidRPr="000D724E">
              <w:t>Building on impact of previous year</w:t>
            </w:r>
          </w:p>
        </w:tc>
        <w:tc>
          <w:tcPr>
            <w:tcW w:w="1474" w:type="dxa"/>
            <w:tcBorders>
              <w:top w:val="single" w:sz="4" w:space="0" w:color="5F636A"/>
              <w:bottom w:val="single" w:sz="12" w:space="0" w:color="0D0D0D" w:themeColor="text1" w:themeTint="F2"/>
            </w:tcBorders>
          </w:tcPr>
          <w:p w14:paraId="07B99378" w14:textId="77777777" w:rsidR="00F86760" w:rsidRDefault="00F86760" w:rsidP="00F86760">
            <w:pPr>
              <w:spacing w:before="120" w:after="120" w:line="240" w:lineRule="auto"/>
            </w:pPr>
            <w:r w:rsidRPr="000D724E">
              <w:t>Building on impact of previous year</w:t>
            </w:r>
          </w:p>
        </w:tc>
      </w:tr>
    </w:tbl>
    <w:p w14:paraId="43843589" w14:textId="77777777" w:rsidR="00F86760" w:rsidRPr="00F86760" w:rsidRDefault="00F86760" w:rsidP="00F86760">
      <w:pPr>
        <w:pStyle w:val="Heading2"/>
        <w:rPr>
          <w:color w:val="275D3A"/>
        </w:rPr>
      </w:pPr>
      <w:bookmarkStart w:id="69" w:name="_Toc112642129"/>
      <w:r w:rsidRPr="00F86760">
        <w:rPr>
          <w:color w:val="275D3A"/>
        </w:rPr>
        <w:lastRenderedPageBreak/>
        <w:t>Impact 3 – Thriving, diverse markets</w:t>
      </w:r>
      <w:bookmarkEnd w:id="69"/>
    </w:p>
    <w:p w14:paraId="4206B44B" w14:textId="77777777" w:rsidR="00F86760" w:rsidRDefault="00F86760" w:rsidP="00F86760">
      <w:pPr>
        <w:suppressAutoHyphens w:val="0"/>
        <w:spacing w:before="120" w:after="120" w:line="240" w:lineRule="auto"/>
      </w:pPr>
      <w:r>
        <w:t>The NDIS Commission will enable consumer independence for NDIS participants by using regulatory frameworks to promote, and remove barriers to, quality and safety.</w:t>
      </w:r>
    </w:p>
    <w:p w14:paraId="163F6DD3" w14:textId="77777777" w:rsidR="00EA458C" w:rsidRPr="00F86760" w:rsidRDefault="00EA458C" w:rsidP="00F86760">
      <w:pPr>
        <w:pStyle w:val="Heading3"/>
        <w:rPr>
          <w:b w:val="0"/>
          <w:color w:val="275D3A"/>
        </w:rPr>
      </w:pPr>
      <w:bookmarkStart w:id="70" w:name="_Toc112642130"/>
      <w:r w:rsidRPr="00F86760">
        <w:rPr>
          <w:b w:val="0"/>
          <w:color w:val="275D3A"/>
        </w:rPr>
        <w:t>PM 3.1: The NDIS Commission influences the market by supporting providers to meet obligations and develop supports and services, through proportionately managed risk that retains participant safeguarding while minimising regulatory burden</w:t>
      </w:r>
      <w:bookmarkEnd w:id="70"/>
    </w:p>
    <w:tbl>
      <w:tblPr>
        <w:tblW w:w="8901" w:type="dxa"/>
        <w:tblLayout w:type="fixed"/>
        <w:tblCellMar>
          <w:left w:w="0" w:type="dxa"/>
          <w:right w:w="0" w:type="dxa"/>
        </w:tblCellMar>
        <w:tblLook w:val="01E0" w:firstRow="1" w:lastRow="1" w:firstColumn="1" w:lastColumn="1" w:noHBand="0" w:noVBand="0"/>
      </w:tblPr>
      <w:tblGrid>
        <w:gridCol w:w="3005"/>
        <w:gridCol w:w="1474"/>
        <w:gridCol w:w="1474"/>
        <w:gridCol w:w="1474"/>
        <w:gridCol w:w="1474"/>
      </w:tblGrid>
      <w:tr w:rsidR="00914A88" w14:paraId="4D1D120E" w14:textId="77777777" w:rsidTr="00875A29">
        <w:trPr>
          <w:cantSplit/>
          <w:trHeight w:val="546"/>
          <w:tblHeader/>
        </w:trPr>
        <w:tc>
          <w:tcPr>
            <w:tcW w:w="3005" w:type="dxa"/>
            <w:tcBorders>
              <w:top w:val="single" w:sz="18" w:space="0" w:color="246042"/>
              <w:bottom w:val="single" w:sz="6" w:space="0" w:color="5F636A"/>
            </w:tcBorders>
            <w:shd w:val="clear" w:color="auto" w:fill="EDF0F0"/>
          </w:tcPr>
          <w:p w14:paraId="1A65038F" w14:textId="77777777" w:rsidR="00914A88" w:rsidRPr="0028213F" w:rsidRDefault="00914A88" w:rsidP="00875A29">
            <w:pPr>
              <w:pStyle w:val="TableParagraph"/>
              <w:spacing w:before="136"/>
              <w:ind w:left="142"/>
              <w:rPr>
                <w:rFonts w:asciiTheme="minorHAnsi" w:hAnsiTheme="minorHAnsi"/>
                <w:sz w:val="24"/>
                <w:szCs w:val="24"/>
              </w:rPr>
            </w:pPr>
            <w:r w:rsidRPr="0028213F">
              <w:rPr>
                <w:rFonts w:asciiTheme="minorHAnsi" w:hAnsiTheme="minorHAnsi"/>
                <w:color w:val="246042"/>
                <w:sz w:val="24"/>
                <w:szCs w:val="24"/>
              </w:rPr>
              <w:t>Targets for 2022–23</w:t>
            </w:r>
          </w:p>
        </w:tc>
        <w:tc>
          <w:tcPr>
            <w:tcW w:w="1474" w:type="dxa"/>
            <w:tcBorders>
              <w:top w:val="single" w:sz="18" w:space="0" w:color="246042"/>
              <w:bottom w:val="single" w:sz="6" w:space="0" w:color="5F636A"/>
            </w:tcBorders>
            <w:shd w:val="clear" w:color="auto" w:fill="EDF0F0"/>
          </w:tcPr>
          <w:p w14:paraId="30463880" w14:textId="77777777" w:rsidR="00914A88" w:rsidRPr="0028213F" w:rsidRDefault="00914A88" w:rsidP="00875A29">
            <w:pPr>
              <w:pStyle w:val="TableParagraph"/>
              <w:spacing w:before="136"/>
              <w:ind w:left="142"/>
              <w:rPr>
                <w:rFonts w:asciiTheme="minorHAnsi" w:hAnsiTheme="minorHAnsi"/>
                <w:sz w:val="24"/>
                <w:szCs w:val="24"/>
              </w:rPr>
            </w:pPr>
            <w:r w:rsidRPr="0028213F">
              <w:rPr>
                <w:rFonts w:asciiTheme="minorHAnsi" w:hAnsiTheme="minorHAnsi"/>
                <w:color w:val="246042"/>
                <w:sz w:val="24"/>
                <w:szCs w:val="24"/>
              </w:rPr>
              <w:t>2023–24</w:t>
            </w:r>
          </w:p>
        </w:tc>
        <w:tc>
          <w:tcPr>
            <w:tcW w:w="1474" w:type="dxa"/>
            <w:tcBorders>
              <w:top w:val="single" w:sz="18" w:space="0" w:color="246042"/>
              <w:bottom w:val="single" w:sz="6" w:space="0" w:color="5F636A"/>
            </w:tcBorders>
            <w:shd w:val="clear" w:color="auto" w:fill="EDF0F0"/>
          </w:tcPr>
          <w:p w14:paraId="10F25F25" w14:textId="77777777" w:rsidR="00914A88" w:rsidRPr="0028213F" w:rsidRDefault="00914A88" w:rsidP="00875A29">
            <w:pPr>
              <w:pStyle w:val="TableParagraph"/>
              <w:spacing w:before="136"/>
              <w:ind w:left="142"/>
              <w:rPr>
                <w:rFonts w:asciiTheme="minorHAnsi" w:hAnsiTheme="minorHAnsi"/>
                <w:sz w:val="24"/>
                <w:szCs w:val="24"/>
              </w:rPr>
            </w:pPr>
            <w:r w:rsidRPr="0028213F">
              <w:rPr>
                <w:rFonts w:asciiTheme="minorHAnsi" w:hAnsiTheme="minorHAnsi"/>
                <w:color w:val="246042"/>
                <w:sz w:val="24"/>
                <w:szCs w:val="24"/>
              </w:rPr>
              <w:t>2024–25</w:t>
            </w:r>
          </w:p>
        </w:tc>
        <w:tc>
          <w:tcPr>
            <w:tcW w:w="1474" w:type="dxa"/>
            <w:tcBorders>
              <w:top w:val="single" w:sz="18" w:space="0" w:color="246042"/>
              <w:bottom w:val="single" w:sz="6" w:space="0" w:color="5F636A"/>
            </w:tcBorders>
            <w:shd w:val="clear" w:color="auto" w:fill="EDF0F0"/>
          </w:tcPr>
          <w:p w14:paraId="3D38BD59" w14:textId="77777777" w:rsidR="00914A88" w:rsidRPr="0028213F" w:rsidRDefault="00914A88" w:rsidP="00875A29">
            <w:pPr>
              <w:pStyle w:val="TableParagraph"/>
              <w:spacing w:before="136"/>
              <w:ind w:left="142"/>
              <w:rPr>
                <w:rFonts w:asciiTheme="minorHAnsi" w:hAnsiTheme="minorHAnsi"/>
                <w:sz w:val="24"/>
                <w:szCs w:val="24"/>
              </w:rPr>
            </w:pPr>
            <w:r w:rsidRPr="0028213F">
              <w:rPr>
                <w:rFonts w:asciiTheme="minorHAnsi" w:hAnsiTheme="minorHAnsi"/>
                <w:color w:val="246042"/>
                <w:sz w:val="24"/>
                <w:szCs w:val="24"/>
              </w:rPr>
              <w:t>2025–26</w:t>
            </w:r>
          </w:p>
        </w:tc>
        <w:tc>
          <w:tcPr>
            <w:tcW w:w="1474" w:type="dxa"/>
            <w:tcBorders>
              <w:top w:val="single" w:sz="18" w:space="0" w:color="246042"/>
              <w:bottom w:val="single" w:sz="6" w:space="0" w:color="5F636A"/>
            </w:tcBorders>
            <w:shd w:val="clear" w:color="auto" w:fill="EDF0F0"/>
          </w:tcPr>
          <w:p w14:paraId="44C4CDEF" w14:textId="77777777" w:rsidR="00914A88" w:rsidRPr="0028213F" w:rsidRDefault="00914A88" w:rsidP="00875A29">
            <w:pPr>
              <w:pStyle w:val="TableParagraph"/>
              <w:spacing w:before="136"/>
              <w:ind w:left="142"/>
              <w:rPr>
                <w:rFonts w:asciiTheme="minorHAnsi" w:hAnsiTheme="minorHAnsi"/>
                <w:sz w:val="24"/>
                <w:szCs w:val="24"/>
              </w:rPr>
            </w:pPr>
            <w:r w:rsidRPr="0028213F">
              <w:rPr>
                <w:rFonts w:asciiTheme="minorHAnsi" w:hAnsiTheme="minorHAnsi"/>
                <w:color w:val="246042"/>
                <w:sz w:val="24"/>
                <w:szCs w:val="24"/>
              </w:rPr>
              <w:t>2026–27</w:t>
            </w:r>
          </w:p>
        </w:tc>
      </w:tr>
      <w:tr w:rsidR="00914A88" w14:paraId="0E179C5B" w14:textId="77777777" w:rsidTr="00875A29">
        <w:trPr>
          <w:cantSplit/>
          <w:trHeight w:val="2353"/>
        </w:trPr>
        <w:tc>
          <w:tcPr>
            <w:tcW w:w="3005" w:type="dxa"/>
            <w:tcBorders>
              <w:top w:val="single" w:sz="4" w:space="0" w:color="5F636A"/>
              <w:bottom w:val="single" w:sz="12" w:space="0" w:color="808080" w:themeColor="background1" w:themeShade="80"/>
            </w:tcBorders>
          </w:tcPr>
          <w:p w14:paraId="6F4A80D2" w14:textId="77777777" w:rsidR="00914A88" w:rsidRDefault="00914A88" w:rsidP="00914A88">
            <w:pPr>
              <w:pStyle w:val="TableParagraph"/>
              <w:spacing w:before="120"/>
              <w:ind w:left="142" w:right="522"/>
              <w:rPr>
                <w:rFonts w:asciiTheme="minorHAnsi" w:hAnsiTheme="minorHAnsi"/>
              </w:rPr>
            </w:pPr>
            <w:r w:rsidRPr="00914A88">
              <w:rPr>
                <w:rFonts w:asciiTheme="minorHAnsi" w:hAnsiTheme="minorHAnsi"/>
              </w:rPr>
              <w:t>Registration and complaint/reportable incidents triage data that indicates lessened regulatory burden including in identified areas of risk</w:t>
            </w:r>
          </w:p>
          <w:p w14:paraId="183CDB0C" w14:textId="77777777" w:rsidR="00914A88" w:rsidRPr="00914A88" w:rsidRDefault="00914A88" w:rsidP="00914A88">
            <w:pPr>
              <w:pStyle w:val="Bullet1"/>
              <w:spacing w:before="0" w:after="0" w:line="240" w:lineRule="auto"/>
            </w:pPr>
            <w:r w:rsidRPr="00914A88">
              <w:t>registration mid-term audits</w:t>
            </w:r>
          </w:p>
          <w:p w14:paraId="71AC1E6B" w14:textId="77777777" w:rsidR="00914A88" w:rsidRPr="00914A88" w:rsidRDefault="00914A88" w:rsidP="00914A88">
            <w:pPr>
              <w:pStyle w:val="Bullet1"/>
              <w:spacing w:before="0" w:after="0" w:line="240" w:lineRule="auto"/>
            </w:pPr>
            <w:r w:rsidRPr="00914A88">
              <w:t>resolution rates for complaints</w:t>
            </w:r>
          </w:p>
          <w:p w14:paraId="7317DE83" w14:textId="77777777" w:rsidR="00914A88" w:rsidRPr="00914A88" w:rsidRDefault="00914A88" w:rsidP="00914A88">
            <w:pPr>
              <w:pStyle w:val="Bullet1"/>
              <w:spacing w:before="0" w:after="0" w:line="240" w:lineRule="auto"/>
            </w:pPr>
            <w:r w:rsidRPr="00914A88">
              <w:t>proactive monitoring</w:t>
            </w:r>
          </w:p>
          <w:p w14:paraId="75C03A4D" w14:textId="77777777" w:rsidR="00914A88" w:rsidRPr="00E47366" w:rsidRDefault="00914A88" w:rsidP="00914A88">
            <w:pPr>
              <w:pStyle w:val="Bullet1"/>
              <w:spacing w:before="0" w:after="120" w:line="240" w:lineRule="auto"/>
            </w:pPr>
            <w:r>
              <w:t>c</w:t>
            </w:r>
            <w:r w:rsidRPr="00914A88">
              <w:t>ompliance education campaigns</w:t>
            </w:r>
          </w:p>
        </w:tc>
        <w:tc>
          <w:tcPr>
            <w:tcW w:w="1474" w:type="dxa"/>
            <w:tcBorders>
              <w:top w:val="single" w:sz="4" w:space="0" w:color="5F636A"/>
              <w:bottom w:val="single" w:sz="12" w:space="0" w:color="808080" w:themeColor="background1" w:themeShade="80"/>
            </w:tcBorders>
          </w:tcPr>
          <w:p w14:paraId="6A899FC5" w14:textId="77777777" w:rsidR="00914A88" w:rsidRPr="008701B1" w:rsidRDefault="00914A88" w:rsidP="00914A88">
            <w:r w:rsidRPr="008701B1">
              <w:t>Reported improvement from 2022–23</w:t>
            </w:r>
          </w:p>
        </w:tc>
        <w:tc>
          <w:tcPr>
            <w:tcW w:w="1474" w:type="dxa"/>
            <w:tcBorders>
              <w:top w:val="single" w:sz="4" w:space="0" w:color="5F636A"/>
              <w:bottom w:val="single" w:sz="12" w:space="0" w:color="808080" w:themeColor="background1" w:themeShade="80"/>
            </w:tcBorders>
          </w:tcPr>
          <w:p w14:paraId="3CC335E3" w14:textId="77777777" w:rsidR="00914A88" w:rsidRPr="008701B1" w:rsidRDefault="00914A88" w:rsidP="00914A88">
            <w:r w:rsidRPr="008701B1">
              <w:t>Reported improvement from 2023–24</w:t>
            </w:r>
          </w:p>
        </w:tc>
        <w:tc>
          <w:tcPr>
            <w:tcW w:w="1474" w:type="dxa"/>
            <w:tcBorders>
              <w:top w:val="single" w:sz="4" w:space="0" w:color="5F636A"/>
              <w:bottom w:val="single" w:sz="12" w:space="0" w:color="808080" w:themeColor="background1" w:themeShade="80"/>
            </w:tcBorders>
          </w:tcPr>
          <w:p w14:paraId="27F71FD5" w14:textId="77777777" w:rsidR="00914A88" w:rsidRPr="008701B1" w:rsidRDefault="00914A88" w:rsidP="00914A88">
            <w:r w:rsidRPr="008701B1">
              <w:t>Reported improvement from 2024–25</w:t>
            </w:r>
          </w:p>
        </w:tc>
        <w:tc>
          <w:tcPr>
            <w:tcW w:w="1474" w:type="dxa"/>
            <w:tcBorders>
              <w:top w:val="single" w:sz="4" w:space="0" w:color="5F636A"/>
              <w:bottom w:val="single" w:sz="12" w:space="0" w:color="808080" w:themeColor="background1" w:themeShade="80"/>
            </w:tcBorders>
          </w:tcPr>
          <w:p w14:paraId="4E8CE41A" w14:textId="77777777" w:rsidR="00914A88" w:rsidRDefault="00914A88" w:rsidP="00914A88">
            <w:r w:rsidRPr="008701B1">
              <w:t>Reported improvement from 2025–26</w:t>
            </w:r>
          </w:p>
        </w:tc>
      </w:tr>
    </w:tbl>
    <w:p w14:paraId="3AD5F98B" w14:textId="77777777" w:rsidR="00914A88" w:rsidRDefault="00EA458C" w:rsidP="00914A88">
      <w:pPr>
        <w:pStyle w:val="Heading3"/>
        <w:rPr>
          <w:b w:val="0"/>
          <w:color w:val="275D3A"/>
        </w:rPr>
      </w:pPr>
      <w:bookmarkStart w:id="71" w:name="_Toc112642131"/>
      <w:r w:rsidRPr="00914A88">
        <w:rPr>
          <w:b w:val="0"/>
          <w:color w:val="275D3A"/>
        </w:rPr>
        <w:t>PM 3.2: Quality and safety risks are reduced thorough the use of regulatory levers to exit unscrupulous and ineffective operators and workers from the market</w:t>
      </w:r>
      <w:bookmarkEnd w:id="71"/>
    </w:p>
    <w:tbl>
      <w:tblPr>
        <w:tblW w:w="8901" w:type="dxa"/>
        <w:tblLayout w:type="fixed"/>
        <w:tblCellMar>
          <w:left w:w="0" w:type="dxa"/>
          <w:right w:w="0" w:type="dxa"/>
        </w:tblCellMar>
        <w:tblLook w:val="01E0" w:firstRow="1" w:lastRow="1" w:firstColumn="1" w:lastColumn="1" w:noHBand="0" w:noVBand="0"/>
      </w:tblPr>
      <w:tblGrid>
        <w:gridCol w:w="3005"/>
        <w:gridCol w:w="1474"/>
        <w:gridCol w:w="1474"/>
        <w:gridCol w:w="1474"/>
        <w:gridCol w:w="1474"/>
      </w:tblGrid>
      <w:tr w:rsidR="00914A88" w14:paraId="183B8518" w14:textId="77777777" w:rsidTr="00875A29">
        <w:trPr>
          <w:cantSplit/>
          <w:trHeight w:val="546"/>
          <w:tblHeader/>
        </w:trPr>
        <w:tc>
          <w:tcPr>
            <w:tcW w:w="3005" w:type="dxa"/>
            <w:tcBorders>
              <w:top w:val="single" w:sz="18" w:space="0" w:color="246042"/>
              <w:bottom w:val="single" w:sz="6" w:space="0" w:color="5F636A"/>
            </w:tcBorders>
            <w:shd w:val="clear" w:color="auto" w:fill="EDF0F0"/>
          </w:tcPr>
          <w:p w14:paraId="3DD322F6" w14:textId="77777777" w:rsidR="00914A88" w:rsidRPr="0028213F" w:rsidRDefault="00914A88" w:rsidP="00875A29">
            <w:pPr>
              <w:pStyle w:val="TableParagraph"/>
              <w:spacing w:before="136"/>
              <w:ind w:left="142"/>
              <w:rPr>
                <w:rFonts w:asciiTheme="minorHAnsi" w:hAnsiTheme="minorHAnsi"/>
                <w:sz w:val="24"/>
                <w:szCs w:val="24"/>
              </w:rPr>
            </w:pPr>
            <w:r w:rsidRPr="0028213F">
              <w:rPr>
                <w:rFonts w:asciiTheme="minorHAnsi" w:hAnsiTheme="minorHAnsi"/>
                <w:color w:val="246042"/>
                <w:sz w:val="24"/>
                <w:szCs w:val="24"/>
              </w:rPr>
              <w:t>Targets for 2022–23</w:t>
            </w:r>
          </w:p>
        </w:tc>
        <w:tc>
          <w:tcPr>
            <w:tcW w:w="1474" w:type="dxa"/>
            <w:tcBorders>
              <w:top w:val="single" w:sz="18" w:space="0" w:color="246042"/>
              <w:bottom w:val="single" w:sz="6" w:space="0" w:color="5F636A"/>
            </w:tcBorders>
            <w:shd w:val="clear" w:color="auto" w:fill="EDF0F0"/>
          </w:tcPr>
          <w:p w14:paraId="67F10C8F" w14:textId="77777777" w:rsidR="00914A88" w:rsidRPr="0028213F" w:rsidRDefault="00914A88" w:rsidP="00875A29">
            <w:pPr>
              <w:pStyle w:val="TableParagraph"/>
              <w:spacing w:before="136"/>
              <w:ind w:left="0"/>
              <w:rPr>
                <w:rFonts w:asciiTheme="minorHAnsi" w:hAnsiTheme="minorHAnsi"/>
                <w:sz w:val="24"/>
                <w:szCs w:val="24"/>
              </w:rPr>
            </w:pPr>
            <w:r w:rsidRPr="0028213F">
              <w:rPr>
                <w:rFonts w:asciiTheme="minorHAnsi" w:hAnsiTheme="minorHAnsi"/>
                <w:color w:val="246042"/>
                <w:sz w:val="24"/>
                <w:szCs w:val="24"/>
              </w:rPr>
              <w:t>2023–24</w:t>
            </w:r>
          </w:p>
        </w:tc>
        <w:tc>
          <w:tcPr>
            <w:tcW w:w="1474" w:type="dxa"/>
            <w:tcBorders>
              <w:top w:val="single" w:sz="18" w:space="0" w:color="246042"/>
              <w:bottom w:val="single" w:sz="6" w:space="0" w:color="5F636A"/>
            </w:tcBorders>
            <w:shd w:val="clear" w:color="auto" w:fill="EDF0F0"/>
          </w:tcPr>
          <w:p w14:paraId="257BB7F2" w14:textId="77777777" w:rsidR="00914A88" w:rsidRPr="0028213F" w:rsidRDefault="00914A88" w:rsidP="00875A29">
            <w:pPr>
              <w:pStyle w:val="TableParagraph"/>
              <w:spacing w:before="136"/>
              <w:ind w:left="0"/>
              <w:rPr>
                <w:rFonts w:asciiTheme="minorHAnsi" w:hAnsiTheme="minorHAnsi"/>
                <w:sz w:val="24"/>
                <w:szCs w:val="24"/>
              </w:rPr>
            </w:pPr>
            <w:r w:rsidRPr="0028213F">
              <w:rPr>
                <w:rFonts w:asciiTheme="minorHAnsi" w:hAnsiTheme="minorHAnsi"/>
                <w:color w:val="246042"/>
                <w:sz w:val="24"/>
                <w:szCs w:val="24"/>
              </w:rPr>
              <w:t>2024–25</w:t>
            </w:r>
          </w:p>
        </w:tc>
        <w:tc>
          <w:tcPr>
            <w:tcW w:w="1474" w:type="dxa"/>
            <w:tcBorders>
              <w:top w:val="single" w:sz="18" w:space="0" w:color="246042"/>
              <w:bottom w:val="single" w:sz="6" w:space="0" w:color="5F636A"/>
            </w:tcBorders>
            <w:shd w:val="clear" w:color="auto" w:fill="EDF0F0"/>
          </w:tcPr>
          <w:p w14:paraId="164C8B45" w14:textId="77777777" w:rsidR="00914A88" w:rsidRPr="0028213F" w:rsidRDefault="00914A88" w:rsidP="00875A29">
            <w:pPr>
              <w:pStyle w:val="TableParagraph"/>
              <w:spacing w:before="136"/>
              <w:ind w:left="0"/>
              <w:rPr>
                <w:rFonts w:asciiTheme="minorHAnsi" w:hAnsiTheme="minorHAnsi"/>
                <w:sz w:val="24"/>
                <w:szCs w:val="24"/>
              </w:rPr>
            </w:pPr>
            <w:r w:rsidRPr="0028213F">
              <w:rPr>
                <w:rFonts w:asciiTheme="minorHAnsi" w:hAnsiTheme="minorHAnsi"/>
                <w:color w:val="246042"/>
                <w:sz w:val="24"/>
                <w:szCs w:val="24"/>
              </w:rPr>
              <w:t>2025–26</w:t>
            </w:r>
          </w:p>
        </w:tc>
        <w:tc>
          <w:tcPr>
            <w:tcW w:w="1474" w:type="dxa"/>
            <w:tcBorders>
              <w:top w:val="single" w:sz="18" w:space="0" w:color="246042"/>
              <w:bottom w:val="single" w:sz="6" w:space="0" w:color="5F636A"/>
            </w:tcBorders>
            <w:shd w:val="clear" w:color="auto" w:fill="EDF0F0"/>
          </w:tcPr>
          <w:p w14:paraId="11878D11" w14:textId="77777777" w:rsidR="00914A88" w:rsidRPr="0028213F" w:rsidRDefault="00914A88" w:rsidP="00875A29">
            <w:pPr>
              <w:pStyle w:val="TableParagraph"/>
              <w:spacing w:before="136"/>
              <w:ind w:left="0"/>
              <w:rPr>
                <w:rFonts w:asciiTheme="minorHAnsi" w:hAnsiTheme="minorHAnsi"/>
                <w:sz w:val="24"/>
                <w:szCs w:val="24"/>
              </w:rPr>
            </w:pPr>
            <w:r w:rsidRPr="0028213F">
              <w:rPr>
                <w:rFonts w:asciiTheme="minorHAnsi" w:hAnsiTheme="minorHAnsi"/>
                <w:color w:val="246042"/>
                <w:sz w:val="24"/>
                <w:szCs w:val="24"/>
              </w:rPr>
              <w:t>2026–27</w:t>
            </w:r>
          </w:p>
        </w:tc>
      </w:tr>
      <w:tr w:rsidR="00673B81" w14:paraId="6EC4BCF3" w14:textId="77777777" w:rsidTr="00875A29">
        <w:trPr>
          <w:cantSplit/>
          <w:trHeight w:val="1400"/>
        </w:trPr>
        <w:tc>
          <w:tcPr>
            <w:tcW w:w="3005" w:type="dxa"/>
            <w:tcBorders>
              <w:top w:val="single" w:sz="4" w:space="0" w:color="5F636A"/>
              <w:bottom w:val="single" w:sz="4" w:space="0" w:color="5F636A"/>
            </w:tcBorders>
          </w:tcPr>
          <w:p w14:paraId="3E6D9ADF" w14:textId="77777777" w:rsidR="00673B81" w:rsidRPr="00673B81" w:rsidRDefault="00673B81" w:rsidP="007E0769">
            <w:pPr>
              <w:pStyle w:val="TableParagraph"/>
              <w:spacing w:before="120"/>
              <w:ind w:left="142" w:right="522"/>
              <w:rPr>
                <w:rFonts w:asciiTheme="minorHAnsi" w:hAnsiTheme="minorHAnsi"/>
              </w:rPr>
            </w:pPr>
            <w:r w:rsidRPr="00673B81">
              <w:rPr>
                <w:rFonts w:asciiTheme="minorHAnsi" w:hAnsiTheme="minorHAnsi"/>
              </w:rPr>
              <w:t>Baseline data -</w:t>
            </w:r>
          </w:p>
          <w:p w14:paraId="0DDB3CD9" w14:textId="77777777" w:rsidR="00673B81" w:rsidRPr="007E0769" w:rsidRDefault="00673B81" w:rsidP="007E0769">
            <w:pPr>
              <w:pStyle w:val="Bullet1"/>
              <w:spacing w:before="0" w:after="0" w:line="240" w:lineRule="auto"/>
            </w:pPr>
            <w:r w:rsidRPr="007E0769">
              <w:t xml:space="preserve">% of registration </w:t>
            </w:r>
            <w:r w:rsidRPr="007E0769">
              <w:br/>
              <w:t>revocations</w:t>
            </w:r>
          </w:p>
          <w:p w14:paraId="2EBA1086" w14:textId="77777777" w:rsidR="00673B81" w:rsidRPr="007E0769" w:rsidRDefault="00673B81" w:rsidP="007E0769">
            <w:pPr>
              <w:pStyle w:val="Bullet1"/>
              <w:spacing w:before="0" w:after="0" w:line="240" w:lineRule="auto"/>
            </w:pPr>
            <w:r w:rsidRPr="007E0769">
              <w:t>% of registrations refused</w:t>
            </w:r>
          </w:p>
          <w:p w14:paraId="3318A74B" w14:textId="77777777" w:rsidR="00673B81" w:rsidRPr="00E47366" w:rsidRDefault="00673B81" w:rsidP="007E0769">
            <w:pPr>
              <w:pStyle w:val="Bullet1"/>
              <w:spacing w:before="0" w:after="120" w:line="240" w:lineRule="auto"/>
            </w:pPr>
            <w:r w:rsidRPr="007E0769">
              <w:t># banning orders</w:t>
            </w:r>
          </w:p>
        </w:tc>
        <w:tc>
          <w:tcPr>
            <w:tcW w:w="1474" w:type="dxa"/>
            <w:tcBorders>
              <w:top w:val="single" w:sz="4" w:space="0" w:color="5F636A"/>
              <w:bottom w:val="single" w:sz="4" w:space="0" w:color="5F636A"/>
            </w:tcBorders>
          </w:tcPr>
          <w:p w14:paraId="53D6AE14" w14:textId="77777777" w:rsidR="00673B81" w:rsidRPr="00235F17" w:rsidRDefault="00673B81" w:rsidP="00673B81">
            <w:r w:rsidRPr="00235F17">
              <w:t xml:space="preserve">Improved </w:t>
            </w:r>
            <w:r>
              <w:br/>
            </w:r>
            <w:r w:rsidRPr="00235F17">
              <w:t>from baseline</w:t>
            </w:r>
          </w:p>
        </w:tc>
        <w:tc>
          <w:tcPr>
            <w:tcW w:w="1474" w:type="dxa"/>
            <w:tcBorders>
              <w:top w:val="single" w:sz="4" w:space="0" w:color="5F636A"/>
              <w:bottom w:val="single" w:sz="4" w:space="0" w:color="5F636A"/>
            </w:tcBorders>
          </w:tcPr>
          <w:p w14:paraId="6DE11A31" w14:textId="77777777" w:rsidR="00673B81" w:rsidRPr="00235F17" w:rsidRDefault="00673B81" w:rsidP="00673B81">
            <w:r w:rsidRPr="00235F17">
              <w:t>Improved in relation to previous year</w:t>
            </w:r>
          </w:p>
        </w:tc>
        <w:tc>
          <w:tcPr>
            <w:tcW w:w="1474" w:type="dxa"/>
            <w:tcBorders>
              <w:top w:val="single" w:sz="4" w:space="0" w:color="5F636A"/>
              <w:bottom w:val="single" w:sz="4" w:space="0" w:color="5F636A"/>
            </w:tcBorders>
          </w:tcPr>
          <w:p w14:paraId="6FB6BD56" w14:textId="77777777" w:rsidR="00673B81" w:rsidRPr="00235F17" w:rsidRDefault="00673B81" w:rsidP="00673B81">
            <w:r w:rsidRPr="00235F17">
              <w:t>Improved in relation to previous year</w:t>
            </w:r>
          </w:p>
        </w:tc>
        <w:tc>
          <w:tcPr>
            <w:tcW w:w="1474" w:type="dxa"/>
            <w:tcBorders>
              <w:top w:val="single" w:sz="4" w:space="0" w:color="5F636A"/>
              <w:bottom w:val="single" w:sz="4" w:space="0" w:color="5F636A"/>
            </w:tcBorders>
          </w:tcPr>
          <w:p w14:paraId="508A900A" w14:textId="77777777" w:rsidR="00673B81" w:rsidRDefault="00673B81" w:rsidP="00673B81">
            <w:r w:rsidRPr="00235F17">
              <w:t>Improved in relation to previous year</w:t>
            </w:r>
          </w:p>
        </w:tc>
      </w:tr>
      <w:tr w:rsidR="00673B81" w14:paraId="4CEBBBF5" w14:textId="77777777" w:rsidTr="001B7058">
        <w:trPr>
          <w:cantSplit/>
          <w:trHeight w:val="928"/>
        </w:trPr>
        <w:tc>
          <w:tcPr>
            <w:tcW w:w="3005" w:type="dxa"/>
            <w:tcBorders>
              <w:top w:val="single" w:sz="4" w:space="0" w:color="5F636A"/>
              <w:bottom w:val="single" w:sz="12" w:space="0" w:color="808080" w:themeColor="background1" w:themeShade="80"/>
            </w:tcBorders>
          </w:tcPr>
          <w:p w14:paraId="0C91B702" w14:textId="77777777" w:rsidR="00673B81" w:rsidRPr="001F4A1E" w:rsidRDefault="00673B81" w:rsidP="007E0769">
            <w:pPr>
              <w:ind w:left="142"/>
            </w:pPr>
            <w:r w:rsidRPr="001F4A1E">
              <w:t>Qualitative analysis</w:t>
            </w:r>
          </w:p>
        </w:tc>
        <w:tc>
          <w:tcPr>
            <w:tcW w:w="1474" w:type="dxa"/>
            <w:tcBorders>
              <w:top w:val="single" w:sz="4" w:space="0" w:color="5F636A"/>
              <w:bottom w:val="single" w:sz="12" w:space="0" w:color="808080" w:themeColor="background1" w:themeShade="80"/>
            </w:tcBorders>
          </w:tcPr>
          <w:p w14:paraId="4D267D99" w14:textId="77777777" w:rsidR="00673B81" w:rsidRPr="001F4A1E" w:rsidRDefault="00673B81" w:rsidP="00673B81">
            <w:r w:rsidRPr="001F4A1E">
              <w:t>Qualitative analysis</w:t>
            </w:r>
          </w:p>
        </w:tc>
        <w:tc>
          <w:tcPr>
            <w:tcW w:w="1474" w:type="dxa"/>
            <w:tcBorders>
              <w:top w:val="single" w:sz="4" w:space="0" w:color="5F636A"/>
              <w:bottom w:val="single" w:sz="12" w:space="0" w:color="808080" w:themeColor="background1" w:themeShade="80"/>
            </w:tcBorders>
          </w:tcPr>
          <w:p w14:paraId="58AD476C" w14:textId="77777777" w:rsidR="00673B81" w:rsidRPr="001F4A1E" w:rsidRDefault="00673B81" w:rsidP="00673B81">
            <w:r w:rsidRPr="001F4A1E">
              <w:t>Qualitative analysis</w:t>
            </w:r>
          </w:p>
        </w:tc>
        <w:tc>
          <w:tcPr>
            <w:tcW w:w="1474" w:type="dxa"/>
            <w:tcBorders>
              <w:top w:val="single" w:sz="4" w:space="0" w:color="5F636A"/>
              <w:bottom w:val="single" w:sz="12" w:space="0" w:color="808080" w:themeColor="background1" w:themeShade="80"/>
            </w:tcBorders>
          </w:tcPr>
          <w:p w14:paraId="0A99E935" w14:textId="77777777" w:rsidR="00673B81" w:rsidRPr="001F4A1E" w:rsidRDefault="00673B81" w:rsidP="00673B81">
            <w:r w:rsidRPr="001F4A1E">
              <w:t>Qualitative analysis</w:t>
            </w:r>
          </w:p>
        </w:tc>
        <w:tc>
          <w:tcPr>
            <w:tcW w:w="1474" w:type="dxa"/>
            <w:tcBorders>
              <w:top w:val="single" w:sz="4" w:space="0" w:color="5F636A"/>
              <w:bottom w:val="single" w:sz="12" w:space="0" w:color="808080" w:themeColor="background1" w:themeShade="80"/>
            </w:tcBorders>
          </w:tcPr>
          <w:p w14:paraId="4D944A1B" w14:textId="77777777" w:rsidR="00673B81" w:rsidRPr="001F4A1E" w:rsidRDefault="00673B81" w:rsidP="00673B81">
            <w:r w:rsidRPr="001F4A1E">
              <w:t>Qualitative analysis</w:t>
            </w:r>
          </w:p>
        </w:tc>
      </w:tr>
    </w:tbl>
    <w:p w14:paraId="0A969128" w14:textId="77777777" w:rsidR="00EA458C" w:rsidRPr="00FD0FC8" w:rsidRDefault="00EA458C" w:rsidP="00FD0FC8">
      <w:pPr>
        <w:pStyle w:val="Heading3"/>
        <w:rPr>
          <w:b w:val="0"/>
          <w:color w:val="275D3A"/>
        </w:rPr>
      </w:pPr>
      <w:bookmarkStart w:id="72" w:name="_Toc112642132"/>
      <w:r w:rsidRPr="00FD0FC8">
        <w:rPr>
          <w:b w:val="0"/>
          <w:color w:val="275D3A"/>
        </w:rPr>
        <w:lastRenderedPageBreak/>
        <w:t>PM 3.3: Market diversity is increased to correspond to participant/consumer demand, stimulate consumer choice and control, and reduce market capture and/or failure</w:t>
      </w:r>
      <w:bookmarkEnd w:id="72"/>
    </w:p>
    <w:tbl>
      <w:tblPr>
        <w:tblW w:w="8901" w:type="dxa"/>
        <w:tblLayout w:type="fixed"/>
        <w:tblCellMar>
          <w:left w:w="0" w:type="dxa"/>
          <w:right w:w="0" w:type="dxa"/>
        </w:tblCellMar>
        <w:tblLook w:val="01E0" w:firstRow="1" w:lastRow="1" w:firstColumn="1" w:lastColumn="1" w:noHBand="0" w:noVBand="0"/>
      </w:tblPr>
      <w:tblGrid>
        <w:gridCol w:w="3005"/>
        <w:gridCol w:w="1474"/>
        <w:gridCol w:w="1474"/>
        <w:gridCol w:w="1474"/>
        <w:gridCol w:w="1474"/>
      </w:tblGrid>
      <w:tr w:rsidR="00FD0FC8" w14:paraId="17566819" w14:textId="77777777" w:rsidTr="00875A29">
        <w:trPr>
          <w:cantSplit/>
          <w:trHeight w:val="546"/>
          <w:tblHeader/>
        </w:trPr>
        <w:tc>
          <w:tcPr>
            <w:tcW w:w="3005" w:type="dxa"/>
            <w:tcBorders>
              <w:top w:val="single" w:sz="18" w:space="0" w:color="246042"/>
              <w:bottom w:val="single" w:sz="6" w:space="0" w:color="5F636A"/>
            </w:tcBorders>
            <w:shd w:val="clear" w:color="auto" w:fill="EDF0F0"/>
          </w:tcPr>
          <w:p w14:paraId="4D4B5544" w14:textId="77777777" w:rsidR="00FD0FC8" w:rsidRPr="0028213F" w:rsidRDefault="00FD0FC8" w:rsidP="00875A29">
            <w:pPr>
              <w:pStyle w:val="TableParagraph"/>
              <w:spacing w:before="136"/>
              <w:ind w:left="142"/>
              <w:rPr>
                <w:rFonts w:asciiTheme="minorHAnsi" w:hAnsiTheme="minorHAnsi"/>
                <w:sz w:val="24"/>
                <w:szCs w:val="24"/>
              </w:rPr>
            </w:pPr>
            <w:r w:rsidRPr="0028213F">
              <w:rPr>
                <w:rFonts w:asciiTheme="minorHAnsi" w:hAnsiTheme="minorHAnsi"/>
                <w:color w:val="246042"/>
                <w:sz w:val="24"/>
                <w:szCs w:val="24"/>
              </w:rPr>
              <w:t>Targets for 2022–23</w:t>
            </w:r>
          </w:p>
        </w:tc>
        <w:tc>
          <w:tcPr>
            <w:tcW w:w="1474" w:type="dxa"/>
            <w:tcBorders>
              <w:top w:val="single" w:sz="18" w:space="0" w:color="246042"/>
              <w:bottom w:val="single" w:sz="6" w:space="0" w:color="5F636A"/>
            </w:tcBorders>
            <w:shd w:val="clear" w:color="auto" w:fill="EDF0F0"/>
          </w:tcPr>
          <w:p w14:paraId="5E12F236" w14:textId="77777777" w:rsidR="00FD0FC8" w:rsidRPr="0028213F" w:rsidRDefault="00FD0FC8" w:rsidP="00875A29">
            <w:pPr>
              <w:pStyle w:val="TableParagraph"/>
              <w:spacing w:before="136"/>
              <w:ind w:left="0"/>
              <w:rPr>
                <w:rFonts w:asciiTheme="minorHAnsi" w:hAnsiTheme="minorHAnsi"/>
                <w:sz w:val="24"/>
                <w:szCs w:val="24"/>
              </w:rPr>
            </w:pPr>
            <w:r w:rsidRPr="0028213F">
              <w:rPr>
                <w:rFonts w:asciiTheme="minorHAnsi" w:hAnsiTheme="minorHAnsi"/>
                <w:color w:val="246042"/>
                <w:sz w:val="24"/>
                <w:szCs w:val="24"/>
              </w:rPr>
              <w:t>2023–24</w:t>
            </w:r>
          </w:p>
        </w:tc>
        <w:tc>
          <w:tcPr>
            <w:tcW w:w="1474" w:type="dxa"/>
            <w:tcBorders>
              <w:top w:val="single" w:sz="18" w:space="0" w:color="246042"/>
              <w:bottom w:val="single" w:sz="6" w:space="0" w:color="5F636A"/>
            </w:tcBorders>
            <w:shd w:val="clear" w:color="auto" w:fill="EDF0F0"/>
          </w:tcPr>
          <w:p w14:paraId="17E2D9A9" w14:textId="77777777" w:rsidR="00FD0FC8" w:rsidRPr="0028213F" w:rsidRDefault="00FD0FC8" w:rsidP="00875A29">
            <w:pPr>
              <w:pStyle w:val="TableParagraph"/>
              <w:spacing w:before="136"/>
              <w:ind w:left="0"/>
              <w:rPr>
                <w:rFonts w:asciiTheme="minorHAnsi" w:hAnsiTheme="minorHAnsi"/>
                <w:sz w:val="24"/>
                <w:szCs w:val="24"/>
              </w:rPr>
            </w:pPr>
            <w:r w:rsidRPr="0028213F">
              <w:rPr>
                <w:rFonts w:asciiTheme="minorHAnsi" w:hAnsiTheme="minorHAnsi"/>
                <w:color w:val="246042"/>
                <w:sz w:val="24"/>
                <w:szCs w:val="24"/>
              </w:rPr>
              <w:t>2024–25</w:t>
            </w:r>
          </w:p>
        </w:tc>
        <w:tc>
          <w:tcPr>
            <w:tcW w:w="1474" w:type="dxa"/>
            <w:tcBorders>
              <w:top w:val="single" w:sz="18" w:space="0" w:color="246042"/>
              <w:bottom w:val="single" w:sz="6" w:space="0" w:color="5F636A"/>
            </w:tcBorders>
            <w:shd w:val="clear" w:color="auto" w:fill="EDF0F0"/>
          </w:tcPr>
          <w:p w14:paraId="74C4EC47" w14:textId="77777777" w:rsidR="00FD0FC8" w:rsidRPr="0028213F" w:rsidRDefault="00FD0FC8" w:rsidP="00875A29">
            <w:pPr>
              <w:pStyle w:val="TableParagraph"/>
              <w:spacing w:before="136"/>
              <w:ind w:left="0"/>
              <w:rPr>
                <w:rFonts w:asciiTheme="minorHAnsi" w:hAnsiTheme="minorHAnsi"/>
                <w:sz w:val="24"/>
                <w:szCs w:val="24"/>
              </w:rPr>
            </w:pPr>
            <w:r w:rsidRPr="0028213F">
              <w:rPr>
                <w:rFonts w:asciiTheme="minorHAnsi" w:hAnsiTheme="minorHAnsi"/>
                <w:color w:val="246042"/>
                <w:sz w:val="24"/>
                <w:szCs w:val="24"/>
              </w:rPr>
              <w:t>2025–26</w:t>
            </w:r>
          </w:p>
        </w:tc>
        <w:tc>
          <w:tcPr>
            <w:tcW w:w="1474" w:type="dxa"/>
            <w:tcBorders>
              <w:top w:val="single" w:sz="18" w:space="0" w:color="246042"/>
              <w:bottom w:val="single" w:sz="6" w:space="0" w:color="5F636A"/>
            </w:tcBorders>
            <w:shd w:val="clear" w:color="auto" w:fill="EDF0F0"/>
          </w:tcPr>
          <w:p w14:paraId="41A94F5D" w14:textId="77777777" w:rsidR="00FD0FC8" w:rsidRPr="0028213F" w:rsidRDefault="00FD0FC8" w:rsidP="00875A29">
            <w:pPr>
              <w:pStyle w:val="TableParagraph"/>
              <w:spacing w:before="136"/>
              <w:ind w:left="0"/>
              <w:rPr>
                <w:rFonts w:asciiTheme="minorHAnsi" w:hAnsiTheme="minorHAnsi"/>
                <w:sz w:val="24"/>
                <w:szCs w:val="24"/>
              </w:rPr>
            </w:pPr>
            <w:r w:rsidRPr="0028213F">
              <w:rPr>
                <w:rFonts w:asciiTheme="minorHAnsi" w:hAnsiTheme="minorHAnsi"/>
                <w:color w:val="246042"/>
                <w:sz w:val="24"/>
                <w:szCs w:val="24"/>
              </w:rPr>
              <w:t>2026–27</w:t>
            </w:r>
          </w:p>
        </w:tc>
      </w:tr>
      <w:tr w:rsidR="00FD0FC8" w14:paraId="3B71898D" w14:textId="77777777" w:rsidTr="00875A29">
        <w:trPr>
          <w:cantSplit/>
          <w:trHeight w:val="1400"/>
        </w:trPr>
        <w:tc>
          <w:tcPr>
            <w:tcW w:w="3005" w:type="dxa"/>
            <w:tcBorders>
              <w:top w:val="single" w:sz="4" w:space="0" w:color="5F636A"/>
              <w:bottom w:val="single" w:sz="4" w:space="0" w:color="5F636A"/>
            </w:tcBorders>
          </w:tcPr>
          <w:p w14:paraId="68E43B3B" w14:textId="77777777" w:rsidR="00FD0FC8" w:rsidRPr="00FD0FC8" w:rsidRDefault="00FD0FC8" w:rsidP="007E0769">
            <w:pPr>
              <w:pStyle w:val="TableParagraph"/>
              <w:spacing w:before="120" w:after="120"/>
              <w:ind w:left="142" w:right="522"/>
              <w:rPr>
                <w:rFonts w:asciiTheme="minorHAnsi" w:hAnsiTheme="minorHAnsi"/>
              </w:rPr>
            </w:pPr>
            <w:r>
              <w:rPr>
                <w:rFonts w:asciiTheme="minorHAnsi" w:hAnsiTheme="minorHAnsi"/>
              </w:rPr>
              <w:t>Baseline data -</w:t>
            </w:r>
            <w:r>
              <w:rPr>
                <w:rFonts w:asciiTheme="minorHAnsi" w:hAnsiTheme="minorHAnsi"/>
              </w:rPr>
              <w:br/>
              <w:t xml:space="preserve">% of new registered providers </w:t>
            </w:r>
            <w:r w:rsidRPr="00FD0FC8">
              <w:rPr>
                <w:rFonts w:asciiTheme="minorHAnsi" w:hAnsiTheme="minorHAnsi"/>
              </w:rPr>
              <w:t>acti</w:t>
            </w:r>
            <w:r>
              <w:rPr>
                <w:rFonts w:asciiTheme="minorHAnsi" w:hAnsiTheme="minorHAnsi"/>
              </w:rPr>
              <w:t xml:space="preserve">vely delivering supports within </w:t>
            </w:r>
            <w:r w:rsidRPr="00FD0FC8">
              <w:rPr>
                <w:rFonts w:asciiTheme="minorHAnsi" w:hAnsiTheme="minorHAnsi"/>
              </w:rPr>
              <w:t>3 months</w:t>
            </w:r>
          </w:p>
        </w:tc>
        <w:tc>
          <w:tcPr>
            <w:tcW w:w="1474" w:type="dxa"/>
            <w:tcBorders>
              <w:top w:val="single" w:sz="4" w:space="0" w:color="5F636A"/>
              <w:bottom w:val="single" w:sz="4" w:space="0" w:color="5F636A"/>
            </w:tcBorders>
          </w:tcPr>
          <w:p w14:paraId="16C13076" w14:textId="77777777" w:rsidR="00FD0FC8" w:rsidRPr="00235F17" w:rsidRDefault="00FD0FC8" w:rsidP="00FD0FC8">
            <w:r>
              <w:t xml:space="preserve">Increase % </w:t>
            </w:r>
            <w:r>
              <w:br/>
              <w:t>in relation to baseline</w:t>
            </w:r>
          </w:p>
        </w:tc>
        <w:tc>
          <w:tcPr>
            <w:tcW w:w="1474" w:type="dxa"/>
            <w:tcBorders>
              <w:top w:val="single" w:sz="4" w:space="0" w:color="5F636A"/>
              <w:bottom w:val="single" w:sz="4" w:space="0" w:color="5F636A"/>
            </w:tcBorders>
          </w:tcPr>
          <w:p w14:paraId="0C6CD32C" w14:textId="77777777" w:rsidR="00FD0FC8" w:rsidRPr="00235F17" w:rsidRDefault="00FD0FC8" w:rsidP="00875A29">
            <w:r w:rsidRPr="00235F17">
              <w:t>Improved in relation to previous year</w:t>
            </w:r>
          </w:p>
        </w:tc>
        <w:tc>
          <w:tcPr>
            <w:tcW w:w="1474" w:type="dxa"/>
            <w:tcBorders>
              <w:top w:val="single" w:sz="4" w:space="0" w:color="5F636A"/>
              <w:bottom w:val="single" w:sz="4" w:space="0" w:color="5F636A"/>
            </w:tcBorders>
          </w:tcPr>
          <w:p w14:paraId="45EDEA38" w14:textId="77777777" w:rsidR="00FD0FC8" w:rsidRPr="00235F17" w:rsidRDefault="00FD0FC8" w:rsidP="00875A29">
            <w:r w:rsidRPr="00235F17">
              <w:t>Improved in relation to previous year</w:t>
            </w:r>
          </w:p>
        </w:tc>
        <w:tc>
          <w:tcPr>
            <w:tcW w:w="1474" w:type="dxa"/>
            <w:tcBorders>
              <w:top w:val="single" w:sz="4" w:space="0" w:color="5F636A"/>
              <w:bottom w:val="single" w:sz="4" w:space="0" w:color="5F636A"/>
            </w:tcBorders>
          </w:tcPr>
          <w:p w14:paraId="533F38C4" w14:textId="77777777" w:rsidR="00FD0FC8" w:rsidRDefault="00FD0FC8" w:rsidP="00875A29">
            <w:r w:rsidRPr="00235F17">
              <w:t>Improved in relation to previous year</w:t>
            </w:r>
          </w:p>
        </w:tc>
      </w:tr>
      <w:tr w:rsidR="00304664" w14:paraId="51F43AA7" w14:textId="77777777" w:rsidTr="007E0769">
        <w:trPr>
          <w:cantSplit/>
          <w:trHeight w:val="2567"/>
        </w:trPr>
        <w:tc>
          <w:tcPr>
            <w:tcW w:w="3005" w:type="dxa"/>
            <w:tcBorders>
              <w:top w:val="single" w:sz="4" w:space="0" w:color="5F636A"/>
              <w:bottom w:val="single" w:sz="12" w:space="0" w:color="808080" w:themeColor="background1" w:themeShade="80"/>
            </w:tcBorders>
          </w:tcPr>
          <w:p w14:paraId="0DB6B19B" w14:textId="77777777" w:rsidR="00304664" w:rsidRDefault="00304664" w:rsidP="007E0769">
            <w:pPr>
              <w:spacing w:before="120" w:after="0" w:line="240" w:lineRule="auto"/>
              <w:ind w:left="142"/>
            </w:pPr>
            <w:r>
              <w:t>Baseline data -</w:t>
            </w:r>
            <w:r>
              <w:br/>
              <w:t xml:space="preserve">Increase in the % of </w:t>
            </w:r>
            <w:r>
              <w:br/>
              <w:t xml:space="preserve">providers registered to </w:t>
            </w:r>
            <w:r>
              <w:br/>
              <w:t xml:space="preserve">deliver services in: </w:t>
            </w:r>
          </w:p>
          <w:p w14:paraId="34C83072" w14:textId="77777777" w:rsidR="00304664" w:rsidRPr="007E0769" w:rsidRDefault="00304664" w:rsidP="007E0769">
            <w:pPr>
              <w:pStyle w:val="Bullet1"/>
              <w:spacing w:before="0" w:after="0" w:line="240" w:lineRule="auto"/>
            </w:pPr>
            <w:r w:rsidRPr="007E0769">
              <w:t>rural and remote communities</w:t>
            </w:r>
          </w:p>
          <w:p w14:paraId="7EF75489" w14:textId="77777777" w:rsidR="00304664" w:rsidRPr="0096305C" w:rsidRDefault="00304664" w:rsidP="007E0769">
            <w:pPr>
              <w:pStyle w:val="Bullet1"/>
              <w:spacing w:before="0" w:after="0" w:line="240" w:lineRule="auto"/>
            </w:pPr>
            <w:r w:rsidRPr="007E0769">
              <w:t>Aboriginal and Torres Strait Islander communities</w:t>
            </w:r>
          </w:p>
        </w:tc>
        <w:tc>
          <w:tcPr>
            <w:tcW w:w="1474" w:type="dxa"/>
            <w:tcBorders>
              <w:top w:val="single" w:sz="4" w:space="0" w:color="5F636A"/>
              <w:bottom w:val="single" w:sz="12" w:space="0" w:color="808080" w:themeColor="background1" w:themeShade="80"/>
            </w:tcBorders>
          </w:tcPr>
          <w:p w14:paraId="717304C7" w14:textId="77777777" w:rsidR="00304664" w:rsidRPr="0096305C" w:rsidRDefault="00304664" w:rsidP="00304664">
            <w:r>
              <w:t xml:space="preserve">Increased </w:t>
            </w:r>
            <w:r>
              <w:br/>
              <w:t>from baseline</w:t>
            </w:r>
          </w:p>
        </w:tc>
        <w:tc>
          <w:tcPr>
            <w:tcW w:w="1474" w:type="dxa"/>
            <w:tcBorders>
              <w:top w:val="single" w:sz="4" w:space="0" w:color="5F636A"/>
              <w:bottom w:val="single" w:sz="12" w:space="0" w:color="808080" w:themeColor="background1" w:themeShade="80"/>
            </w:tcBorders>
          </w:tcPr>
          <w:p w14:paraId="648B2D9E" w14:textId="77777777" w:rsidR="00304664" w:rsidRPr="0096305C" w:rsidRDefault="00304664" w:rsidP="00304664">
            <w:r>
              <w:t>Increase in relation to previous year</w:t>
            </w:r>
          </w:p>
        </w:tc>
        <w:tc>
          <w:tcPr>
            <w:tcW w:w="1474" w:type="dxa"/>
            <w:tcBorders>
              <w:top w:val="single" w:sz="4" w:space="0" w:color="5F636A"/>
              <w:bottom w:val="single" w:sz="12" w:space="0" w:color="808080" w:themeColor="background1" w:themeShade="80"/>
            </w:tcBorders>
          </w:tcPr>
          <w:p w14:paraId="4A61F2D2" w14:textId="77777777" w:rsidR="00304664" w:rsidRDefault="00304664" w:rsidP="00304664">
            <w:r w:rsidRPr="00F853F5">
              <w:t>Increase in relation to previous year</w:t>
            </w:r>
          </w:p>
        </w:tc>
        <w:tc>
          <w:tcPr>
            <w:tcW w:w="1474" w:type="dxa"/>
            <w:tcBorders>
              <w:top w:val="single" w:sz="4" w:space="0" w:color="5F636A"/>
              <w:bottom w:val="single" w:sz="12" w:space="0" w:color="808080" w:themeColor="background1" w:themeShade="80"/>
            </w:tcBorders>
          </w:tcPr>
          <w:p w14:paraId="2AAD35C3" w14:textId="77777777" w:rsidR="00304664" w:rsidRDefault="00304664" w:rsidP="00304664">
            <w:r w:rsidRPr="00F853F5">
              <w:t>Increase in relation to previous year</w:t>
            </w:r>
          </w:p>
        </w:tc>
      </w:tr>
    </w:tbl>
    <w:p w14:paraId="05658F03" w14:textId="77777777" w:rsidR="002F3AFC" w:rsidRDefault="002F3AFC">
      <w:pPr>
        <w:suppressAutoHyphens w:val="0"/>
        <w:spacing w:before="120" w:after="120" w:line="240" w:lineRule="auto"/>
      </w:pPr>
      <w:r>
        <w:br w:type="page"/>
      </w:r>
    </w:p>
    <w:p w14:paraId="242C2A47" w14:textId="77777777" w:rsidR="00EA458C" w:rsidRDefault="00EA458C" w:rsidP="002F3AFC">
      <w:pPr>
        <w:pStyle w:val="Heading1"/>
      </w:pPr>
      <w:bookmarkStart w:id="73" w:name="_Toc112642133"/>
      <w:r>
        <w:lastRenderedPageBreak/>
        <w:t>Appendix A: Commonwealth Performance Framework: NDIS Commission 2022–23</w:t>
      </w:r>
      <w:bookmarkEnd w:id="73"/>
    </w:p>
    <w:p w14:paraId="4D5EA482" w14:textId="77777777" w:rsidR="00EA458C" w:rsidRDefault="00EA458C" w:rsidP="00EA458C">
      <w:pPr>
        <w:suppressAutoHyphens w:val="0"/>
        <w:spacing w:before="120" w:after="120" w:line="240" w:lineRule="auto"/>
      </w:pPr>
      <w:r>
        <w:t>The Commonwealth Performance Framework requires that entities’ performance planning and reporting should provide meaningful performance information with a clear line of sight between planned and actual performance.</w:t>
      </w:r>
    </w:p>
    <w:p w14:paraId="42D9EA57" w14:textId="77777777" w:rsidR="002F3D02" w:rsidRDefault="002F3D02" w:rsidP="002F3D02">
      <w:pPr>
        <w:pStyle w:val="Heading2"/>
        <w:rPr>
          <w:lang w:val="en-US"/>
        </w:rPr>
      </w:pPr>
      <w:bookmarkStart w:id="74" w:name="_Toc112642134"/>
      <w:r>
        <w:rPr>
          <w:lang w:val="en-US"/>
        </w:rPr>
        <w:t xml:space="preserve">Portfolio Budget Statements </w:t>
      </w:r>
      <w:r w:rsidRPr="002F3D02">
        <w:rPr>
          <w:lang w:val="en-US"/>
        </w:rPr>
        <w:t>2022–23</w:t>
      </w:r>
      <w:bookmarkEnd w:id="74"/>
    </w:p>
    <w:p w14:paraId="3CFFE0A6" w14:textId="77777777" w:rsidR="002F3D02" w:rsidRPr="002F3D02" w:rsidRDefault="002F3D02" w:rsidP="002F3D02">
      <w:pPr>
        <w:pStyle w:val="Heading3"/>
        <w:rPr>
          <w:rFonts w:asciiTheme="minorHAnsi" w:hAnsiTheme="minorHAnsi"/>
          <w:lang w:val="en-US"/>
        </w:rPr>
      </w:pPr>
      <w:bookmarkStart w:id="75" w:name="_Toc112642135"/>
      <w:r w:rsidRPr="002F3D02">
        <w:rPr>
          <w:rFonts w:asciiTheme="minorHAnsi" w:hAnsiTheme="minorHAnsi"/>
          <w:lang w:val="en-US"/>
        </w:rPr>
        <w:t>Outcome 1:</w:t>
      </w:r>
      <w:bookmarkEnd w:id="75"/>
      <w:r w:rsidRPr="002F3D02">
        <w:rPr>
          <w:rFonts w:asciiTheme="minorHAnsi" w:hAnsiTheme="minorHAnsi"/>
          <w:lang w:val="en-US"/>
        </w:rPr>
        <w:t xml:space="preserve"> </w:t>
      </w:r>
    </w:p>
    <w:p w14:paraId="3F5A205D" w14:textId="77777777" w:rsidR="002F3D02" w:rsidRPr="002F3D02" w:rsidRDefault="002F3D02" w:rsidP="002F3D02">
      <w:pPr>
        <w:rPr>
          <w:szCs w:val="22"/>
          <w:lang w:val="en-US"/>
        </w:rPr>
      </w:pPr>
      <w:r w:rsidRPr="002F3D02">
        <w:rPr>
          <w:szCs w:val="22"/>
          <w:lang w:val="en-US"/>
        </w:rPr>
        <w:t>Promote the delivery of quality supports and services to people with disability under the National Disability Insurance Scheme and other prescribed supports and services, including through nationally consistent and responsive regulation, policy development, advice and education.</w:t>
      </w:r>
    </w:p>
    <w:p w14:paraId="7F986460" w14:textId="77777777" w:rsidR="002F3D02" w:rsidRPr="002F3D02" w:rsidRDefault="002F3D02" w:rsidP="002F3D02">
      <w:pPr>
        <w:pStyle w:val="Bullet1"/>
        <w:rPr>
          <w:szCs w:val="22"/>
        </w:rPr>
      </w:pPr>
      <w:r w:rsidRPr="002F3D02">
        <w:rPr>
          <w:rStyle w:val="A10"/>
          <w:sz w:val="22"/>
          <w:szCs w:val="22"/>
        </w:rPr>
        <w:t xml:space="preserve">Program 1.1 – Support for National Disability Insurance Scheme providers in relation to registration – </w:t>
      </w:r>
      <w:r w:rsidRPr="002F3D02">
        <w:rPr>
          <w:rStyle w:val="A10"/>
          <w:rFonts w:cs="FS Me Light"/>
          <w:color w:val="auto"/>
          <w:sz w:val="22"/>
          <w:szCs w:val="22"/>
        </w:rPr>
        <w:t>Support for NDIS providers with the costs of obtaining registration and to support the provision of education and training for providers, workers and auditors.</w:t>
      </w:r>
    </w:p>
    <w:p w14:paraId="144FB9DA" w14:textId="77777777" w:rsidR="002F3D02" w:rsidRPr="002F3D02" w:rsidRDefault="002F3D02" w:rsidP="002F3D02">
      <w:pPr>
        <w:pStyle w:val="Bullet1"/>
        <w:rPr>
          <w:color w:val="auto"/>
          <w:szCs w:val="22"/>
        </w:rPr>
      </w:pPr>
      <w:r w:rsidRPr="002F3D02">
        <w:rPr>
          <w:rStyle w:val="A10"/>
          <w:sz w:val="22"/>
          <w:szCs w:val="22"/>
        </w:rPr>
        <w:t xml:space="preserve">Program 1.2 – Program Support for the NDIS Quality and Safeguards Commission – </w:t>
      </w:r>
      <w:r w:rsidRPr="002F3D02">
        <w:rPr>
          <w:rStyle w:val="A10"/>
          <w:rFonts w:cs="FS Me Light"/>
          <w:color w:val="auto"/>
          <w:sz w:val="22"/>
          <w:szCs w:val="22"/>
        </w:rPr>
        <w:t>To provide departmental funding for the annual operating costs of the NDIS Commission to enable the NDIS Commission to achieve its outcomes.</w:t>
      </w:r>
    </w:p>
    <w:p w14:paraId="5199A727" w14:textId="77777777" w:rsidR="002F3D02" w:rsidRDefault="002F3D02" w:rsidP="002F3D02">
      <w:pPr>
        <w:pStyle w:val="Heading2"/>
        <w:rPr>
          <w:lang w:val="en-US"/>
        </w:rPr>
      </w:pPr>
      <w:bookmarkStart w:id="76" w:name="_Toc112642136"/>
      <w:r w:rsidRPr="001F4A1E">
        <w:rPr>
          <w:lang w:val="en-US"/>
        </w:rPr>
        <w:t>Risk Management</w:t>
      </w:r>
      <w:bookmarkEnd w:id="76"/>
    </w:p>
    <w:p w14:paraId="0EAE5D89" w14:textId="77777777" w:rsidR="002F3D02" w:rsidRPr="002F3D02" w:rsidRDefault="002F3D02" w:rsidP="002F3D02">
      <w:pPr>
        <w:pStyle w:val="Heading2"/>
        <w:rPr>
          <w:lang w:val="en-US"/>
        </w:rPr>
      </w:pPr>
      <w:bookmarkStart w:id="77" w:name="_Toc112642137"/>
      <w:r>
        <w:rPr>
          <w:lang w:val="en-US"/>
        </w:rPr>
        <w:t>Strategic Work</w:t>
      </w:r>
      <w:bookmarkEnd w:id="77"/>
    </w:p>
    <w:p w14:paraId="4B05ED2B" w14:textId="57E3659B" w:rsidR="001F4A1E" w:rsidRPr="002F3D02" w:rsidRDefault="001F4A1E" w:rsidP="001F4A1E">
      <w:pPr>
        <w:pStyle w:val="Heading3"/>
        <w:rPr>
          <w:lang w:val="en-US"/>
        </w:rPr>
      </w:pPr>
      <w:bookmarkStart w:id="78" w:name="_Toc112642138"/>
      <w:r>
        <w:rPr>
          <w:lang w:val="en-US"/>
        </w:rPr>
        <w:t xml:space="preserve">Impact areas </w:t>
      </w:r>
      <w:r w:rsidRPr="002F3D02">
        <w:rPr>
          <w:lang w:val="en-US"/>
        </w:rPr>
        <w:t>2022–2</w:t>
      </w:r>
      <w:r>
        <w:rPr>
          <w:lang w:val="en-US"/>
        </w:rPr>
        <w:t>7</w:t>
      </w:r>
    </w:p>
    <w:bookmarkEnd w:id="78"/>
    <w:p w14:paraId="09D0F2AF" w14:textId="77777777" w:rsidR="002F3D02" w:rsidRPr="002F3D02" w:rsidRDefault="002F3D02" w:rsidP="00FD5EE7">
      <w:pPr>
        <w:pStyle w:val="Bullet1"/>
        <w:spacing w:before="0" w:after="120" w:line="240" w:lineRule="auto"/>
      </w:pPr>
      <w:r w:rsidRPr="002F3D02">
        <w:rPr>
          <w:rStyle w:val="A10"/>
          <w:rFonts w:cs="FS Me Light"/>
          <w:color w:val="auto"/>
          <w:sz w:val="22"/>
          <w:szCs w:val="22"/>
        </w:rPr>
        <w:t xml:space="preserve">The rights of people with disability </w:t>
      </w:r>
    </w:p>
    <w:p w14:paraId="2FFACE0F" w14:textId="77777777" w:rsidR="002F3D02" w:rsidRPr="002F3D02" w:rsidRDefault="002F3D02" w:rsidP="00FD5EE7">
      <w:pPr>
        <w:pStyle w:val="Bullet1"/>
        <w:spacing w:before="0" w:after="120" w:line="240" w:lineRule="auto"/>
      </w:pPr>
      <w:r w:rsidRPr="002F3D02">
        <w:rPr>
          <w:rStyle w:val="A10"/>
          <w:rFonts w:cs="FS Me Light"/>
          <w:color w:val="auto"/>
          <w:sz w:val="22"/>
          <w:szCs w:val="22"/>
        </w:rPr>
        <w:t xml:space="preserve">Quality providers and workers </w:t>
      </w:r>
    </w:p>
    <w:p w14:paraId="43BFEEEA" w14:textId="77777777" w:rsidR="002F3D02" w:rsidRPr="002F3D02" w:rsidRDefault="002F3D02" w:rsidP="00FD5EE7">
      <w:pPr>
        <w:pStyle w:val="Bullet1"/>
        <w:spacing w:before="0" w:after="120" w:line="240" w:lineRule="auto"/>
      </w:pPr>
      <w:r w:rsidRPr="002F3D02">
        <w:rPr>
          <w:rStyle w:val="A10"/>
          <w:rFonts w:cs="FS Me Light"/>
          <w:color w:val="auto"/>
          <w:sz w:val="22"/>
          <w:szCs w:val="22"/>
        </w:rPr>
        <w:t xml:space="preserve">Thriving, diverse markets </w:t>
      </w:r>
    </w:p>
    <w:p w14:paraId="353D5C34" w14:textId="77777777" w:rsidR="002F3D02" w:rsidRPr="002F3D02" w:rsidRDefault="002F3D02" w:rsidP="00FD5EE7">
      <w:pPr>
        <w:pStyle w:val="Heading3"/>
        <w:rPr>
          <w:lang w:val="en-US"/>
        </w:rPr>
      </w:pPr>
      <w:bookmarkStart w:id="79" w:name="_Toc112642139"/>
      <w:r w:rsidRPr="002F3D02">
        <w:rPr>
          <w:lang w:val="en-US"/>
        </w:rPr>
        <w:t>Priorities 2022–23</w:t>
      </w:r>
      <w:bookmarkEnd w:id="79"/>
    </w:p>
    <w:p w14:paraId="0E06FE87" w14:textId="77777777" w:rsidR="002F3D02" w:rsidRPr="002F3D02" w:rsidRDefault="002F3D02" w:rsidP="00FD5EE7">
      <w:pPr>
        <w:spacing w:before="0" w:after="120" w:line="240" w:lineRule="auto"/>
        <w:rPr>
          <w:rFonts w:ascii="Calibri" w:hAnsi="Calibri"/>
          <w:szCs w:val="22"/>
          <w:lang w:val="en-US"/>
        </w:rPr>
      </w:pPr>
      <w:r w:rsidRPr="002F3D02">
        <w:rPr>
          <w:rFonts w:ascii="Calibri" w:hAnsi="Calibri"/>
          <w:szCs w:val="22"/>
          <w:lang w:val="en-US"/>
        </w:rPr>
        <w:t>• Quality</w:t>
      </w:r>
    </w:p>
    <w:p w14:paraId="3D5F2708" w14:textId="77777777" w:rsidR="002F3D02" w:rsidRPr="002F3D02" w:rsidRDefault="00FD5EE7" w:rsidP="00FD5EE7">
      <w:pPr>
        <w:spacing w:before="0" w:after="120" w:line="240" w:lineRule="auto"/>
        <w:rPr>
          <w:rFonts w:ascii="Calibri" w:hAnsi="Calibri"/>
          <w:szCs w:val="22"/>
          <w:lang w:val="en-US"/>
        </w:rPr>
      </w:pPr>
      <w:r>
        <w:rPr>
          <w:rFonts w:ascii="Calibri" w:hAnsi="Calibri"/>
          <w:szCs w:val="22"/>
          <w:lang w:val="en-US"/>
        </w:rPr>
        <w:t>• Market engagement and</w:t>
      </w:r>
      <w:r w:rsidR="00F17759">
        <w:rPr>
          <w:rFonts w:ascii="Calibri" w:hAnsi="Calibri"/>
          <w:szCs w:val="22"/>
          <w:lang w:val="en-US"/>
        </w:rPr>
        <w:t xml:space="preserve"> </w:t>
      </w:r>
      <w:r w:rsidR="002F3D02" w:rsidRPr="002F3D02">
        <w:rPr>
          <w:rFonts w:ascii="Calibri" w:hAnsi="Calibri"/>
          <w:szCs w:val="22"/>
          <w:lang w:val="en-US"/>
        </w:rPr>
        <w:t>oversight</w:t>
      </w:r>
    </w:p>
    <w:p w14:paraId="06693B45" w14:textId="77777777" w:rsidR="002F3D02" w:rsidRPr="002F3D02" w:rsidRDefault="002F3D02" w:rsidP="00FD5EE7">
      <w:pPr>
        <w:spacing w:before="0" w:after="120" w:line="240" w:lineRule="auto"/>
        <w:rPr>
          <w:rFonts w:ascii="Calibri" w:hAnsi="Calibri"/>
          <w:szCs w:val="22"/>
          <w:lang w:val="en-US"/>
        </w:rPr>
      </w:pPr>
      <w:r w:rsidRPr="002F3D02">
        <w:rPr>
          <w:rFonts w:ascii="Calibri" w:hAnsi="Calibri"/>
          <w:szCs w:val="22"/>
          <w:lang w:val="en-US"/>
        </w:rPr>
        <w:t>• Regulatory excellence</w:t>
      </w:r>
    </w:p>
    <w:p w14:paraId="0E1385FC" w14:textId="77777777" w:rsidR="002F3D02" w:rsidRPr="002F3D02" w:rsidRDefault="002F3D02" w:rsidP="00FD5EE7">
      <w:pPr>
        <w:spacing w:before="0" w:after="120" w:line="240" w:lineRule="auto"/>
        <w:rPr>
          <w:rFonts w:ascii="Calibri" w:hAnsi="Calibri"/>
          <w:szCs w:val="22"/>
          <w:lang w:val="en-US"/>
        </w:rPr>
      </w:pPr>
      <w:r w:rsidRPr="002F3D02">
        <w:rPr>
          <w:rFonts w:ascii="Calibri" w:hAnsi="Calibri"/>
          <w:szCs w:val="22"/>
          <w:lang w:val="en-US"/>
        </w:rPr>
        <w:t>• Culture</w:t>
      </w:r>
    </w:p>
    <w:p w14:paraId="1E07C5B4" w14:textId="332A0DA6" w:rsidR="002F3D02" w:rsidRDefault="002F3D02" w:rsidP="00FD5EE7">
      <w:pPr>
        <w:spacing w:before="0" w:after="120" w:line="240" w:lineRule="auto"/>
        <w:rPr>
          <w:rFonts w:ascii="Calibri" w:hAnsi="Calibri"/>
          <w:szCs w:val="22"/>
          <w:lang w:val="en-US"/>
        </w:rPr>
      </w:pPr>
      <w:r w:rsidRPr="002F3D02">
        <w:rPr>
          <w:rFonts w:ascii="Calibri" w:hAnsi="Calibri"/>
          <w:szCs w:val="22"/>
          <w:lang w:val="en-US"/>
        </w:rPr>
        <w:t>• Workforce capability</w:t>
      </w:r>
    </w:p>
    <w:p w14:paraId="2B3843DD" w14:textId="77777777" w:rsidR="002F3D02" w:rsidRPr="00FD5EE7" w:rsidRDefault="002F3D02" w:rsidP="00FD5EE7">
      <w:pPr>
        <w:pStyle w:val="Heading2"/>
      </w:pPr>
      <w:bookmarkStart w:id="80" w:name="_Toc112642140"/>
      <w:r w:rsidRPr="00FD5EE7">
        <w:lastRenderedPageBreak/>
        <w:t>Corporate Plan</w:t>
      </w:r>
      <w:r w:rsidR="00FD5EE7" w:rsidRPr="00FD5EE7">
        <w:t xml:space="preserve"> 2022–23</w:t>
      </w:r>
      <w:bookmarkEnd w:id="80"/>
    </w:p>
    <w:p w14:paraId="289034FA" w14:textId="77777777" w:rsidR="002F3D02" w:rsidRDefault="002F3D02" w:rsidP="00FD5EE7">
      <w:pPr>
        <w:pStyle w:val="Heading3"/>
        <w:rPr>
          <w:lang w:val="en-US"/>
        </w:rPr>
      </w:pPr>
      <w:bookmarkStart w:id="81" w:name="_Toc112642141"/>
      <w:r>
        <w:rPr>
          <w:lang w:val="en-US"/>
        </w:rPr>
        <w:t>Purpose</w:t>
      </w:r>
      <w:bookmarkEnd w:id="81"/>
    </w:p>
    <w:p w14:paraId="3F4D1D6F" w14:textId="77777777" w:rsidR="00FD5EE7" w:rsidRDefault="00FD5EE7" w:rsidP="00FD5EE7">
      <w:pPr>
        <w:rPr>
          <w:rFonts w:ascii="Calibri" w:hAnsi="Calibri"/>
          <w:szCs w:val="22"/>
          <w:lang w:val="en-US"/>
        </w:rPr>
      </w:pPr>
      <w:r>
        <w:rPr>
          <w:rFonts w:ascii="Calibri" w:hAnsi="Calibri"/>
          <w:szCs w:val="22"/>
          <w:lang w:val="en-US"/>
        </w:rPr>
        <w:t xml:space="preserve">To </w:t>
      </w:r>
      <w:r w:rsidRPr="00FD5EE7">
        <w:rPr>
          <w:rFonts w:ascii="Calibri" w:hAnsi="Calibri"/>
          <w:szCs w:val="22"/>
          <w:lang w:val="en-US"/>
        </w:rPr>
        <w:t>uphold the rights of NDIS p</w:t>
      </w:r>
      <w:r>
        <w:rPr>
          <w:rFonts w:ascii="Calibri" w:hAnsi="Calibri"/>
          <w:szCs w:val="22"/>
          <w:lang w:val="en-US"/>
        </w:rPr>
        <w:t xml:space="preserve">articipants, to elevate quality </w:t>
      </w:r>
      <w:r w:rsidRPr="00FD5EE7">
        <w:rPr>
          <w:rFonts w:ascii="Calibri" w:hAnsi="Calibri"/>
          <w:szCs w:val="22"/>
          <w:lang w:val="en-US"/>
        </w:rPr>
        <w:t xml:space="preserve">and safety, and enable consumer independence </w:t>
      </w:r>
    </w:p>
    <w:p w14:paraId="0C6EF129" w14:textId="77777777" w:rsidR="002F3D02" w:rsidRDefault="002F3D02" w:rsidP="00FD5EE7">
      <w:pPr>
        <w:pStyle w:val="Heading3"/>
        <w:rPr>
          <w:lang w:val="en-US"/>
        </w:rPr>
      </w:pPr>
      <w:bookmarkStart w:id="82" w:name="_Toc112642142"/>
      <w:r>
        <w:rPr>
          <w:lang w:val="en-US"/>
        </w:rPr>
        <w:t>Performance Metrics</w:t>
      </w:r>
      <w:bookmarkEnd w:id="82"/>
    </w:p>
    <w:p w14:paraId="17267076" w14:textId="77777777" w:rsidR="00FD5EE7" w:rsidRDefault="00FD5EE7" w:rsidP="00FD5EE7">
      <w:pPr>
        <w:rPr>
          <w:lang w:val="en-US"/>
        </w:rPr>
      </w:pPr>
      <w:r w:rsidRPr="00FD5EE7">
        <w:rPr>
          <w:lang w:val="en-US"/>
        </w:rPr>
        <w:t xml:space="preserve">Measures and targets for </w:t>
      </w:r>
      <w:r>
        <w:rPr>
          <w:lang w:val="en-US"/>
        </w:rPr>
        <w:t xml:space="preserve">the 2022–23 year and four years </w:t>
      </w:r>
      <w:r w:rsidRPr="00FD5EE7">
        <w:rPr>
          <w:lang w:val="en-US"/>
        </w:rPr>
        <w:t>forward, mapped to our Impa</w:t>
      </w:r>
      <w:r>
        <w:rPr>
          <w:lang w:val="en-US"/>
        </w:rPr>
        <w:t xml:space="preserve">ct areas and our Strategic Plan </w:t>
      </w:r>
      <w:r w:rsidRPr="00FD5EE7">
        <w:rPr>
          <w:lang w:val="en-US"/>
        </w:rPr>
        <w:t>2022–27</w:t>
      </w:r>
    </w:p>
    <w:p w14:paraId="460982A1" w14:textId="0ABAC9CF" w:rsidR="001F4A1E" w:rsidRPr="00FD5EE7" w:rsidRDefault="001F4A1E" w:rsidP="001F4A1E">
      <w:pPr>
        <w:pStyle w:val="Heading2"/>
      </w:pPr>
      <w:bookmarkStart w:id="83" w:name="_Toc112642143"/>
      <w:r>
        <w:t>Annual Performance Statements</w:t>
      </w:r>
    </w:p>
    <w:bookmarkEnd w:id="83"/>
    <w:p w14:paraId="6323B035" w14:textId="376E13F1" w:rsidR="001F4A1E" w:rsidRPr="001F4A1E" w:rsidRDefault="001F4A1E" w:rsidP="001F4A1E">
      <w:pPr>
        <w:rPr>
          <w:rStyle w:val="A2"/>
          <w:b/>
        </w:rPr>
      </w:pPr>
      <w:r>
        <w:rPr>
          <w:rFonts w:ascii="Calibri" w:hAnsi="Calibri"/>
          <w:szCs w:val="22"/>
          <w:lang w:val="en-US"/>
        </w:rPr>
        <w:t xml:space="preserve">(to be published in Annual Report EOFY </w:t>
      </w:r>
      <w:r>
        <w:rPr>
          <w:lang w:val="en-US"/>
        </w:rPr>
        <w:t>2022–23)</w:t>
      </w:r>
    </w:p>
    <w:p w14:paraId="328ACC77" w14:textId="77777777" w:rsidR="00FD5EE7" w:rsidRPr="00FD5EE7" w:rsidRDefault="00FD5EE7" w:rsidP="00FD5EE7">
      <w:pPr>
        <w:pStyle w:val="Heading3"/>
        <w:rPr>
          <w:lang w:val="en-US"/>
        </w:rPr>
      </w:pPr>
      <w:bookmarkStart w:id="84" w:name="_Toc112642144"/>
      <w:r w:rsidRPr="00FD5EE7">
        <w:rPr>
          <w:lang w:val="en-US"/>
        </w:rPr>
        <w:t>Results against performance metrics</w:t>
      </w:r>
      <w:bookmarkEnd w:id="84"/>
    </w:p>
    <w:p w14:paraId="11D2CCDF" w14:textId="77777777" w:rsidR="00FD5EE7" w:rsidRPr="00FD5EE7" w:rsidRDefault="00FD5EE7" w:rsidP="00FD5EE7">
      <w:pPr>
        <w:rPr>
          <w:lang w:val="en-US"/>
        </w:rPr>
      </w:pPr>
      <w:r w:rsidRPr="00FD5EE7">
        <w:rPr>
          <w:lang w:val="en-US"/>
        </w:rPr>
        <w:t>A balance of quantitative and qual</w:t>
      </w:r>
      <w:r>
        <w:rPr>
          <w:lang w:val="en-US"/>
        </w:rPr>
        <w:t xml:space="preserve">itative information </w:t>
      </w:r>
      <w:r w:rsidRPr="00FD5EE7">
        <w:rPr>
          <w:lang w:val="en-US"/>
        </w:rPr>
        <w:t>in response to the p</w:t>
      </w:r>
      <w:r w:rsidR="00702132">
        <w:rPr>
          <w:lang w:val="en-US"/>
        </w:rPr>
        <w:t xml:space="preserve">erformance measures and targets </w:t>
      </w:r>
      <w:r w:rsidRPr="00FD5EE7">
        <w:rPr>
          <w:lang w:val="en-US"/>
        </w:rPr>
        <w:t>presented in the Corp</w:t>
      </w:r>
      <w:r w:rsidR="00702132">
        <w:rPr>
          <w:lang w:val="en-US"/>
        </w:rPr>
        <w:t xml:space="preserve">orate Plan 2022–23, showing the </w:t>
      </w:r>
      <w:r w:rsidRPr="00FD5EE7">
        <w:rPr>
          <w:lang w:val="en-US"/>
        </w:rPr>
        <w:t>progress of the Com</w:t>
      </w:r>
      <w:r w:rsidR="00B51CED">
        <w:rPr>
          <w:lang w:val="en-US"/>
        </w:rPr>
        <w:t xml:space="preserve">mission against its operational </w:t>
      </w:r>
      <w:r w:rsidRPr="00FD5EE7">
        <w:rPr>
          <w:lang w:val="en-US"/>
        </w:rPr>
        <w:t>and aspirational objecti</w:t>
      </w:r>
      <w:r w:rsidR="00B51CED">
        <w:rPr>
          <w:lang w:val="en-US"/>
        </w:rPr>
        <w:t xml:space="preserve">ves, identifying challenges and </w:t>
      </w:r>
      <w:r w:rsidRPr="00FD5EE7">
        <w:rPr>
          <w:lang w:val="en-US"/>
        </w:rPr>
        <w:t>analysing outcomes.</w:t>
      </w:r>
    </w:p>
    <w:p w14:paraId="5F0A401B" w14:textId="77777777" w:rsidR="002F3D02" w:rsidRDefault="002F3D02" w:rsidP="00EA458C">
      <w:pPr>
        <w:suppressAutoHyphens w:val="0"/>
        <w:spacing w:before="120" w:after="120" w:line="240" w:lineRule="auto"/>
      </w:pPr>
    </w:p>
    <w:p w14:paraId="274A3562" w14:textId="77777777" w:rsidR="00A54967" w:rsidRDefault="00A54967">
      <w:pPr>
        <w:suppressAutoHyphens w:val="0"/>
        <w:spacing w:before="120" w:after="120" w:line="240" w:lineRule="auto"/>
      </w:pPr>
      <w:r>
        <w:br w:type="page"/>
      </w:r>
    </w:p>
    <w:p w14:paraId="64EEC7D1" w14:textId="77777777" w:rsidR="00EA458C" w:rsidRDefault="00EA458C" w:rsidP="00A54967">
      <w:pPr>
        <w:pStyle w:val="Heading1"/>
      </w:pPr>
      <w:bookmarkStart w:id="85" w:name="_Toc112642145"/>
      <w:r>
        <w:lastRenderedPageBreak/>
        <w:t>Appendix B: Commissioner’s core functions</w:t>
      </w:r>
      <w:bookmarkEnd w:id="85"/>
    </w:p>
    <w:p w14:paraId="37748740" w14:textId="5F8C5386" w:rsidR="00EA458C" w:rsidRDefault="00EA458C" w:rsidP="00EA458C">
      <w:pPr>
        <w:suppressAutoHyphens w:val="0"/>
        <w:spacing w:before="120" w:after="120" w:line="240" w:lineRule="auto"/>
      </w:pPr>
      <w:r>
        <w:t xml:space="preserve">The NDIS Commission is fundamentally guided by the responsibilities assigned under the NDIS Act. </w:t>
      </w:r>
      <w:r w:rsidR="008725B9">
        <w:br/>
      </w:r>
      <w:r>
        <w:t>In particular, the Commissioner’s core functions:</w:t>
      </w:r>
    </w:p>
    <w:p w14:paraId="0C75726D" w14:textId="77777777" w:rsidR="00EA458C" w:rsidRDefault="00EA458C" w:rsidP="00A54967">
      <w:pPr>
        <w:pStyle w:val="List1Numbered1"/>
        <w:numPr>
          <w:ilvl w:val="0"/>
          <w:numId w:val="13"/>
        </w:numPr>
      </w:pPr>
      <w:r>
        <w:t>To uphold the rights of, and promote the health, safety and wellbeing of, people with disability receiving supports or services, including those received under the National Disability Insurance Scheme.</w:t>
      </w:r>
    </w:p>
    <w:p w14:paraId="10B380B7" w14:textId="77777777" w:rsidR="00EA458C" w:rsidRDefault="00EA458C" w:rsidP="00A54967">
      <w:pPr>
        <w:pStyle w:val="List1Numbered1"/>
        <w:numPr>
          <w:ilvl w:val="0"/>
          <w:numId w:val="13"/>
        </w:numPr>
      </w:pPr>
      <w:r>
        <w:t>To develop a nationally consistent approach to managing quality and safeguards for people with disability receiving supports or services, including those received under the National Disability Insurance Scheme.</w:t>
      </w:r>
    </w:p>
    <w:p w14:paraId="515D9A09" w14:textId="77777777" w:rsidR="00EA458C" w:rsidRDefault="00EA458C" w:rsidP="00A54967">
      <w:pPr>
        <w:pStyle w:val="List1Numbered1"/>
        <w:numPr>
          <w:ilvl w:val="0"/>
          <w:numId w:val="13"/>
        </w:numPr>
      </w:pPr>
      <w:r>
        <w:t>To promote the provision of advice, information, education and training to NDIS providers and people with disability.</w:t>
      </w:r>
    </w:p>
    <w:p w14:paraId="0EEB35E5" w14:textId="77777777" w:rsidR="00EA458C" w:rsidRDefault="00EA458C" w:rsidP="00A54967">
      <w:pPr>
        <w:pStyle w:val="List1Numbered1"/>
        <w:numPr>
          <w:ilvl w:val="0"/>
          <w:numId w:val="13"/>
        </w:numPr>
      </w:pPr>
      <w:r>
        <w:t>To secure compliance with the Act through effective compliance and enforcement arrangements, including through the monitoring and investigation functions conferred on the Commissioner by Division 8 of Part 3A of Chapter 4.</w:t>
      </w:r>
    </w:p>
    <w:p w14:paraId="707F57DF" w14:textId="7149594F" w:rsidR="00EA458C" w:rsidRDefault="00EA458C" w:rsidP="00A54967">
      <w:pPr>
        <w:pStyle w:val="List1Numbered1"/>
        <w:numPr>
          <w:ilvl w:val="0"/>
          <w:numId w:val="13"/>
        </w:numPr>
      </w:pPr>
      <w:r>
        <w:t>To promote continuous improvement amongst NDIS providers and the delivery of progressively high</w:t>
      </w:r>
      <w:r w:rsidR="00451C14">
        <w:t>er</w:t>
      </w:r>
      <w:r>
        <w:t xml:space="preserve"> standards of supports and services to people with disability.</w:t>
      </w:r>
    </w:p>
    <w:p w14:paraId="605B035D" w14:textId="77777777" w:rsidR="00EA458C" w:rsidRDefault="00EA458C" w:rsidP="00A54967">
      <w:pPr>
        <w:pStyle w:val="List1Numbered1"/>
        <w:numPr>
          <w:ilvl w:val="0"/>
          <w:numId w:val="13"/>
        </w:numPr>
      </w:pPr>
      <w:r>
        <w:t>To develop and oversee the broad policy design for a nationally consistent framework relating to the screening of workers involved in the provision of supports and services to people with disability.</w:t>
      </w:r>
    </w:p>
    <w:p w14:paraId="1E9D02A5" w14:textId="77777777" w:rsidR="00EA458C" w:rsidRDefault="00EA458C" w:rsidP="00A54967">
      <w:pPr>
        <w:pStyle w:val="List1Numbered1"/>
        <w:numPr>
          <w:ilvl w:val="0"/>
          <w:numId w:val="13"/>
        </w:numPr>
      </w:pPr>
      <w:r>
        <w:t>To provide advice or recommendations to the Agency or the Board in relation to the performance of the Agency’s functions.</w:t>
      </w:r>
    </w:p>
    <w:p w14:paraId="087B3116" w14:textId="77777777" w:rsidR="00A54967" w:rsidRDefault="00EA458C" w:rsidP="00A54967">
      <w:pPr>
        <w:pStyle w:val="List1Numbered1"/>
        <w:numPr>
          <w:ilvl w:val="0"/>
          <w:numId w:val="13"/>
        </w:numPr>
      </w:pPr>
      <w:r>
        <w:t>To engage in, promote and coordinate the sharing of information to achieve the objects of the Act.</w:t>
      </w:r>
    </w:p>
    <w:p w14:paraId="7916D4DB" w14:textId="77777777" w:rsidR="00EA458C" w:rsidRDefault="00EA458C" w:rsidP="00A54967">
      <w:pPr>
        <w:pStyle w:val="List1Numbered1"/>
        <w:numPr>
          <w:ilvl w:val="0"/>
          <w:numId w:val="13"/>
        </w:numPr>
      </w:pPr>
      <w:r>
        <w:t>To provide NDIS market oversight, including:</w:t>
      </w:r>
    </w:p>
    <w:p w14:paraId="7BF0DAC7" w14:textId="77777777" w:rsidR="00EA458C" w:rsidRDefault="00EA458C" w:rsidP="00A54967">
      <w:pPr>
        <w:pStyle w:val="List1Numbered2"/>
        <w:numPr>
          <w:ilvl w:val="1"/>
          <w:numId w:val="14"/>
        </w:numPr>
        <w:ind w:left="709"/>
      </w:pPr>
      <w:r>
        <w:t>By monitoring changes in the NDIS market with may indicate emerging risk, and</w:t>
      </w:r>
    </w:p>
    <w:p w14:paraId="620602FF" w14:textId="77777777" w:rsidR="00EA458C" w:rsidRDefault="00EA458C" w:rsidP="00A54967">
      <w:pPr>
        <w:pStyle w:val="List1Numbered2"/>
        <w:numPr>
          <w:ilvl w:val="1"/>
          <w:numId w:val="14"/>
        </w:numPr>
        <w:ind w:left="709"/>
      </w:pPr>
      <w:r>
        <w:t>By monitoring and mitigating the risks of unplanned service withdrawal.</w:t>
      </w:r>
    </w:p>
    <w:p w14:paraId="1BADD079" w14:textId="77777777" w:rsidR="00EA458C" w:rsidRDefault="00EA458C" w:rsidP="00A54967">
      <w:pPr>
        <w:suppressAutoHyphens w:val="0"/>
        <w:spacing w:before="360" w:after="120" w:line="240" w:lineRule="auto"/>
      </w:pPr>
      <w:r>
        <w:t>The other functions of the Commissioner are also set out in the NDIS Act:</w:t>
      </w:r>
    </w:p>
    <w:p w14:paraId="762371A5" w14:textId="77777777" w:rsidR="00EA458C" w:rsidRDefault="00EA458C" w:rsidP="00A54967">
      <w:pPr>
        <w:pStyle w:val="Bullet1"/>
      </w:pPr>
      <w:r>
        <w:t>181F: the Commissioner’s Registration and reportable incidents functions</w:t>
      </w:r>
    </w:p>
    <w:p w14:paraId="48CBAFEA" w14:textId="77777777" w:rsidR="00EA458C" w:rsidRDefault="00EA458C" w:rsidP="00A54967">
      <w:pPr>
        <w:pStyle w:val="Bullet1"/>
      </w:pPr>
      <w:r>
        <w:t>181G: the Commissioner’s Complaints functions</w:t>
      </w:r>
    </w:p>
    <w:p w14:paraId="49289047" w14:textId="77777777" w:rsidR="00EA458C" w:rsidRDefault="00EA458C" w:rsidP="00A54967">
      <w:pPr>
        <w:pStyle w:val="Bullet1"/>
      </w:pPr>
      <w:r>
        <w:t>181H: the Commissioner’s Behaviour support function.</w:t>
      </w:r>
    </w:p>
    <w:p w14:paraId="3433DFB1" w14:textId="77777777" w:rsidR="00A54967" w:rsidRDefault="00A54967">
      <w:pPr>
        <w:suppressAutoHyphens w:val="0"/>
        <w:spacing w:before="120" w:after="120" w:line="240" w:lineRule="auto"/>
      </w:pPr>
      <w:r>
        <w:br w:type="page"/>
      </w:r>
    </w:p>
    <w:p w14:paraId="4519525B" w14:textId="38416B77" w:rsidR="00EA458C" w:rsidRDefault="00EA458C" w:rsidP="00A54967">
      <w:pPr>
        <w:pStyle w:val="Heading1"/>
      </w:pPr>
      <w:bookmarkStart w:id="86" w:name="_Toc112642146"/>
      <w:r>
        <w:lastRenderedPageBreak/>
        <w:t xml:space="preserve">Appendix C: Our regulatory </w:t>
      </w:r>
      <w:r w:rsidRPr="00E26C0E">
        <w:t>app</w:t>
      </w:r>
      <w:r w:rsidR="007F5D31" w:rsidRPr="00E26C0E">
        <w:t>r</w:t>
      </w:r>
      <w:r w:rsidRPr="00E26C0E">
        <w:t>oach</w:t>
      </w:r>
      <w:bookmarkEnd w:id="86"/>
    </w:p>
    <w:p w14:paraId="77794AB7" w14:textId="77777777" w:rsidR="00EA458C" w:rsidRDefault="00EA458C" w:rsidP="00EA458C">
      <w:pPr>
        <w:suppressAutoHyphens w:val="0"/>
        <w:spacing w:before="120" w:after="120" w:line="240" w:lineRule="auto"/>
      </w:pPr>
      <w:r>
        <w:t>The NDIS Commission prioritises the upholding of the rights of people with disability, and the objects of the NDIS Act, which sets the tone for our regulatory approach.</w:t>
      </w:r>
    </w:p>
    <w:p w14:paraId="033450A3" w14:textId="77777777" w:rsidR="00EA458C" w:rsidRDefault="00EA458C" w:rsidP="00EA458C">
      <w:pPr>
        <w:suppressAutoHyphens w:val="0"/>
        <w:spacing w:before="120" w:after="120" w:line="240" w:lineRule="auto"/>
      </w:pPr>
      <w:r>
        <w:t>We take a responsive and proportionate approach to regulation, with the ability to escalate actions if an initial response does not achieve the intended outcome. While it is open to the NDIS Commission to proceed directly with the strongest actions should the case require, the primary approach to achieving ongoing compliance and building the capacity of the sector is to educate, advise and encourage NDIS providers and workers to identify and understand their obligations and improve their practice.</w:t>
      </w:r>
    </w:p>
    <w:p w14:paraId="09061DF6" w14:textId="77777777" w:rsidR="00EA458C" w:rsidRDefault="00EA458C" w:rsidP="00EA458C">
      <w:pPr>
        <w:suppressAutoHyphens w:val="0"/>
        <w:spacing w:before="120" w:after="120" w:line="240" w:lineRule="auto"/>
      </w:pPr>
      <w:r>
        <w:t>Measures may include targeted education and outreach activities, engaging with the regulated community at the earliest possible stage, and providing timely information and advice through the NDIS Commission website, social media, and information sessions.</w:t>
      </w:r>
    </w:p>
    <w:p w14:paraId="4AB8284E" w14:textId="77777777" w:rsidR="00415AE2" w:rsidRPr="00A40642" w:rsidRDefault="00415AE2" w:rsidP="00415AE2">
      <w:pPr>
        <w:rPr>
          <w:rFonts w:ascii="Calibri" w:hAnsi="Calibri"/>
          <w:iCs/>
          <w:color w:val="auto"/>
          <w:szCs w:val="22"/>
        </w:rPr>
      </w:pPr>
      <w:r w:rsidRPr="00A40642">
        <w:rPr>
          <w:rFonts w:ascii="Calibri" w:hAnsi="Calibri"/>
          <w:iCs/>
          <w:color w:val="auto"/>
          <w:szCs w:val="22"/>
        </w:rPr>
        <w:t>The NDIS Commission uses a range of regulatory interventions to ensure NDIS participants and providers understand their rights and responsibilities, and act appropriately when accessing NDIS supports and services. Starting with our most widely used approach and extending to the most severe action, they include:</w:t>
      </w:r>
    </w:p>
    <w:p w14:paraId="15EF232D" w14:textId="77777777" w:rsidR="00415AE2" w:rsidRPr="00A40642" w:rsidRDefault="00415AE2" w:rsidP="00FA1A82">
      <w:pPr>
        <w:pStyle w:val="Bullet1"/>
        <w:spacing w:before="0" w:after="120" w:line="240" w:lineRule="auto"/>
      </w:pPr>
      <w:r w:rsidRPr="00A40642">
        <w:t>Education, persuasion, compliance support</w:t>
      </w:r>
    </w:p>
    <w:p w14:paraId="122540A7" w14:textId="77777777" w:rsidR="00415AE2" w:rsidRPr="00A40642" w:rsidRDefault="00415AE2" w:rsidP="00FA1A82">
      <w:pPr>
        <w:pStyle w:val="Bullet1"/>
        <w:spacing w:before="0" w:after="120" w:line="240" w:lineRule="auto"/>
      </w:pPr>
      <w:r w:rsidRPr="00A40642">
        <w:t>Registration, audit, investigation</w:t>
      </w:r>
    </w:p>
    <w:p w14:paraId="3A2E0F33" w14:textId="0CC55428" w:rsidR="00FA1A82" w:rsidRPr="00A40642" w:rsidRDefault="00FA1A82" w:rsidP="00FA1A82">
      <w:pPr>
        <w:pStyle w:val="Bullet1"/>
        <w:spacing w:before="0" w:after="120" w:line="240" w:lineRule="auto"/>
        <w:rPr>
          <w:rFonts w:ascii="FS Me"/>
        </w:rPr>
      </w:pPr>
      <w:r w:rsidRPr="00A40642">
        <w:t>Compliance notice, enforceable undertaking</w:t>
      </w:r>
    </w:p>
    <w:p w14:paraId="1409EAC7" w14:textId="77777777" w:rsidR="00FA1A82" w:rsidRPr="00A40642" w:rsidRDefault="00FA1A82" w:rsidP="00FA1A82">
      <w:pPr>
        <w:pStyle w:val="Bullet1"/>
        <w:spacing w:before="0" w:after="120" w:line="240" w:lineRule="auto"/>
      </w:pPr>
      <w:r w:rsidRPr="00A40642">
        <w:t>Injunction, infringement notice</w:t>
      </w:r>
    </w:p>
    <w:p w14:paraId="5B808033" w14:textId="77777777" w:rsidR="00FA1A82" w:rsidRPr="00A40642" w:rsidRDefault="00FA1A82" w:rsidP="00FA1A82">
      <w:pPr>
        <w:pStyle w:val="Bullet1"/>
        <w:spacing w:before="0" w:after="120" w:line="240" w:lineRule="auto"/>
      </w:pPr>
      <w:r w:rsidRPr="00A40642">
        <w:t>Civil penalties</w:t>
      </w:r>
    </w:p>
    <w:p w14:paraId="6BC30F4C" w14:textId="77777777" w:rsidR="00FA1A82" w:rsidRPr="00A40642" w:rsidRDefault="00FA1A82" w:rsidP="00FA1A82">
      <w:pPr>
        <w:pStyle w:val="Bullet1"/>
        <w:spacing w:before="0" w:after="120" w:line="240" w:lineRule="auto"/>
      </w:pPr>
      <w:r w:rsidRPr="00A40642">
        <w:t>Revoke registration</w:t>
      </w:r>
    </w:p>
    <w:p w14:paraId="352ED098" w14:textId="77777777" w:rsidR="00FA1A82" w:rsidRPr="00A40642" w:rsidRDefault="00FA1A82" w:rsidP="00FA1A82">
      <w:pPr>
        <w:pStyle w:val="Bullet1"/>
        <w:spacing w:before="0" w:after="120" w:line="240" w:lineRule="auto"/>
      </w:pPr>
      <w:r w:rsidRPr="00A40642">
        <w:t>Ban</w:t>
      </w:r>
    </w:p>
    <w:p w14:paraId="600525F7" w14:textId="77777777" w:rsidR="00EA458C" w:rsidRPr="00FA1A82" w:rsidRDefault="00EA458C" w:rsidP="00FA1A82">
      <w:pPr>
        <w:spacing w:before="240" w:after="120" w:line="240" w:lineRule="auto"/>
        <w:rPr>
          <w:highlight w:val="yellow"/>
        </w:rPr>
      </w:pPr>
      <w:r>
        <w:t>Such measures help to:</w:t>
      </w:r>
    </w:p>
    <w:p w14:paraId="408E7143" w14:textId="77777777" w:rsidR="00EA458C" w:rsidRDefault="00EA458C" w:rsidP="00FA1A82">
      <w:pPr>
        <w:pStyle w:val="Bullet1"/>
        <w:spacing w:before="0" w:after="120" w:line="240" w:lineRule="auto"/>
      </w:pPr>
      <w:r>
        <w:t>raise awareness of the benefits of compliance, and the various measures that will be taken to address non-compliance</w:t>
      </w:r>
    </w:p>
    <w:p w14:paraId="339BECD6" w14:textId="77777777" w:rsidR="00EA458C" w:rsidRDefault="00EA458C" w:rsidP="00FA1A82">
      <w:pPr>
        <w:pStyle w:val="Bullet1"/>
        <w:spacing w:before="0" w:after="120" w:line="240" w:lineRule="auto"/>
      </w:pPr>
      <w:r>
        <w:t>remove barriers to compliance, such as lack of awareness about obligations, confusion with other regulators, or particular accessibility needs</w:t>
      </w:r>
    </w:p>
    <w:p w14:paraId="7FD98AE1" w14:textId="77777777" w:rsidR="00EA458C" w:rsidRDefault="00EA458C" w:rsidP="00FA1A82">
      <w:pPr>
        <w:pStyle w:val="Bullet1"/>
        <w:spacing w:before="0" w:after="120" w:line="240" w:lineRule="auto"/>
      </w:pPr>
      <w:r>
        <w:t>promote the objects of the Act, Practice Standards and NDIS Code of Conduct</w:t>
      </w:r>
    </w:p>
    <w:p w14:paraId="57B1E255" w14:textId="77777777" w:rsidR="00EA458C" w:rsidRDefault="00EA458C" w:rsidP="00FA1A82">
      <w:pPr>
        <w:pStyle w:val="Bullet1"/>
        <w:spacing w:before="0" w:after="120" w:line="240" w:lineRule="auto"/>
      </w:pPr>
      <w:r>
        <w:t>support a reduction in restrictive practices</w:t>
      </w:r>
    </w:p>
    <w:p w14:paraId="5E44B5D0" w14:textId="77777777" w:rsidR="00EA458C" w:rsidRDefault="00EA458C" w:rsidP="00FA1A82">
      <w:pPr>
        <w:pStyle w:val="Bullet1"/>
        <w:spacing w:before="0" w:after="120" w:line="240" w:lineRule="auto"/>
      </w:pPr>
      <w:r>
        <w:t>reduce the risk that people will inadvertently take action that constitutes a breach.</w:t>
      </w:r>
    </w:p>
    <w:p w14:paraId="0CFFCBBA" w14:textId="77777777" w:rsidR="00EA458C" w:rsidRDefault="00EA458C" w:rsidP="00EA458C">
      <w:pPr>
        <w:suppressAutoHyphens w:val="0"/>
        <w:spacing w:before="120" w:after="120" w:line="240" w:lineRule="auto"/>
      </w:pPr>
      <w:r>
        <w:t>Having provided advice or guidance to achieve compliance and being satisfied a provider has taken timely and satisfactory steps to remedy a breach we may decide to take no further action. If a provider is not making timely progress to rectify non-compliance we will consider what additional action may be required to ensure the provider meets their responsibilities.</w:t>
      </w:r>
    </w:p>
    <w:p w14:paraId="4C3745E8" w14:textId="77777777" w:rsidR="00A54967" w:rsidRDefault="00A54967">
      <w:pPr>
        <w:suppressAutoHyphens w:val="0"/>
        <w:spacing w:before="120" w:after="120" w:line="240" w:lineRule="auto"/>
      </w:pPr>
      <w:r>
        <w:br w:type="page"/>
      </w:r>
    </w:p>
    <w:p w14:paraId="7F81BCFA" w14:textId="77777777" w:rsidR="00EA458C" w:rsidRDefault="00EA458C" w:rsidP="00A54967">
      <w:pPr>
        <w:pStyle w:val="Heading1"/>
      </w:pPr>
      <w:bookmarkStart w:id="87" w:name="_Toc112642147"/>
      <w:r>
        <w:lastRenderedPageBreak/>
        <w:t>Appendix D: Compliance</w:t>
      </w:r>
      <w:bookmarkEnd w:id="87"/>
    </w:p>
    <w:p w14:paraId="2F3BD202" w14:textId="77777777" w:rsidR="00EA458C" w:rsidRDefault="00EA458C" w:rsidP="00EA458C">
      <w:pPr>
        <w:suppressAutoHyphens w:val="0"/>
        <w:spacing w:before="120" w:after="120" w:line="240" w:lineRule="auto"/>
      </w:pPr>
      <w:r>
        <w:t>This Plan has been prepared in accordance with the requirements and guidance of:</w:t>
      </w:r>
    </w:p>
    <w:p w14:paraId="24F47510" w14:textId="77777777" w:rsidR="00EA458C" w:rsidRDefault="00EA458C" w:rsidP="00A54967">
      <w:pPr>
        <w:pStyle w:val="Bullet1"/>
      </w:pPr>
      <w:r>
        <w:t>subsection 35(1) of the PGPA Act</w:t>
      </w:r>
    </w:p>
    <w:p w14:paraId="513BB496" w14:textId="77777777" w:rsidR="00EA458C" w:rsidRDefault="00EA458C" w:rsidP="00A54967">
      <w:pPr>
        <w:pStyle w:val="Bullet1"/>
      </w:pPr>
      <w:r>
        <w:t>the PGPA Rule</w:t>
      </w:r>
    </w:p>
    <w:p w14:paraId="7A8BCD28" w14:textId="77777777" w:rsidR="00EA458C" w:rsidRDefault="00EA458C" w:rsidP="00A54967">
      <w:pPr>
        <w:pStyle w:val="Bullet1"/>
      </w:pPr>
      <w:r>
        <w:t>Resource Management Guide 132 (Corporate Plans for Commonwealth entities).</w:t>
      </w:r>
    </w:p>
    <w:p w14:paraId="604A8299" w14:textId="77777777" w:rsidR="00EA458C" w:rsidRDefault="00EA458C" w:rsidP="00A54967">
      <w:pPr>
        <w:pStyle w:val="Bullet1"/>
      </w:pPr>
      <w:r>
        <w:t>Regulator Performance Guide 2021</w:t>
      </w:r>
    </w:p>
    <w:p w14:paraId="25810638" w14:textId="77777777" w:rsidR="00EA458C" w:rsidRDefault="00EA458C" w:rsidP="00EA458C">
      <w:pPr>
        <w:suppressAutoHyphens w:val="0"/>
        <w:spacing w:before="120" w:after="120" w:line="240" w:lineRule="auto"/>
      </w:pPr>
      <w:r>
        <w:t>The table below details the requirements as set out in the table at subsection 16E(2) of the PGPA Rule, and provides page references for where each has been met by the NDIS Commission in this Corporate Plan.</w:t>
      </w:r>
    </w:p>
    <w:tbl>
      <w:tblPr>
        <w:tblW w:w="8789" w:type="dxa"/>
        <w:tblLayout w:type="fixed"/>
        <w:tblCellMar>
          <w:left w:w="0" w:type="dxa"/>
          <w:right w:w="0" w:type="dxa"/>
        </w:tblCellMar>
        <w:tblLook w:val="01E0" w:firstRow="1" w:lastRow="1" w:firstColumn="1" w:lastColumn="1" w:noHBand="0" w:noVBand="0"/>
      </w:tblPr>
      <w:tblGrid>
        <w:gridCol w:w="6237"/>
        <w:gridCol w:w="2552"/>
      </w:tblGrid>
      <w:tr w:rsidR="00F445AD" w14:paraId="69E6AFAF" w14:textId="77777777" w:rsidTr="00F445AD">
        <w:trPr>
          <w:trHeight w:val="546"/>
        </w:trPr>
        <w:tc>
          <w:tcPr>
            <w:tcW w:w="6237" w:type="dxa"/>
            <w:tcBorders>
              <w:top w:val="single" w:sz="18" w:space="0" w:color="602167"/>
              <w:bottom w:val="single" w:sz="6" w:space="0" w:color="5F636A"/>
            </w:tcBorders>
            <w:shd w:val="clear" w:color="auto" w:fill="EFEFF1"/>
          </w:tcPr>
          <w:p w14:paraId="61D855A1" w14:textId="77777777" w:rsidR="00F445AD" w:rsidRPr="00F445AD" w:rsidRDefault="00F445AD" w:rsidP="00DB1054">
            <w:pPr>
              <w:ind w:left="142"/>
              <w:rPr>
                <w:color w:val="612C69"/>
                <w:sz w:val="24"/>
                <w:szCs w:val="24"/>
              </w:rPr>
            </w:pPr>
            <w:r w:rsidRPr="00F445AD">
              <w:rPr>
                <w:color w:val="612C69"/>
                <w:sz w:val="24"/>
                <w:szCs w:val="24"/>
              </w:rPr>
              <w:t>Requirements</w:t>
            </w:r>
          </w:p>
        </w:tc>
        <w:tc>
          <w:tcPr>
            <w:tcW w:w="2552" w:type="dxa"/>
            <w:tcBorders>
              <w:top w:val="single" w:sz="18" w:space="0" w:color="602167"/>
              <w:bottom w:val="single" w:sz="6" w:space="0" w:color="5F636A"/>
            </w:tcBorders>
            <w:shd w:val="clear" w:color="auto" w:fill="EFEFF1"/>
          </w:tcPr>
          <w:p w14:paraId="4359DFAC" w14:textId="77777777" w:rsidR="00F445AD" w:rsidRPr="00F445AD" w:rsidRDefault="00F445AD" w:rsidP="00F445AD">
            <w:pPr>
              <w:rPr>
                <w:color w:val="612C69"/>
                <w:sz w:val="24"/>
                <w:szCs w:val="24"/>
              </w:rPr>
            </w:pPr>
            <w:r w:rsidRPr="00F445AD">
              <w:rPr>
                <w:color w:val="612C69"/>
                <w:sz w:val="24"/>
                <w:szCs w:val="24"/>
              </w:rPr>
              <w:t>Page(s)</w:t>
            </w:r>
          </w:p>
        </w:tc>
      </w:tr>
      <w:tr w:rsidR="00F445AD" w14:paraId="3A8B44D7" w14:textId="77777777" w:rsidTr="00F445AD">
        <w:trPr>
          <w:trHeight w:val="1400"/>
        </w:trPr>
        <w:tc>
          <w:tcPr>
            <w:tcW w:w="6237" w:type="dxa"/>
            <w:tcBorders>
              <w:top w:val="single" w:sz="6" w:space="0" w:color="5F636A"/>
              <w:bottom w:val="single" w:sz="4" w:space="0" w:color="5F636A"/>
            </w:tcBorders>
          </w:tcPr>
          <w:p w14:paraId="51EEC37C" w14:textId="7C4D42FA" w:rsidR="00DB1054" w:rsidRPr="00DB1054" w:rsidRDefault="008A012F" w:rsidP="00DB1054">
            <w:pPr>
              <w:pStyle w:val="TableParagraph"/>
              <w:spacing w:before="120"/>
              <w:ind w:left="142"/>
              <w:rPr>
                <w:rFonts w:asciiTheme="minorHAnsi" w:hAnsiTheme="minorHAnsi"/>
                <w:color w:val="612C69"/>
              </w:rPr>
            </w:pPr>
            <w:hyperlink w:anchor="_Introduction" w:tooltip="Introduction" w:history="1">
              <w:r w:rsidR="00DB1054" w:rsidRPr="00A40642">
                <w:rPr>
                  <w:rStyle w:val="Hyperlink"/>
                  <w:rFonts w:asciiTheme="minorHAnsi" w:hAnsiTheme="minorHAnsi"/>
                </w:rPr>
                <w:t>Introduction</w:t>
              </w:r>
            </w:hyperlink>
          </w:p>
          <w:p w14:paraId="4FCE5000" w14:textId="77777777" w:rsidR="00DB1054" w:rsidRPr="00DB1054" w:rsidRDefault="00DB1054" w:rsidP="00DB1054">
            <w:pPr>
              <w:pStyle w:val="Bullet1"/>
              <w:spacing w:before="0" w:after="0" w:line="240" w:lineRule="auto"/>
            </w:pPr>
            <w:r w:rsidRPr="00DB1054">
              <w:t>Statement of preparation</w:t>
            </w:r>
          </w:p>
          <w:p w14:paraId="38DFF5AE" w14:textId="77777777" w:rsidR="00DB1054" w:rsidRPr="00DB1054" w:rsidRDefault="00DB1054" w:rsidP="00DB1054">
            <w:pPr>
              <w:pStyle w:val="Bullet1"/>
              <w:spacing w:before="0" w:after="0" w:line="240" w:lineRule="auto"/>
            </w:pPr>
            <w:r w:rsidRPr="00DB1054">
              <w:t>The reporting period for which the plan is prepared</w:t>
            </w:r>
          </w:p>
          <w:p w14:paraId="02E0DA59" w14:textId="77777777" w:rsidR="00F445AD" w:rsidRPr="005A52E5" w:rsidRDefault="00DB1054" w:rsidP="00DB1054">
            <w:pPr>
              <w:pStyle w:val="Bullet1"/>
              <w:spacing w:before="0" w:after="0" w:line="240" w:lineRule="auto"/>
            </w:pPr>
            <w:r w:rsidRPr="00DB1054">
              <w:t>The reporting periods covered by the plan</w:t>
            </w:r>
          </w:p>
        </w:tc>
        <w:tc>
          <w:tcPr>
            <w:tcW w:w="2552" w:type="dxa"/>
            <w:tcBorders>
              <w:top w:val="single" w:sz="6" w:space="0" w:color="5F636A"/>
              <w:bottom w:val="single" w:sz="4" w:space="0" w:color="5F636A"/>
            </w:tcBorders>
          </w:tcPr>
          <w:p w14:paraId="07253C69" w14:textId="755B9D1A" w:rsidR="00F445AD" w:rsidRPr="00495D2F" w:rsidRDefault="008A012F" w:rsidP="00875A29">
            <w:pPr>
              <w:spacing w:before="60" w:after="120" w:line="240" w:lineRule="auto"/>
            </w:pPr>
            <w:hyperlink w:anchor="_Introduction" w:tooltip="Introduction page 3" w:history="1">
              <w:r w:rsidR="00A40642" w:rsidRPr="00A40642">
                <w:rPr>
                  <w:rStyle w:val="Hyperlink"/>
                </w:rPr>
                <w:t>3</w:t>
              </w:r>
            </w:hyperlink>
          </w:p>
        </w:tc>
      </w:tr>
      <w:tr w:rsidR="00F445AD" w14:paraId="1FD841E5" w14:textId="77777777" w:rsidTr="00F101A6">
        <w:trPr>
          <w:trHeight w:val="907"/>
        </w:trPr>
        <w:tc>
          <w:tcPr>
            <w:tcW w:w="6237" w:type="dxa"/>
            <w:tcBorders>
              <w:top w:val="single" w:sz="6" w:space="0" w:color="5F636A"/>
              <w:bottom w:val="single" w:sz="4" w:space="0" w:color="5F636A"/>
            </w:tcBorders>
          </w:tcPr>
          <w:p w14:paraId="0BDCBB86" w14:textId="01EC136A" w:rsidR="00F445AD" w:rsidRPr="00DB1054" w:rsidRDefault="008A012F" w:rsidP="00875A29">
            <w:pPr>
              <w:pStyle w:val="TableParagraph"/>
              <w:spacing w:before="60" w:after="120"/>
              <w:ind w:left="142"/>
              <w:rPr>
                <w:rFonts w:asciiTheme="minorHAnsi" w:hAnsiTheme="minorHAnsi"/>
                <w:color w:val="612C69"/>
              </w:rPr>
            </w:pPr>
            <w:hyperlink w:anchor="_Our_purpose" w:tooltip="Our purpose" w:history="1">
              <w:r w:rsidR="00DB1054" w:rsidRPr="003E1AB2">
                <w:rPr>
                  <w:rStyle w:val="Hyperlink"/>
                  <w:rFonts w:asciiTheme="minorHAnsi" w:hAnsiTheme="minorHAnsi"/>
                </w:rPr>
                <w:t>Purposes</w:t>
              </w:r>
            </w:hyperlink>
          </w:p>
        </w:tc>
        <w:tc>
          <w:tcPr>
            <w:tcW w:w="2552" w:type="dxa"/>
            <w:tcBorders>
              <w:top w:val="single" w:sz="6" w:space="0" w:color="5F636A"/>
              <w:bottom w:val="single" w:sz="4" w:space="0" w:color="5F636A"/>
            </w:tcBorders>
          </w:tcPr>
          <w:p w14:paraId="2E12BC8D" w14:textId="7CA750AF" w:rsidR="00F445AD" w:rsidRPr="00495D2F" w:rsidRDefault="008A012F" w:rsidP="00875A29">
            <w:pPr>
              <w:spacing w:before="60" w:after="120" w:line="240" w:lineRule="auto"/>
            </w:pPr>
            <w:hyperlink w:anchor="_Our_purpose" w:tooltip="Our purpose, page 7" w:history="1">
              <w:r w:rsidR="003E1AB2" w:rsidRPr="003E1AB2">
                <w:rPr>
                  <w:rStyle w:val="Hyperlink"/>
                </w:rPr>
                <w:t>7</w:t>
              </w:r>
            </w:hyperlink>
          </w:p>
        </w:tc>
      </w:tr>
      <w:tr w:rsidR="00F445AD" w14:paraId="5B8980EC" w14:textId="77777777" w:rsidTr="00F101A6">
        <w:trPr>
          <w:trHeight w:val="907"/>
        </w:trPr>
        <w:tc>
          <w:tcPr>
            <w:tcW w:w="6237" w:type="dxa"/>
            <w:tcBorders>
              <w:top w:val="single" w:sz="6" w:space="0" w:color="5F636A"/>
              <w:bottom w:val="single" w:sz="4" w:space="0" w:color="5F636A"/>
            </w:tcBorders>
          </w:tcPr>
          <w:p w14:paraId="4664AB68" w14:textId="7D9B583E" w:rsidR="00F445AD" w:rsidRPr="00DB1054" w:rsidRDefault="008A012F" w:rsidP="00875A29">
            <w:pPr>
              <w:pStyle w:val="TableParagraph"/>
              <w:spacing w:before="60" w:after="120"/>
              <w:ind w:left="142"/>
              <w:rPr>
                <w:rFonts w:asciiTheme="minorHAnsi" w:hAnsiTheme="minorHAnsi"/>
                <w:color w:val="612C69"/>
              </w:rPr>
            </w:pPr>
            <w:hyperlink w:anchor="_Key_activities" w:tooltip="Key activities" w:history="1">
              <w:r w:rsidR="00DB1054" w:rsidRPr="003E1AB2">
                <w:rPr>
                  <w:rStyle w:val="Hyperlink"/>
                  <w:rFonts w:asciiTheme="minorHAnsi" w:hAnsiTheme="minorHAnsi"/>
                </w:rPr>
                <w:t>Key activities</w:t>
              </w:r>
            </w:hyperlink>
          </w:p>
        </w:tc>
        <w:tc>
          <w:tcPr>
            <w:tcW w:w="2552" w:type="dxa"/>
            <w:tcBorders>
              <w:top w:val="single" w:sz="6" w:space="0" w:color="5F636A"/>
              <w:bottom w:val="single" w:sz="4" w:space="0" w:color="5F636A"/>
            </w:tcBorders>
          </w:tcPr>
          <w:p w14:paraId="1F109DFC" w14:textId="5CF15767" w:rsidR="00F445AD" w:rsidRPr="00495D2F" w:rsidRDefault="008A012F" w:rsidP="00875A29">
            <w:pPr>
              <w:spacing w:before="60" w:after="120" w:line="240" w:lineRule="auto"/>
            </w:pPr>
            <w:hyperlink w:anchor="_Key_activities" w:tooltip="Key activities, pages 15-16" w:history="1">
              <w:r w:rsidR="003E1AB2" w:rsidRPr="003E1AB2">
                <w:rPr>
                  <w:rStyle w:val="Hyperlink"/>
                </w:rPr>
                <w:t>15-16</w:t>
              </w:r>
            </w:hyperlink>
          </w:p>
        </w:tc>
      </w:tr>
      <w:tr w:rsidR="00F445AD" w14:paraId="65BEC828" w14:textId="77777777" w:rsidTr="00F445AD">
        <w:trPr>
          <w:trHeight w:val="1400"/>
        </w:trPr>
        <w:tc>
          <w:tcPr>
            <w:tcW w:w="6237" w:type="dxa"/>
            <w:tcBorders>
              <w:top w:val="single" w:sz="6" w:space="0" w:color="5F636A"/>
              <w:bottom w:val="single" w:sz="4" w:space="0" w:color="5F636A"/>
            </w:tcBorders>
          </w:tcPr>
          <w:p w14:paraId="4523B64D" w14:textId="54FCC09B" w:rsidR="00DB1054" w:rsidRPr="00DB1054" w:rsidRDefault="008A012F" w:rsidP="00DB1054">
            <w:pPr>
              <w:pStyle w:val="TableParagraph"/>
              <w:spacing w:before="60" w:after="120"/>
              <w:ind w:left="142"/>
              <w:rPr>
                <w:rFonts w:asciiTheme="minorHAnsi" w:hAnsiTheme="minorHAnsi"/>
                <w:color w:val="612C69"/>
              </w:rPr>
            </w:pPr>
            <w:hyperlink w:anchor="_Operating_context" w:history="1">
              <w:r w:rsidR="00DB1054" w:rsidRPr="003E1AB2">
                <w:rPr>
                  <w:rStyle w:val="Hyperlink"/>
                  <w:rFonts w:asciiTheme="minorHAnsi" w:hAnsiTheme="minorHAnsi"/>
                </w:rPr>
                <w:t>Operating context</w:t>
              </w:r>
            </w:hyperlink>
          </w:p>
          <w:p w14:paraId="06157647" w14:textId="77777777" w:rsidR="00DB1054" w:rsidRPr="00DB1054" w:rsidRDefault="00DB1054" w:rsidP="00DB1054">
            <w:pPr>
              <w:pStyle w:val="Bullet1"/>
              <w:spacing w:before="0" w:after="0" w:line="240" w:lineRule="auto"/>
            </w:pPr>
            <w:r w:rsidRPr="00DB1054">
              <w:t>Environment</w:t>
            </w:r>
          </w:p>
          <w:p w14:paraId="00672E28" w14:textId="77777777" w:rsidR="00DB1054" w:rsidRPr="00DB1054" w:rsidRDefault="00DB1054" w:rsidP="00DB1054">
            <w:pPr>
              <w:pStyle w:val="Bullet1"/>
              <w:spacing w:before="0" w:after="0" w:line="240" w:lineRule="auto"/>
            </w:pPr>
            <w:r w:rsidRPr="00DB1054">
              <w:t>Capability</w:t>
            </w:r>
          </w:p>
          <w:p w14:paraId="11625607" w14:textId="77777777" w:rsidR="00DB1054" w:rsidRPr="00DB1054" w:rsidRDefault="00DB1054" w:rsidP="00DB1054">
            <w:pPr>
              <w:pStyle w:val="Bullet1"/>
              <w:spacing w:before="0" w:after="0" w:line="240" w:lineRule="auto"/>
            </w:pPr>
            <w:r w:rsidRPr="00DB1054">
              <w:t>Risk oversight and management, including key risks</w:t>
            </w:r>
          </w:p>
          <w:p w14:paraId="048B0571" w14:textId="77777777" w:rsidR="00DB1054" w:rsidRPr="00DB1054" w:rsidRDefault="00DB1054" w:rsidP="00DB1054">
            <w:pPr>
              <w:pStyle w:val="Bullet1"/>
              <w:spacing w:before="0" w:after="0" w:line="240" w:lineRule="auto"/>
            </w:pPr>
            <w:r w:rsidRPr="00DB1054">
              <w:t>and its management</w:t>
            </w:r>
          </w:p>
          <w:p w14:paraId="645C790D" w14:textId="77777777" w:rsidR="00DB1054" w:rsidRPr="00DB1054" w:rsidRDefault="00DB1054" w:rsidP="00DB1054">
            <w:pPr>
              <w:pStyle w:val="Bullet1"/>
              <w:spacing w:before="0" w:after="0" w:line="240" w:lineRule="auto"/>
            </w:pPr>
            <w:r w:rsidRPr="00DB1054">
              <w:t>Cooperation</w:t>
            </w:r>
          </w:p>
          <w:p w14:paraId="4A9CD22D" w14:textId="77777777" w:rsidR="00F445AD" w:rsidRPr="005A52E5" w:rsidRDefault="00DB1054" w:rsidP="00DB1054">
            <w:pPr>
              <w:pStyle w:val="Bullet1"/>
              <w:spacing w:before="0" w:after="120" w:line="240" w:lineRule="auto"/>
            </w:pPr>
            <w:r w:rsidRPr="00DB1054">
              <w:t>Subsidiaries (where applicable)</w:t>
            </w:r>
          </w:p>
        </w:tc>
        <w:tc>
          <w:tcPr>
            <w:tcW w:w="2552" w:type="dxa"/>
            <w:tcBorders>
              <w:top w:val="single" w:sz="6" w:space="0" w:color="5F636A"/>
              <w:bottom w:val="single" w:sz="4" w:space="0" w:color="5F636A"/>
            </w:tcBorders>
          </w:tcPr>
          <w:p w14:paraId="7D37EE52" w14:textId="4E70F1A8" w:rsidR="00F445AD" w:rsidRPr="00495D2F" w:rsidRDefault="008A012F" w:rsidP="00875A29">
            <w:pPr>
              <w:spacing w:before="60" w:after="120" w:line="240" w:lineRule="auto"/>
            </w:pPr>
            <w:hyperlink w:anchor="_Operating_context" w:tooltip="Operating context, pages 9-14" w:history="1">
              <w:r w:rsidR="003E1AB2" w:rsidRPr="003E1AB2">
                <w:rPr>
                  <w:rStyle w:val="Hyperlink"/>
                </w:rPr>
                <w:t>9-14</w:t>
              </w:r>
            </w:hyperlink>
          </w:p>
        </w:tc>
      </w:tr>
      <w:tr w:rsidR="00F445AD" w14:paraId="3281F003" w14:textId="77777777" w:rsidTr="00F445AD">
        <w:trPr>
          <w:trHeight w:val="1178"/>
        </w:trPr>
        <w:tc>
          <w:tcPr>
            <w:tcW w:w="6237" w:type="dxa"/>
            <w:tcBorders>
              <w:top w:val="single" w:sz="4" w:space="0" w:color="5F636A"/>
              <w:bottom w:val="single" w:sz="12" w:space="0" w:color="0D0D0D" w:themeColor="text1" w:themeTint="F2"/>
            </w:tcBorders>
          </w:tcPr>
          <w:tbl>
            <w:tblPr>
              <w:tblW w:w="7483" w:type="dxa"/>
              <w:tblBorders>
                <w:top w:val="nil"/>
                <w:left w:val="nil"/>
                <w:bottom w:val="nil"/>
                <w:right w:val="nil"/>
              </w:tblBorders>
              <w:tblLayout w:type="fixed"/>
              <w:tblLook w:val="0000" w:firstRow="0" w:lastRow="0" w:firstColumn="0" w:lastColumn="0" w:noHBand="0" w:noVBand="0"/>
            </w:tblPr>
            <w:tblGrid>
              <w:gridCol w:w="7483"/>
            </w:tblGrid>
            <w:tr w:rsidR="00DB1054" w14:paraId="1189F24A" w14:textId="77777777" w:rsidTr="00DB1054">
              <w:trPr>
                <w:trHeight w:val="597"/>
              </w:trPr>
              <w:tc>
                <w:tcPr>
                  <w:tcW w:w="7483" w:type="dxa"/>
                </w:tcPr>
                <w:p w14:paraId="631196D9" w14:textId="1D0E39A8" w:rsidR="00DB1054" w:rsidRDefault="008A012F" w:rsidP="00DB1054">
                  <w:pPr>
                    <w:pStyle w:val="TableParagraph"/>
                    <w:spacing w:before="60" w:after="120"/>
                    <w:ind w:left="0"/>
                    <w:rPr>
                      <w:rFonts w:cs="FS Me"/>
                      <w:color w:val="5E2065"/>
                    </w:rPr>
                  </w:pPr>
                  <w:hyperlink w:anchor="_Performance_metrics" w:tooltip="Performance " w:history="1">
                    <w:r w:rsidR="00DB1054" w:rsidRPr="003E1AB2">
                      <w:rPr>
                        <w:rStyle w:val="Hyperlink"/>
                        <w:rFonts w:asciiTheme="minorHAnsi" w:hAnsiTheme="minorHAnsi"/>
                      </w:rPr>
                      <w:t xml:space="preserve">Performance </w:t>
                    </w:r>
                  </w:hyperlink>
                </w:p>
                <w:p w14:paraId="34D4E763" w14:textId="77777777" w:rsidR="00DB1054" w:rsidRDefault="00DB1054" w:rsidP="00DB1054">
                  <w:pPr>
                    <w:pStyle w:val="Bullet1"/>
                    <w:spacing w:before="0" w:after="0" w:line="240" w:lineRule="auto"/>
                  </w:pPr>
                  <w:r>
                    <w:t xml:space="preserve">Performance measures </w:t>
                  </w:r>
                </w:p>
                <w:p w14:paraId="66BD91A9" w14:textId="77777777" w:rsidR="00DB1054" w:rsidRPr="00DB1054" w:rsidRDefault="00DB1054" w:rsidP="00DB1054">
                  <w:pPr>
                    <w:pStyle w:val="Bullet1"/>
                    <w:spacing w:before="0" w:after="120" w:line="240" w:lineRule="auto"/>
                  </w:pPr>
                  <w:r>
                    <w:t xml:space="preserve">Targets for each performance measures (if reasonably practicable to set a target) </w:t>
                  </w:r>
                </w:p>
              </w:tc>
            </w:tr>
          </w:tbl>
          <w:p w14:paraId="7420B7F4" w14:textId="77777777" w:rsidR="00F445AD" w:rsidRPr="005A52E5" w:rsidRDefault="00F445AD" w:rsidP="00875A29">
            <w:pPr>
              <w:pStyle w:val="TableParagraph"/>
              <w:spacing w:before="60" w:after="120"/>
              <w:ind w:left="142"/>
              <w:rPr>
                <w:rFonts w:asciiTheme="minorHAnsi" w:hAnsiTheme="minorHAnsi"/>
              </w:rPr>
            </w:pPr>
          </w:p>
        </w:tc>
        <w:tc>
          <w:tcPr>
            <w:tcW w:w="2552" w:type="dxa"/>
            <w:tcBorders>
              <w:top w:val="single" w:sz="4" w:space="0" w:color="5F636A"/>
              <w:bottom w:val="single" w:sz="12" w:space="0" w:color="0D0D0D" w:themeColor="text1" w:themeTint="F2"/>
            </w:tcBorders>
          </w:tcPr>
          <w:p w14:paraId="263DF8E3" w14:textId="46F467D1" w:rsidR="00F445AD" w:rsidRPr="00495D2F" w:rsidRDefault="008A012F" w:rsidP="00875A29">
            <w:pPr>
              <w:spacing w:before="60" w:after="120" w:line="240" w:lineRule="auto"/>
            </w:pPr>
            <w:hyperlink w:anchor="_Performance_metrics" w:tooltip="Performance, pages 22-27" w:history="1">
              <w:r w:rsidR="003E1AB2" w:rsidRPr="003E1AB2">
                <w:rPr>
                  <w:rStyle w:val="Hyperlink"/>
                </w:rPr>
                <w:t>22-27</w:t>
              </w:r>
            </w:hyperlink>
          </w:p>
        </w:tc>
      </w:tr>
    </w:tbl>
    <w:p w14:paraId="3DE16ADF" w14:textId="77777777" w:rsidR="00DB1054" w:rsidRDefault="00DB1054" w:rsidP="00EA458C">
      <w:pPr>
        <w:suppressAutoHyphens w:val="0"/>
        <w:spacing w:before="120" w:after="120" w:line="240" w:lineRule="auto"/>
      </w:pPr>
    </w:p>
    <w:p w14:paraId="0BCDC74E" w14:textId="77777777" w:rsidR="00DB1054" w:rsidRDefault="00DB1054">
      <w:pPr>
        <w:suppressAutoHyphens w:val="0"/>
        <w:spacing w:before="120" w:after="120" w:line="240" w:lineRule="auto"/>
      </w:pPr>
      <w:r>
        <w:br w:type="page"/>
      </w:r>
    </w:p>
    <w:p w14:paraId="7063AA17" w14:textId="77777777" w:rsidR="00EA458C" w:rsidRDefault="00EA458C" w:rsidP="00DB1054">
      <w:pPr>
        <w:pStyle w:val="Heading1"/>
      </w:pPr>
      <w:bookmarkStart w:id="88" w:name="_Toc112642148"/>
      <w:r>
        <w:lastRenderedPageBreak/>
        <w:t>Glossary</w:t>
      </w:r>
      <w:bookmarkEnd w:id="88"/>
    </w:p>
    <w:p w14:paraId="3A811B62" w14:textId="77777777" w:rsidR="006E1AC9" w:rsidRDefault="00EA458C" w:rsidP="00B14FC8">
      <w:pPr>
        <w:pStyle w:val="Heading2"/>
      </w:pPr>
      <w:bookmarkStart w:id="89" w:name="_Toc112642149"/>
      <w:r>
        <w:t>Terms</w:t>
      </w:r>
      <w:bookmarkEnd w:id="89"/>
    </w:p>
    <w:tbl>
      <w:tblPr>
        <w:tblW w:w="8898" w:type="dxa"/>
        <w:tblLayout w:type="fixed"/>
        <w:tblCellMar>
          <w:left w:w="0" w:type="dxa"/>
          <w:right w:w="0" w:type="dxa"/>
        </w:tblCellMar>
        <w:tblLook w:val="01E0" w:firstRow="1" w:lastRow="1" w:firstColumn="1" w:lastColumn="1" w:noHBand="0" w:noVBand="0"/>
      </w:tblPr>
      <w:tblGrid>
        <w:gridCol w:w="2520"/>
        <w:gridCol w:w="6378"/>
      </w:tblGrid>
      <w:tr w:rsidR="00B14FC8" w14:paraId="0BBD2028" w14:textId="77777777" w:rsidTr="00B14FC8">
        <w:trPr>
          <w:cantSplit/>
          <w:trHeight w:val="546"/>
          <w:tblHeader/>
        </w:trPr>
        <w:tc>
          <w:tcPr>
            <w:tcW w:w="2520" w:type="dxa"/>
            <w:tcBorders>
              <w:top w:val="single" w:sz="18" w:space="0" w:color="602167"/>
              <w:bottom w:val="single" w:sz="6" w:space="0" w:color="5F636A"/>
            </w:tcBorders>
            <w:shd w:val="clear" w:color="auto" w:fill="EFEFF1"/>
          </w:tcPr>
          <w:p w14:paraId="06044F27" w14:textId="77777777" w:rsidR="00B14FC8" w:rsidRPr="00B14FC8" w:rsidRDefault="00B14FC8" w:rsidP="00875A29">
            <w:pPr>
              <w:pStyle w:val="TableParagraph"/>
              <w:spacing w:before="136"/>
              <w:ind w:left="56"/>
              <w:rPr>
                <w:rFonts w:asciiTheme="minorHAnsi" w:hAnsiTheme="minorHAnsi"/>
                <w:b/>
                <w:sz w:val="24"/>
              </w:rPr>
            </w:pPr>
            <w:bookmarkStart w:id="90" w:name="ColumnTitle_15"/>
            <w:r w:rsidRPr="00B14FC8">
              <w:rPr>
                <w:rFonts w:asciiTheme="minorHAnsi" w:hAnsiTheme="minorHAnsi"/>
                <w:b/>
                <w:color w:val="602167"/>
                <w:sz w:val="24"/>
              </w:rPr>
              <w:t>Term</w:t>
            </w:r>
          </w:p>
        </w:tc>
        <w:tc>
          <w:tcPr>
            <w:tcW w:w="6378" w:type="dxa"/>
            <w:tcBorders>
              <w:top w:val="single" w:sz="18" w:space="0" w:color="602167"/>
              <w:bottom w:val="single" w:sz="6" w:space="0" w:color="5F636A"/>
            </w:tcBorders>
            <w:shd w:val="clear" w:color="auto" w:fill="EFEFF1"/>
          </w:tcPr>
          <w:p w14:paraId="6E5D48C2" w14:textId="77777777" w:rsidR="00B14FC8" w:rsidRPr="00B14FC8" w:rsidRDefault="00B14FC8" w:rsidP="00875A29">
            <w:pPr>
              <w:pStyle w:val="TableParagraph"/>
              <w:spacing w:before="136"/>
              <w:ind w:left="344"/>
              <w:rPr>
                <w:rFonts w:asciiTheme="minorHAnsi" w:hAnsiTheme="minorHAnsi"/>
                <w:b/>
                <w:sz w:val="24"/>
              </w:rPr>
            </w:pPr>
            <w:r w:rsidRPr="00B14FC8">
              <w:rPr>
                <w:rFonts w:asciiTheme="minorHAnsi" w:hAnsiTheme="minorHAnsi"/>
                <w:b/>
                <w:color w:val="602167"/>
                <w:sz w:val="24"/>
              </w:rPr>
              <w:t>Definition</w:t>
            </w:r>
          </w:p>
        </w:tc>
      </w:tr>
      <w:bookmarkEnd w:id="90"/>
      <w:tr w:rsidR="00B14FC8" w14:paraId="4AE0D31C" w14:textId="77777777" w:rsidTr="00B14FC8">
        <w:trPr>
          <w:cantSplit/>
          <w:trHeight w:val="608"/>
        </w:trPr>
        <w:tc>
          <w:tcPr>
            <w:tcW w:w="2520" w:type="dxa"/>
            <w:tcBorders>
              <w:top w:val="single" w:sz="6" w:space="0" w:color="5F636A"/>
              <w:bottom w:val="single" w:sz="4" w:space="0" w:color="5F636A"/>
            </w:tcBorders>
          </w:tcPr>
          <w:p w14:paraId="718764BD" w14:textId="77777777" w:rsidR="00B14FC8" w:rsidRPr="00B14FC8" w:rsidRDefault="00B14FC8" w:rsidP="0053652A">
            <w:pPr>
              <w:pStyle w:val="TableParagraph"/>
              <w:rPr>
                <w:rFonts w:asciiTheme="minorHAnsi" w:hAnsiTheme="minorHAnsi"/>
              </w:rPr>
            </w:pPr>
            <w:r w:rsidRPr="00B14FC8">
              <w:rPr>
                <w:rFonts w:asciiTheme="minorHAnsi" w:hAnsiTheme="minorHAnsi"/>
              </w:rPr>
              <w:t>Agency</w:t>
            </w:r>
          </w:p>
        </w:tc>
        <w:tc>
          <w:tcPr>
            <w:tcW w:w="6378" w:type="dxa"/>
            <w:tcBorders>
              <w:top w:val="single" w:sz="6" w:space="0" w:color="5F636A"/>
              <w:bottom w:val="single" w:sz="4" w:space="0" w:color="5F636A"/>
            </w:tcBorders>
          </w:tcPr>
          <w:p w14:paraId="72308810" w14:textId="77777777" w:rsidR="00B14FC8" w:rsidRPr="00B14FC8" w:rsidRDefault="00B14FC8" w:rsidP="0053652A">
            <w:pPr>
              <w:pStyle w:val="TableParagraph"/>
              <w:ind w:left="367"/>
              <w:rPr>
                <w:rFonts w:asciiTheme="minorHAnsi" w:hAnsiTheme="minorHAnsi"/>
              </w:rPr>
            </w:pPr>
            <w:r w:rsidRPr="00B14FC8">
              <w:rPr>
                <w:rFonts w:asciiTheme="minorHAnsi" w:hAnsiTheme="minorHAnsi"/>
              </w:rPr>
              <w:t>The National Disability Insurance Agency (NDIA)</w:t>
            </w:r>
          </w:p>
        </w:tc>
      </w:tr>
      <w:tr w:rsidR="00B14FC8" w14:paraId="395C195C" w14:textId="77777777" w:rsidTr="00B14FC8">
        <w:trPr>
          <w:cantSplit/>
          <w:trHeight w:val="608"/>
        </w:trPr>
        <w:tc>
          <w:tcPr>
            <w:tcW w:w="2520" w:type="dxa"/>
            <w:tcBorders>
              <w:top w:val="single" w:sz="4" w:space="0" w:color="5F636A"/>
              <w:bottom w:val="single" w:sz="4" w:space="0" w:color="5F636A"/>
            </w:tcBorders>
          </w:tcPr>
          <w:p w14:paraId="2E0FB868" w14:textId="77777777" w:rsidR="00B14FC8" w:rsidRPr="00B14FC8" w:rsidRDefault="00B14FC8" w:rsidP="0053652A">
            <w:pPr>
              <w:pStyle w:val="TableParagraph"/>
              <w:rPr>
                <w:rFonts w:asciiTheme="minorHAnsi" w:hAnsiTheme="minorHAnsi"/>
              </w:rPr>
            </w:pPr>
            <w:r w:rsidRPr="00B14FC8">
              <w:rPr>
                <w:rFonts w:asciiTheme="minorHAnsi" w:hAnsiTheme="minorHAnsi"/>
              </w:rPr>
              <w:t>Board</w:t>
            </w:r>
          </w:p>
        </w:tc>
        <w:tc>
          <w:tcPr>
            <w:tcW w:w="6378" w:type="dxa"/>
            <w:tcBorders>
              <w:top w:val="single" w:sz="4" w:space="0" w:color="5F636A"/>
              <w:bottom w:val="single" w:sz="4" w:space="0" w:color="5F636A"/>
            </w:tcBorders>
          </w:tcPr>
          <w:p w14:paraId="2C224274" w14:textId="77777777" w:rsidR="00B14FC8" w:rsidRPr="00B14FC8" w:rsidRDefault="00B14FC8" w:rsidP="0053652A">
            <w:pPr>
              <w:pStyle w:val="TableParagraph"/>
              <w:ind w:left="367"/>
              <w:rPr>
                <w:rFonts w:asciiTheme="minorHAnsi" w:hAnsiTheme="minorHAnsi"/>
              </w:rPr>
            </w:pPr>
            <w:r w:rsidRPr="00B14FC8">
              <w:rPr>
                <w:rFonts w:asciiTheme="minorHAnsi" w:hAnsiTheme="minorHAnsi"/>
              </w:rPr>
              <w:t>The Board of the National Disability Insurance Agency (NDIA)</w:t>
            </w:r>
          </w:p>
        </w:tc>
      </w:tr>
      <w:tr w:rsidR="00B14FC8" w14:paraId="5527B40B" w14:textId="77777777" w:rsidTr="00B14FC8">
        <w:trPr>
          <w:cantSplit/>
          <w:trHeight w:val="608"/>
        </w:trPr>
        <w:tc>
          <w:tcPr>
            <w:tcW w:w="2520" w:type="dxa"/>
            <w:tcBorders>
              <w:top w:val="single" w:sz="4" w:space="0" w:color="5F636A"/>
              <w:bottom w:val="single" w:sz="4" w:space="0" w:color="5F636A"/>
            </w:tcBorders>
          </w:tcPr>
          <w:p w14:paraId="1D45A143" w14:textId="77777777" w:rsidR="00B14FC8" w:rsidRPr="00B14FC8" w:rsidRDefault="00B14FC8" w:rsidP="0053652A">
            <w:pPr>
              <w:pStyle w:val="TableParagraph"/>
              <w:rPr>
                <w:rFonts w:asciiTheme="minorHAnsi" w:hAnsiTheme="minorHAnsi"/>
              </w:rPr>
            </w:pPr>
            <w:r w:rsidRPr="00B14FC8">
              <w:rPr>
                <w:rFonts w:asciiTheme="minorHAnsi" w:hAnsiTheme="minorHAnsi"/>
              </w:rPr>
              <w:t>Commissioner</w:t>
            </w:r>
          </w:p>
        </w:tc>
        <w:tc>
          <w:tcPr>
            <w:tcW w:w="6378" w:type="dxa"/>
            <w:tcBorders>
              <w:top w:val="single" w:sz="4" w:space="0" w:color="5F636A"/>
              <w:bottom w:val="single" w:sz="4" w:space="0" w:color="5F636A"/>
            </w:tcBorders>
          </w:tcPr>
          <w:p w14:paraId="13483BB8" w14:textId="77777777" w:rsidR="00B14FC8" w:rsidRPr="00B14FC8" w:rsidRDefault="00B14FC8" w:rsidP="0053652A">
            <w:pPr>
              <w:pStyle w:val="TableParagraph"/>
              <w:ind w:left="367"/>
              <w:rPr>
                <w:rFonts w:asciiTheme="minorHAnsi" w:hAnsiTheme="minorHAnsi"/>
              </w:rPr>
            </w:pPr>
            <w:r w:rsidRPr="00B14FC8">
              <w:rPr>
                <w:rFonts w:asciiTheme="minorHAnsi" w:hAnsiTheme="minorHAnsi"/>
              </w:rPr>
              <w:t>The NDIS Quality and Safeguards Commissioner</w:t>
            </w:r>
          </w:p>
        </w:tc>
      </w:tr>
      <w:tr w:rsidR="00B14FC8" w14:paraId="182082C2" w14:textId="77777777" w:rsidTr="00B14FC8">
        <w:trPr>
          <w:cantSplit/>
          <w:trHeight w:val="608"/>
        </w:trPr>
        <w:tc>
          <w:tcPr>
            <w:tcW w:w="2520" w:type="dxa"/>
            <w:tcBorders>
              <w:top w:val="single" w:sz="4" w:space="0" w:color="5F636A"/>
              <w:bottom w:val="single" w:sz="4" w:space="0" w:color="5F636A"/>
            </w:tcBorders>
          </w:tcPr>
          <w:p w14:paraId="6F32FEA8" w14:textId="77777777" w:rsidR="00B14FC8" w:rsidRPr="00B14FC8" w:rsidRDefault="00B14FC8" w:rsidP="0053652A">
            <w:pPr>
              <w:pStyle w:val="TableParagraph"/>
              <w:rPr>
                <w:rFonts w:asciiTheme="minorHAnsi" w:hAnsiTheme="minorHAnsi"/>
              </w:rPr>
            </w:pPr>
            <w:r w:rsidRPr="00B14FC8">
              <w:rPr>
                <w:rFonts w:asciiTheme="minorHAnsi" w:hAnsiTheme="minorHAnsi"/>
              </w:rPr>
              <w:t>NDIS Act</w:t>
            </w:r>
          </w:p>
        </w:tc>
        <w:tc>
          <w:tcPr>
            <w:tcW w:w="6378" w:type="dxa"/>
            <w:tcBorders>
              <w:top w:val="single" w:sz="4" w:space="0" w:color="5F636A"/>
              <w:bottom w:val="single" w:sz="4" w:space="0" w:color="5F636A"/>
            </w:tcBorders>
          </w:tcPr>
          <w:p w14:paraId="12606C1E" w14:textId="77777777" w:rsidR="00B14FC8" w:rsidRPr="00B14FC8" w:rsidRDefault="00B14FC8" w:rsidP="0053652A">
            <w:pPr>
              <w:pStyle w:val="TableParagraph"/>
              <w:ind w:left="367"/>
              <w:rPr>
                <w:rFonts w:asciiTheme="minorHAnsi" w:hAnsiTheme="minorHAnsi"/>
              </w:rPr>
            </w:pPr>
            <w:r w:rsidRPr="00B14FC8">
              <w:rPr>
                <w:rFonts w:asciiTheme="minorHAnsi" w:hAnsiTheme="minorHAnsi"/>
              </w:rPr>
              <w:t>The National Disability Insurance Scheme Act 2013 (Cwth)</w:t>
            </w:r>
          </w:p>
        </w:tc>
      </w:tr>
      <w:tr w:rsidR="00B14FC8" w14:paraId="1F3F9AA1" w14:textId="77777777" w:rsidTr="00B14FC8">
        <w:trPr>
          <w:cantSplit/>
          <w:trHeight w:val="608"/>
        </w:trPr>
        <w:tc>
          <w:tcPr>
            <w:tcW w:w="2520" w:type="dxa"/>
            <w:tcBorders>
              <w:top w:val="single" w:sz="4" w:space="0" w:color="5F636A"/>
              <w:bottom w:val="single" w:sz="4" w:space="0" w:color="5F636A"/>
            </w:tcBorders>
          </w:tcPr>
          <w:p w14:paraId="3245075F" w14:textId="77777777" w:rsidR="00B14FC8" w:rsidRPr="00B14FC8" w:rsidRDefault="00B14FC8" w:rsidP="0053652A">
            <w:pPr>
              <w:pStyle w:val="TableParagraph"/>
              <w:rPr>
                <w:rFonts w:asciiTheme="minorHAnsi" w:hAnsiTheme="minorHAnsi"/>
              </w:rPr>
            </w:pPr>
            <w:r w:rsidRPr="00B14FC8">
              <w:rPr>
                <w:rFonts w:asciiTheme="minorHAnsi" w:hAnsiTheme="minorHAnsi"/>
              </w:rPr>
              <w:t>NDIS Commission or Commission</w:t>
            </w:r>
          </w:p>
        </w:tc>
        <w:tc>
          <w:tcPr>
            <w:tcW w:w="6378" w:type="dxa"/>
            <w:tcBorders>
              <w:top w:val="single" w:sz="4" w:space="0" w:color="5F636A"/>
              <w:bottom w:val="single" w:sz="4" w:space="0" w:color="5F636A"/>
            </w:tcBorders>
          </w:tcPr>
          <w:p w14:paraId="1D389883" w14:textId="77777777" w:rsidR="00B14FC8" w:rsidRPr="00B14FC8" w:rsidRDefault="00B14FC8" w:rsidP="0053652A">
            <w:pPr>
              <w:pStyle w:val="TableParagraph"/>
              <w:ind w:left="367"/>
              <w:rPr>
                <w:rFonts w:asciiTheme="minorHAnsi" w:hAnsiTheme="minorHAnsi"/>
              </w:rPr>
            </w:pPr>
            <w:r w:rsidRPr="00B14FC8">
              <w:rPr>
                <w:rFonts w:asciiTheme="minorHAnsi" w:hAnsiTheme="minorHAnsi"/>
              </w:rPr>
              <w:t>The NDIS Quality and Safeguards Commission</w:t>
            </w:r>
          </w:p>
        </w:tc>
      </w:tr>
      <w:tr w:rsidR="00B14FC8" w14:paraId="7E97F9A1" w14:textId="77777777" w:rsidTr="00B14FC8">
        <w:trPr>
          <w:cantSplit/>
          <w:trHeight w:val="608"/>
        </w:trPr>
        <w:tc>
          <w:tcPr>
            <w:tcW w:w="2520" w:type="dxa"/>
            <w:tcBorders>
              <w:top w:val="single" w:sz="4" w:space="0" w:color="5F636A"/>
              <w:bottom w:val="single" w:sz="4" w:space="0" w:color="5F636A"/>
            </w:tcBorders>
          </w:tcPr>
          <w:p w14:paraId="661BDF70" w14:textId="77777777" w:rsidR="00B14FC8" w:rsidRPr="00B14FC8" w:rsidRDefault="00B14FC8" w:rsidP="0053652A">
            <w:pPr>
              <w:pStyle w:val="TableParagraph"/>
              <w:rPr>
                <w:rFonts w:asciiTheme="minorHAnsi" w:hAnsiTheme="minorHAnsi"/>
              </w:rPr>
            </w:pPr>
            <w:r w:rsidRPr="00B14FC8">
              <w:rPr>
                <w:rFonts w:asciiTheme="minorHAnsi" w:hAnsiTheme="minorHAnsi"/>
              </w:rPr>
              <w:t>NDIS Provider Register</w:t>
            </w:r>
          </w:p>
        </w:tc>
        <w:tc>
          <w:tcPr>
            <w:tcW w:w="6378" w:type="dxa"/>
            <w:tcBorders>
              <w:top w:val="single" w:sz="4" w:space="0" w:color="5F636A"/>
              <w:bottom w:val="single" w:sz="4" w:space="0" w:color="5F636A"/>
            </w:tcBorders>
          </w:tcPr>
          <w:p w14:paraId="5657BA6E" w14:textId="77777777" w:rsidR="00B14FC8" w:rsidRPr="00B14FC8" w:rsidRDefault="00B14FC8" w:rsidP="0053652A">
            <w:pPr>
              <w:pStyle w:val="TableParagraph"/>
              <w:ind w:left="367"/>
              <w:rPr>
                <w:rFonts w:asciiTheme="minorHAnsi" w:hAnsiTheme="minorHAnsi"/>
              </w:rPr>
            </w:pPr>
            <w:r w:rsidRPr="00B14FC8">
              <w:rPr>
                <w:rFonts w:asciiTheme="minorHAnsi" w:hAnsiTheme="minorHAnsi"/>
              </w:rPr>
              <w:t>The register maintained under section 73ZS of the NDIS Act</w:t>
            </w:r>
          </w:p>
        </w:tc>
      </w:tr>
      <w:tr w:rsidR="00B14FC8" w14:paraId="37267ADD" w14:textId="77777777" w:rsidTr="00B14FC8">
        <w:trPr>
          <w:cantSplit/>
          <w:trHeight w:val="2192"/>
        </w:trPr>
        <w:tc>
          <w:tcPr>
            <w:tcW w:w="2520" w:type="dxa"/>
            <w:tcBorders>
              <w:top w:val="single" w:sz="4" w:space="0" w:color="5F636A"/>
              <w:bottom w:val="single" w:sz="4" w:space="0" w:color="5F636A"/>
            </w:tcBorders>
          </w:tcPr>
          <w:p w14:paraId="2750965E" w14:textId="77777777" w:rsidR="00B14FC8" w:rsidRPr="00B14FC8" w:rsidRDefault="00B14FC8" w:rsidP="0053652A">
            <w:pPr>
              <w:pStyle w:val="TableParagraph"/>
              <w:rPr>
                <w:rFonts w:asciiTheme="minorHAnsi" w:hAnsiTheme="minorHAnsi"/>
              </w:rPr>
            </w:pPr>
            <w:r w:rsidRPr="00B14FC8">
              <w:rPr>
                <w:rFonts w:asciiTheme="minorHAnsi" w:hAnsiTheme="minorHAnsi"/>
              </w:rPr>
              <w:t>NDIS Worker Screening Check</w:t>
            </w:r>
          </w:p>
        </w:tc>
        <w:tc>
          <w:tcPr>
            <w:tcW w:w="6378" w:type="dxa"/>
            <w:tcBorders>
              <w:top w:val="single" w:sz="4" w:space="0" w:color="5F636A"/>
              <w:bottom w:val="single" w:sz="4" w:space="0" w:color="5F636A"/>
            </w:tcBorders>
          </w:tcPr>
          <w:p w14:paraId="59A557CF" w14:textId="0BA92F1A" w:rsidR="00B14FC8" w:rsidRPr="00B14FC8" w:rsidRDefault="00B14FC8" w:rsidP="0053652A">
            <w:pPr>
              <w:pStyle w:val="TableParagraph"/>
              <w:ind w:left="367" w:right="56"/>
              <w:rPr>
                <w:rFonts w:asciiTheme="minorHAnsi" w:hAnsiTheme="minorHAnsi"/>
              </w:rPr>
            </w:pPr>
            <w:r w:rsidRPr="00B14FC8">
              <w:rPr>
                <w:rFonts w:asciiTheme="minorHAnsi" w:hAnsiTheme="minorHAnsi"/>
              </w:rPr>
              <w:t xml:space="preserve">The NDIS Worker Screening Check is an assessment that determines whether a person who works, or seeks to work, with people with disability poses a risk to them. Workers are either cleared or excluded from working in certain roles with people with </w:t>
            </w:r>
            <w:r w:rsidRPr="00E26C0E">
              <w:rPr>
                <w:rFonts w:asciiTheme="minorHAnsi" w:hAnsiTheme="minorHAnsi"/>
              </w:rPr>
              <w:t>disability.</w:t>
            </w:r>
            <w:r w:rsidRPr="00B14FC8">
              <w:rPr>
                <w:rFonts w:asciiTheme="minorHAnsi" w:hAnsiTheme="minorHAnsi"/>
              </w:rPr>
              <w:t xml:space="preserve"> Worker screening units conduct the checks under state/territory law. The units are contained within state or territory government departments/authorities</w:t>
            </w:r>
          </w:p>
        </w:tc>
      </w:tr>
      <w:tr w:rsidR="00B14FC8" w14:paraId="2BCAE007" w14:textId="77777777" w:rsidTr="00B14FC8">
        <w:trPr>
          <w:cantSplit/>
          <w:trHeight w:val="1136"/>
        </w:trPr>
        <w:tc>
          <w:tcPr>
            <w:tcW w:w="2520" w:type="dxa"/>
            <w:tcBorders>
              <w:top w:val="single" w:sz="4" w:space="0" w:color="5F636A"/>
              <w:bottom w:val="single" w:sz="4" w:space="0" w:color="5F636A"/>
            </w:tcBorders>
          </w:tcPr>
          <w:p w14:paraId="5A4441E1" w14:textId="77777777" w:rsidR="00B14FC8" w:rsidRPr="00B14FC8" w:rsidRDefault="00B14FC8" w:rsidP="0053652A">
            <w:pPr>
              <w:pStyle w:val="TableParagraph"/>
              <w:rPr>
                <w:rFonts w:asciiTheme="minorHAnsi" w:hAnsiTheme="minorHAnsi"/>
              </w:rPr>
            </w:pPr>
            <w:r w:rsidRPr="00B14FC8">
              <w:rPr>
                <w:rFonts w:asciiTheme="minorHAnsi" w:hAnsiTheme="minorHAnsi"/>
              </w:rPr>
              <w:t>NDIS Worker Screening Database</w:t>
            </w:r>
          </w:p>
        </w:tc>
        <w:tc>
          <w:tcPr>
            <w:tcW w:w="6378" w:type="dxa"/>
            <w:tcBorders>
              <w:top w:val="single" w:sz="4" w:space="0" w:color="5F636A"/>
              <w:bottom w:val="single" w:sz="4" w:space="0" w:color="5F636A"/>
            </w:tcBorders>
          </w:tcPr>
          <w:p w14:paraId="07A04D87" w14:textId="77777777" w:rsidR="00B14FC8" w:rsidRPr="00B14FC8" w:rsidRDefault="00B14FC8" w:rsidP="00875A29">
            <w:pPr>
              <w:pStyle w:val="TableParagraph"/>
              <w:ind w:left="367"/>
              <w:rPr>
                <w:rFonts w:asciiTheme="minorHAnsi" w:hAnsiTheme="minorHAnsi"/>
              </w:rPr>
            </w:pPr>
            <w:r w:rsidRPr="00B14FC8">
              <w:rPr>
                <w:rFonts w:asciiTheme="minorHAnsi" w:hAnsiTheme="minorHAnsi"/>
              </w:rPr>
              <w:t>A</w:t>
            </w:r>
            <w:r w:rsidRPr="00B14FC8">
              <w:rPr>
                <w:rFonts w:asciiTheme="minorHAnsi" w:hAnsiTheme="minorHAnsi"/>
                <w:spacing w:val="-16"/>
              </w:rPr>
              <w:t xml:space="preserve"> </w:t>
            </w:r>
            <w:r w:rsidRPr="00B14FC8">
              <w:rPr>
                <w:rFonts w:asciiTheme="minorHAnsi" w:hAnsiTheme="minorHAnsi"/>
              </w:rPr>
              <w:t>register</w:t>
            </w:r>
            <w:r w:rsidRPr="00B14FC8">
              <w:rPr>
                <w:rFonts w:asciiTheme="minorHAnsi" w:hAnsiTheme="minorHAnsi"/>
                <w:spacing w:val="-15"/>
              </w:rPr>
              <w:t xml:space="preserve"> </w:t>
            </w:r>
            <w:r w:rsidRPr="00B14FC8">
              <w:rPr>
                <w:rFonts w:asciiTheme="minorHAnsi" w:hAnsiTheme="minorHAnsi"/>
              </w:rPr>
              <w:t>of</w:t>
            </w:r>
            <w:r w:rsidRPr="00B14FC8">
              <w:rPr>
                <w:rFonts w:asciiTheme="minorHAnsi" w:hAnsiTheme="minorHAnsi"/>
                <w:spacing w:val="-16"/>
              </w:rPr>
              <w:t xml:space="preserve"> </w:t>
            </w:r>
            <w:r w:rsidRPr="00B14FC8">
              <w:rPr>
                <w:rFonts w:asciiTheme="minorHAnsi" w:hAnsiTheme="minorHAnsi"/>
                <w:spacing w:val="-3"/>
              </w:rPr>
              <w:t>NDIS</w:t>
            </w:r>
            <w:r w:rsidRPr="00B14FC8">
              <w:rPr>
                <w:rFonts w:asciiTheme="minorHAnsi" w:hAnsiTheme="minorHAnsi"/>
                <w:spacing w:val="-15"/>
              </w:rPr>
              <w:t xml:space="preserve"> </w:t>
            </w:r>
            <w:r w:rsidRPr="00B14FC8">
              <w:rPr>
                <w:rFonts w:asciiTheme="minorHAnsi" w:hAnsiTheme="minorHAnsi"/>
              </w:rPr>
              <w:t>workers</w:t>
            </w:r>
            <w:r w:rsidRPr="00B14FC8">
              <w:rPr>
                <w:rFonts w:asciiTheme="minorHAnsi" w:hAnsiTheme="minorHAnsi"/>
                <w:spacing w:val="-15"/>
              </w:rPr>
              <w:t xml:space="preserve"> </w:t>
            </w:r>
            <w:r w:rsidRPr="00B14FC8">
              <w:rPr>
                <w:rFonts w:asciiTheme="minorHAnsi" w:hAnsiTheme="minorHAnsi"/>
              </w:rPr>
              <w:t>from</w:t>
            </w:r>
            <w:r w:rsidRPr="00B14FC8">
              <w:rPr>
                <w:rFonts w:asciiTheme="minorHAnsi" w:hAnsiTheme="minorHAnsi"/>
                <w:spacing w:val="-16"/>
              </w:rPr>
              <w:t xml:space="preserve"> </w:t>
            </w:r>
            <w:r w:rsidRPr="00B14FC8">
              <w:rPr>
                <w:rFonts w:asciiTheme="minorHAnsi" w:hAnsiTheme="minorHAnsi"/>
              </w:rPr>
              <w:t>all</w:t>
            </w:r>
            <w:r w:rsidRPr="00B14FC8">
              <w:rPr>
                <w:rFonts w:asciiTheme="minorHAnsi" w:hAnsiTheme="minorHAnsi"/>
                <w:spacing w:val="-15"/>
              </w:rPr>
              <w:t xml:space="preserve"> </w:t>
            </w:r>
            <w:r w:rsidRPr="00B14FC8">
              <w:rPr>
                <w:rFonts w:asciiTheme="minorHAnsi" w:hAnsiTheme="minorHAnsi"/>
              </w:rPr>
              <w:t>states</w:t>
            </w:r>
            <w:r w:rsidRPr="00B14FC8">
              <w:rPr>
                <w:rFonts w:asciiTheme="minorHAnsi" w:hAnsiTheme="minorHAnsi"/>
                <w:spacing w:val="-16"/>
              </w:rPr>
              <w:t xml:space="preserve"> </w:t>
            </w:r>
            <w:r w:rsidRPr="00B14FC8">
              <w:rPr>
                <w:rFonts w:asciiTheme="minorHAnsi" w:hAnsiTheme="minorHAnsi"/>
              </w:rPr>
              <w:t>and</w:t>
            </w:r>
            <w:r w:rsidRPr="00B14FC8">
              <w:rPr>
                <w:rFonts w:asciiTheme="minorHAnsi" w:hAnsiTheme="minorHAnsi"/>
                <w:spacing w:val="-15"/>
              </w:rPr>
              <w:t xml:space="preserve"> </w:t>
            </w:r>
            <w:r w:rsidRPr="00B14FC8">
              <w:rPr>
                <w:rFonts w:asciiTheme="minorHAnsi" w:hAnsiTheme="minorHAnsi"/>
              </w:rPr>
              <w:t>territories</w:t>
            </w:r>
            <w:r w:rsidRPr="00B14FC8">
              <w:rPr>
                <w:rFonts w:asciiTheme="minorHAnsi" w:hAnsiTheme="minorHAnsi"/>
                <w:spacing w:val="-15"/>
              </w:rPr>
              <w:t xml:space="preserve"> </w:t>
            </w:r>
            <w:r w:rsidRPr="00B14FC8">
              <w:rPr>
                <w:rFonts w:asciiTheme="minorHAnsi" w:hAnsiTheme="minorHAnsi"/>
              </w:rPr>
              <w:t>who have</w:t>
            </w:r>
            <w:r w:rsidRPr="00B14FC8">
              <w:rPr>
                <w:rFonts w:asciiTheme="minorHAnsi" w:hAnsiTheme="minorHAnsi"/>
                <w:spacing w:val="-14"/>
              </w:rPr>
              <w:t xml:space="preserve"> </w:t>
            </w:r>
            <w:r w:rsidRPr="00B14FC8">
              <w:rPr>
                <w:rFonts w:asciiTheme="minorHAnsi" w:hAnsiTheme="minorHAnsi"/>
              </w:rPr>
              <w:t>undertaken</w:t>
            </w:r>
            <w:r w:rsidRPr="00B14FC8">
              <w:rPr>
                <w:rFonts w:asciiTheme="minorHAnsi" w:hAnsiTheme="minorHAnsi"/>
                <w:spacing w:val="-13"/>
              </w:rPr>
              <w:t xml:space="preserve"> </w:t>
            </w:r>
            <w:r w:rsidRPr="00B14FC8">
              <w:rPr>
                <w:rFonts w:asciiTheme="minorHAnsi" w:hAnsiTheme="minorHAnsi"/>
              </w:rPr>
              <w:t>the</w:t>
            </w:r>
            <w:r w:rsidRPr="00B14FC8">
              <w:rPr>
                <w:rFonts w:asciiTheme="minorHAnsi" w:hAnsiTheme="minorHAnsi"/>
                <w:spacing w:val="-13"/>
              </w:rPr>
              <w:t xml:space="preserve"> </w:t>
            </w:r>
            <w:r w:rsidRPr="00B14FC8">
              <w:rPr>
                <w:rFonts w:asciiTheme="minorHAnsi" w:hAnsiTheme="minorHAnsi"/>
                <w:spacing w:val="-3"/>
              </w:rPr>
              <w:t>NDIS</w:t>
            </w:r>
            <w:r w:rsidRPr="00B14FC8">
              <w:rPr>
                <w:rFonts w:asciiTheme="minorHAnsi" w:hAnsiTheme="minorHAnsi"/>
                <w:spacing w:val="-13"/>
              </w:rPr>
              <w:t xml:space="preserve"> </w:t>
            </w:r>
            <w:r w:rsidRPr="00B14FC8">
              <w:rPr>
                <w:rFonts w:asciiTheme="minorHAnsi" w:hAnsiTheme="minorHAnsi"/>
                <w:spacing w:val="-3"/>
              </w:rPr>
              <w:t>Worker</w:t>
            </w:r>
            <w:r w:rsidRPr="00B14FC8">
              <w:rPr>
                <w:rFonts w:asciiTheme="minorHAnsi" w:hAnsiTheme="minorHAnsi"/>
                <w:spacing w:val="-13"/>
              </w:rPr>
              <w:t xml:space="preserve"> </w:t>
            </w:r>
            <w:r w:rsidRPr="00B14FC8">
              <w:rPr>
                <w:rFonts w:asciiTheme="minorHAnsi" w:hAnsiTheme="minorHAnsi"/>
              </w:rPr>
              <w:t>Screening</w:t>
            </w:r>
            <w:r w:rsidRPr="00B14FC8">
              <w:rPr>
                <w:rFonts w:asciiTheme="minorHAnsi" w:hAnsiTheme="minorHAnsi"/>
                <w:spacing w:val="-13"/>
              </w:rPr>
              <w:t xml:space="preserve"> </w:t>
            </w:r>
            <w:r w:rsidRPr="00B14FC8">
              <w:rPr>
                <w:rFonts w:asciiTheme="minorHAnsi" w:hAnsiTheme="minorHAnsi"/>
              </w:rPr>
              <w:t>Check:</w:t>
            </w:r>
            <w:r w:rsidRPr="00B14FC8">
              <w:rPr>
                <w:rFonts w:asciiTheme="minorHAnsi" w:hAnsiTheme="minorHAnsi"/>
                <w:spacing w:val="-13"/>
              </w:rPr>
              <w:t xml:space="preserve"> </w:t>
            </w:r>
            <w:r w:rsidRPr="00B14FC8">
              <w:rPr>
                <w:rFonts w:asciiTheme="minorHAnsi" w:hAnsiTheme="minorHAnsi"/>
              </w:rPr>
              <w:t>it</w:t>
            </w:r>
            <w:r w:rsidRPr="00B14FC8">
              <w:rPr>
                <w:rFonts w:asciiTheme="minorHAnsi" w:hAnsiTheme="minorHAnsi"/>
                <w:spacing w:val="-13"/>
              </w:rPr>
              <w:t xml:space="preserve"> </w:t>
            </w:r>
            <w:r w:rsidRPr="00B14FC8">
              <w:rPr>
                <w:rFonts w:asciiTheme="minorHAnsi" w:hAnsiTheme="minorHAnsi"/>
              </w:rPr>
              <w:t>shows their</w:t>
            </w:r>
            <w:r w:rsidRPr="00B14FC8">
              <w:rPr>
                <w:rFonts w:asciiTheme="minorHAnsi" w:hAnsiTheme="minorHAnsi"/>
                <w:spacing w:val="-12"/>
              </w:rPr>
              <w:t xml:space="preserve"> </w:t>
            </w:r>
            <w:r w:rsidRPr="00B14FC8">
              <w:rPr>
                <w:rFonts w:asciiTheme="minorHAnsi" w:hAnsiTheme="minorHAnsi"/>
              </w:rPr>
              <w:t>cleared</w:t>
            </w:r>
            <w:r w:rsidRPr="00B14FC8">
              <w:rPr>
                <w:rFonts w:asciiTheme="minorHAnsi" w:hAnsiTheme="minorHAnsi"/>
                <w:spacing w:val="-11"/>
              </w:rPr>
              <w:t xml:space="preserve"> </w:t>
            </w:r>
            <w:r w:rsidRPr="00B14FC8">
              <w:rPr>
                <w:rFonts w:asciiTheme="minorHAnsi" w:hAnsiTheme="minorHAnsi"/>
              </w:rPr>
              <w:t>or</w:t>
            </w:r>
            <w:r w:rsidRPr="00B14FC8">
              <w:rPr>
                <w:rFonts w:asciiTheme="minorHAnsi" w:hAnsiTheme="minorHAnsi"/>
                <w:spacing w:val="-12"/>
              </w:rPr>
              <w:t xml:space="preserve"> </w:t>
            </w:r>
            <w:r w:rsidRPr="00B14FC8">
              <w:rPr>
                <w:rFonts w:asciiTheme="minorHAnsi" w:hAnsiTheme="minorHAnsi"/>
              </w:rPr>
              <w:t>excluded</w:t>
            </w:r>
            <w:r w:rsidRPr="00B14FC8">
              <w:rPr>
                <w:rFonts w:asciiTheme="minorHAnsi" w:hAnsiTheme="minorHAnsi"/>
                <w:spacing w:val="-11"/>
              </w:rPr>
              <w:t xml:space="preserve"> </w:t>
            </w:r>
            <w:r w:rsidRPr="00B14FC8">
              <w:rPr>
                <w:rFonts w:asciiTheme="minorHAnsi" w:hAnsiTheme="minorHAnsi"/>
              </w:rPr>
              <w:t>status</w:t>
            </w:r>
          </w:p>
        </w:tc>
      </w:tr>
      <w:tr w:rsidR="00B14FC8" w14:paraId="7AD354EB" w14:textId="77777777" w:rsidTr="00B14FC8">
        <w:trPr>
          <w:cantSplit/>
          <w:trHeight w:val="872"/>
        </w:trPr>
        <w:tc>
          <w:tcPr>
            <w:tcW w:w="2520" w:type="dxa"/>
            <w:tcBorders>
              <w:top w:val="single" w:sz="4" w:space="0" w:color="5F636A"/>
              <w:bottom w:val="single" w:sz="4" w:space="0" w:color="5F636A"/>
            </w:tcBorders>
          </w:tcPr>
          <w:p w14:paraId="210137EC" w14:textId="77777777" w:rsidR="00B14FC8" w:rsidRPr="00B14FC8" w:rsidRDefault="00B14FC8" w:rsidP="0053652A">
            <w:pPr>
              <w:pStyle w:val="TableParagraph"/>
              <w:rPr>
                <w:rFonts w:asciiTheme="minorHAnsi" w:hAnsiTheme="minorHAnsi"/>
              </w:rPr>
            </w:pPr>
            <w:r w:rsidRPr="00B14FC8">
              <w:rPr>
                <w:rFonts w:asciiTheme="minorHAnsi" w:hAnsiTheme="minorHAnsi"/>
              </w:rPr>
              <w:t>Participant or NDIS participant</w:t>
            </w:r>
          </w:p>
        </w:tc>
        <w:tc>
          <w:tcPr>
            <w:tcW w:w="6378" w:type="dxa"/>
            <w:tcBorders>
              <w:top w:val="single" w:sz="4" w:space="0" w:color="5F636A"/>
              <w:bottom w:val="single" w:sz="4" w:space="0" w:color="5F636A"/>
            </w:tcBorders>
          </w:tcPr>
          <w:p w14:paraId="46CB283C" w14:textId="77777777" w:rsidR="00B14FC8" w:rsidRPr="00B14FC8" w:rsidRDefault="00B14FC8" w:rsidP="0053652A">
            <w:pPr>
              <w:pStyle w:val="TableParagraph"/>
              <w:ind w:left="367" w:right="528"/>
              <w:rPr>
                <w:rFonts w:asciiTheme="minorHAnsi" w:hAnsiTheme="minorHAnsi"/>
              </w:rPr>
            </w:pPr>
            <w:r w:rsidRPr="00B14FC8">
              <w:rPr>
                <w:rFonts w:asciiTheme="minorHAnsi" w:hAnsiTheme="minorHAnsi"/>
              </w:rPr>
              <w:t>A</w:t>
            </w:r>
            <w:r w:rsidRPr="00B14FC8">
              <w:rPr>
                <w:rFonts w:asciiTheme="minorHAnsi" w:hAnsiTheme="minorHAnsi"/>
                <w:spacing w:val="-13"/>
              </w:rPr>
              <w:t xml:space="preserve"> </w:t>
            </w:r>
            <w:r w:rsidRPr="00B14FC8">
              <w:rPr>
                <w:rFonts w:asciiTheme="minorHAnsi" w:hAnsiTheme="minorHAnsi"/>
              </w:rPr>
              <w:t>person</w:t>
            </w:r>
            <w:r w:rsidRPr="00B14FC8">
              <w:rPr>
                <w:rFonts w:asciiTheme="minorHAnsi" w:hAnsiTheme="minorHAnsi"/>
                <w:spacing w:val="-12"/>
              </w:rPr>
              <w:t xml:space="preserve"> </w:t>
            </w:r>
            <w:r w:rsidRPr="00B14FC8">
              <w:rPr>
                <w:rFonts w:asciiTheme="minorHAnsi" w:hAnsiTheme="minorHAnsi"/>
              </w:rPr>
              <w:t>who</w:t>
            </w:r>
            <w:r w:rsidRPr="00B14FC8">
              <w:rPr>
                <w:rFonts w:asciiTheme="minorHAnsi" w:hAnsiTheme="minorHAnsi"/>
                <w:spacing w:val="-12"/>
              </w:rPr>
              <w:t xml:space="preserve"> </w:t>
            </w:r>
            <w:r w:rsidRPr="00B14FC8">
              <w:rPr>
                <w:rFonts w:asciiTheme="minorHAnsi" w:hAnsiTheme="minorHAnsi"/>
              </w:rPr>
              <w:t>is</w:t>
            </w:r>
            <w:r w:rsidRPr="00B14FC8">
              <w:rPr>
                <w:rFonts w:asciiTheme="minorHAnsi" w:hAnsiTheme="minorHAnsi"/>
                <w:spacing w:val="-12"/>
              </w:rPr>
              <w:t xml:space="preserve"> </w:t>
            </w:r>
            <w:r w:rsidRPr="00B14FC8">
              <w:rPr>
                <w:rFonts w:asciiTheme="minorHAnsi" w:hAnsiTheme="minorHAnsi"/>
              </w:rPr>
              <w:t>a</w:t>
            </w:r>
            <w:r w:rsidRPr="00B14FC8">
              <w:rPr>
                <w:rFonts w:asciiTheme="minorHAnsi" w:hAnsiTheme="minorHAnsi"/>
                <w:spacing w:val="-12"/>
              </w:rPr>
              <w:t xml:space="preserve"> </w:t>
            </w:r>
            <w:r w:rsidRPr="00B14FC8">
              <w:rPr>
                <w:rFonts w:asciiTheme="minorHAnsi" w:hAnsiTheme="minorHAnsi"/>
              </w:rPr>
              <w:t>participant</w:t>
            </w:r>
            <w:r w:rsidRPr="00B14FC8">
              <w:rPr>
                <w:rFonts w:asciiTheme="minorHAnsi" w:hAnsiTheme="minorHAnsi"/>
                <w:spacing w:val="-12"/>
              </w:rPr>
              <w:t xml:space="preserve"> </w:t>
            </w:r>
            <w:r w:rsidRPr="00B14FC8">
              <w:rPr>
                <w:rFonts w:asciiTheme="minorHAnsi" w:hAnsiTheme="minorHAnsi"/>
              </w:rPr>
              <w:t>in</w:t>
            </w:r>
            <w:r w:rsidRPr="00B14FC8">
              <w:rPr>
                <w:rFonts w:asciiTheme="minorHAnsi" w:hAnsiTheme="minorHAnsi"/>
                <w:spacing w:val="-12"/>
              </w:rPr>
              <w:t xml:space="preserve"> </w:t>
            </w:r>
            <w:r w:rsidRPr="00B14FC8">
              <w:rPr>
                <w:rFonts w:asciiTheme="minorHAnsi" w:hAnsiTheme="minorHAnsi"/>
              </w:rPr>
              <w:t>the</w:t>
            </w:r>
            <w:r w:rsidRPr="00B14FC8">
              <w:rPr>
                <w:rFonts w:asciiTheme="minorHAnsi" w:hAnsiTheme="minorHAnsi"/>
                <w:spacing w:val="-12"/>
              </w:rPr>
              <w:t xml:space="preserve"> </w:t>
            </w:r>
            <w:r w:rsidRPr="00B14FC8">
              <w:rPr>
                <w:rFonts w:asciiTheme="minorHAnsi" w:hAnsiTheme="minorHAnsi"/>
                <w:spacing w:val="-3"/>
              </w:rPr>
              <w:t>NDIS</w:t>
            </w:r>
            <w:r w:rsidRPr="00B14FC8">
              <w:rPr>
                <w:rFonts w:asciiTheme="minorHAnsi" w:hAnsiTheme="minorHAnsi"/>
                <w:spacing w:val="-12"/>
              </w:rPr>
              <w:t xml:space="preserve"> </w:t>
            </w:r>
            <w:r w:rsidRPr="00B14FC8">
              <w:rPr>
                <w:rFonts w:asciiTheme="minorHAnsi" w:hAnsiTheme="minorHAnsi"/>
              </w:rPr>
              <w:t>as</w:t>
            </w:r>
            <w:r w:rsidRPr="00B14FC8">
              <w:rPr>
                <w:rFonts w:asciiTheme="minorHAnsi" w:hAnsiTheme="minorHAnsi"/>
                <w:spacing w:val="-12"/>
              </w:rPr>
              <w:t xml:space="preserve"> </w:t>
            </w:r>
            <w:r w:rsidRPr="00B14FC8">
              <w:rPr>
                <w:rFonts w:asciiTheme="minorHAnsi" w:hAnsiTheme="minorHAnsi"/>
              </w:rPr>
              <w:t>defined</w:t>
            </w:r>
            <w:r w:rsidRPr="00B14FC8">
              <w:rPr>
                <w:rFonts w:asciiTheme="minorHAnsi" w:hAnsiTheme="minorHAnsi"/>
                <w:spacing w:val="-13"/>
              </w:rPr>
              <w:t xml:space="preserve"> </w:t>
            </w:r>
            <w:r w:rsidRPr="00B14FC8">
              <w:rPr>
                <w:rFonts w:asciiTheme="minorHAnsi" w:hAnsiTheme="minorHAnsi"/>
              </w:rPr>
              <w:t>in</w:t>
            </w:r>
            <w:r w:rsidRPr="00B14FC8">
              <w:rPr>
                <w:rFonts w:asciiTheme="minorHAnsi" w:hAnsiTheme="minorHAnsi"/>
                <w:spacing w:val="-12"/>
              </w:rPr>
              <w:t xml:space="preserve"> </w:t>
            </w:r>
            <w:r w:rsidRPr="00B14FC8">
              <w:rPr>
                <w:rFonts w:asciiTheme="minorHAnsi" w:hAnsiTheme="minorHAnsi"/>
              </w:rPr>
              <w:t xml:space="preserve">the </w:t>
            </w:r>
            <w:r w:rsidRPr="00B14FC8">
              <w:rPr>
                <w:rFonts w:asciiTheme="minorHAnsi" w:hAnsiTheme="minorHAnsi"/>
                <w:spacing w:val="-3"/>
              </w:rPr>
              <w:t xml:space="preserve">NDIS </w:t>
            </w:r>
            <w:r w:rsidRPr="00B14FC8">
              <w:rPr>
                <w:rFonts w:asciiTheme="minorHAnsi" w:hAnsiTheme="minorHAnsi"/>
              </w:rPr>
              <w:t>Act, sections</w:t>
            </w:r>
            <w:r w:rsidR="00FA1A82">
              <w:rPr>
                <w:rFonts w:asciiTheme="minorHAnsi" w:hAnsiTheme="minorHAnsi"/>
                <w:spacing w:val="-30"/>
              </w:rPr>
              <w:t xml:space="preserve"> </w:t>
            </w:r>
            <w:r w:rsidRPr="00B14FC8">
              <w:rPr>
                <w:rFonts w:asciiTheme="minorHAnsi" w:hAnsiTheme="minorHAnsi"/>
                <w:spacing w:val="-6"/>
              </w:rPr>
              <w:t>28–30</w:t>
            </w:r>
          </w:p>
        </w:tc>
      </w:tr>
      <w:tr w:rsidR="00B14FC8" w14:paraId="7EC084A8" w14:textId="77777777" w:rsidTr="00B14FC8">
        <w:trPr>
          <w:cantSplit/>
          <w:trHeight w:val="872"/>
        </w:trPr>
        <w:tc>
          <w:tcPr>
            <w:tcW w:w="2520" w:type="dxa"/>
            <w:tcBorders>
              <w:top w:val="single" w:sz="4" w:space="0" w:color="5F636A"/>
              <w:bottom w:val="single" w:sz="4" w:space="0" w:color="5F636A"/>
            </w:tcBorders>
          </w:tcPr>
          <w:p w14:paraId="186DB462" w14:textId="77777777" w:rsidR="00B14FC8" w:rsidRPr="00B14FC8" w:rsidRDefault="00B14FC8" w:rsidP="0053652A">
            <w:pPr>
              <w:pStyle w:val="TableParagraph"/>
              <w:rPr>
                <w:rFonts w:asciiTheme="minorHAnsi" w:hAnsiTheme="minorHAnsi"/>
              </w:rPr>
            </w:pPr>
            <w:r w:rsidRPr="00B14FC8">
              <w:rPr>
                <w:rFonts w:asciiTheme="minorHAnsi" w:hAnsiTheme="minorHAnsi"/>
              </w:rPr>
              <w:t>Provider or NDIS provider</w:t>
            </w:r>
          </w:p>
        </w:tc>
        <w:tc>
          <w:tcPr>
            <w:tcW w:w="6378" w:type="dxa"/>
            <w:tcBorders>
              <w:top w:val="single" w:sz="4" w:space="0" w:color="5F636A"/>
              <w:bottom w:val="single" w:sz="4" w:space="0" w:color="5F636A"/>
            </w:tcBorders>
          </w:tcPr>
          <w:p w14:paraId="43ADD491" w14:textId="77777777" w:rsidR="00B14FC8" w:rsidRPr="00B14FC8" w:rsidRDefault="00B14FC8" w:rsidP="0053652A">
            <w:pPr>
              <w:pStyle w:val="TableParagraph"/>
              <w:ind w:left="367" w:right="260"/>
              <w:rPr>
                <w:rFonts w:asciiTheme="minorHAnsi" w:hAnsiTheme="minorHAnsi"/>
              </w:rPr>
            </w:pPr>
            <w:r w:rsidRPr="00B14FC8">
              <w:rPr>
                <w:rFonts w:asciiTheme="minorHAnsi" w:hAnsiTheme="minorHAnsi"/>
              </w:rPr>
              <w:t>A</w:t>
            </w:r>
            <w:r w:rsidRPr="00B14FC8">
              <w:rPr>
                <w:rFonts w:asciiTheme="minorHAnsi" w:hAnsiTheme="minorHAnsi"/>
                <w:spacing w:val="-14"/>
              </w:rPr>
              <w:t xml:space="preserve"> </w:t>
            </w:r>
            <w:r w:rsidRPr="00B14FC8">
              <w:rPr>
                <w:rFonts w:asciiTheme="minorHAnsi" w:hAnsiTheme="minorHAnsi"/>
              </w:rPr>
              <w:t>person</w:t>
            </w:r>
            <w:r w:rsidRPr="00B14FC8">
              <w:rPr>
                <w:rFonts w:asciiTheme="minorHAnsi" w:hAnsiTheme="minorHAnsi"/>
                <w:spacing w:val="-13"/>
              </w:rPr>
              <w:t xml:space="preserve"> </w:t>
            </w:r>
            <w:r w:rsidRPr="00B14FC8">
              <w:rPr>
                <w:rFonts w:asciiTheme="minorHAnsi" w:hAnsiTheme="minorHAnsi"/>
              </w:rPr>
              <w:t>or</w:t>
            </w:r>
            <w:r w:rsidRPr="00B14FC8">
              <w:rPr>
                <w:rFonts w:asciiTheme="minorHAnsi" w:hAnsiTheme="minorHAnsi"/>
                <w:spacing w:val="-13"/>
              </w:rPr>
              <w:t xml:space="preserve"> </w:t>
            </w:r>
            <w:r w:rsidRPr="00B14FC8">
              <w:rPr>
                <w:rFonts w:asciiTheme="minorHAnsi" w:hAnsiTheme="minorHAnsi"/>
              </w:rPr>
              <w:t>legal</w:t>
            </w:r>
            <w:r w:rsidRPr="00B14FC8">
              <w:rPr>
                <w:rFonts w:asciiTheme="minorHAnsi" w:hAnsiTheme="minorHAnsi"/>
                <w:spacing w:val="-13"/>
              </w:rPr>
              <w:t xml:space="preserve"> </w:t>
            </w:r>
            <w:r w:rsidRPr="00B14FC8">
              <w:rPr>
                <w:rFonts w:asciiTheme="minorHAnsi" w:hAnsiTheme="minorHAnsi"/>
              </w:rPr>
              <w:t>entity</w:t>
            </w:r>
            <w:r w:rsidRPr="00B14FC8">
              <w:rPr>
                <w:rFonts w:asciiTheme="minorHAnsi" w:hAnsiTheme="minorHAnsi"/>
                <w:spacing w:val="-14"/>
              </w:rPr>
              <w:t xml:space="preserve"> </w:t>
            </w:r>
            <w:r w:rsidRPr="00B14FC8">
              <w:rPr>
                <w:rFonts w:asciiTheme="minorHAnsi" w:hAnsiTheme="minorHAnsi"/>
              </w:rPr>
              <w:t>who</w:t>
            </w:r>
            <w:r w:rsidRPr="00B14FC8">
              <w:rPr>
                <w:rFonts w:asciiTheme="minorHAnsi" w:hAnsiTheme="minorHAnsi"/>
                <w:spacing w:val="-13"/>
              </w:rPr>
              <w:t xml:space="preserve"> </w:t>
            </w:r>
            <w:r w:rsidRPr="00B14FC8">
              <w:rPr>
                <w:rFonts w:asciiTheme="minorHAnsi" w:hAnsiTheme="minorHAnsi"/>
              </w:rPr>
              <w:t>is</w:t>
            </w:r>
            <w:r w:rsidRPr="00B14FC8">
              <w:rPr>
                <w:rFonts w:asciiTheme="minorHAnsi" w:hAnsiTheme="minorHAnsi"/>
                <w:spacing w:val="-13"/>
              </w:rPr>
              <w:t xml:space="preserve"> </w:t>
            </w:r>
            <w:r w:rsidRPr="00B14FC8">
              <w:rPr>
                <w:rFonts w:asciiTheme="minorHAnsi" w:hAnsiTheme="minorHAnsi"/>
              </w:rPr>
              <w:t>an</w:t>
            </w:r>
            <w:r w:rsidRPr="00B14FC8">
              <w:rPr>
                <w:rFonts w:asciiTheme="minorHAnsi" w:hAnsiTheme="minorHAnsi"/>
                <w:spacing w:val="-14"/>
              </w:rPr>
              <w:t xml:space="preserve"> </w:t>
            </w:r>
            <w:r w:rsidRPr="00B14FC8">
              <w:rPr>
                <w:rFonts w:asciiTheme="minorHAnsi" w:hAnsiTheme="minorHAnsi"/>
                <w:spacing w:val="-3"/>
              </w:rPr>
              <w:t>NDIS</w:t>
            </w:r>
            <w:r w:rsidRPr="00B14FC8">
              <w:rPr>
                <w:rFonts w:asciiTheme="minorHAnsi" w:hAnsiTheme="minorHAnsi"/>
                <w:spacing w:val="-13"/>
              </w:rPr>
              <w:t xml:space="preserve"> </w:t>
            </w:r>
            <w:r w:rsidRPr="00B14FC8">
              <w:rPr>
                <w:rFonts w:asciiTheme="minorHAnsi" w:hAnsiTheme="minorHAnsi"/>
              </w:rPr>
              <w:t>provider</w:t>
            </w:r>
            <w:r w:rsidRPr="00B14FC8">
              <w:rPr>
                <w:rFonts w:asciiTheme="minorHAnsi" w:hAnsiTheme="minorHAnsi"/>
                <w:spacing w:val="-15"/>
              </w:rPr>
              <w:t xml:space="preserve"> </w:t>
            </w:r>
            <w:r w:rsidRPr="00B14FC8">
              <w:rPr>
                <w:rFonts w:asciiTheme="minorHAnsi" w:hAnsiTheme="minorHAnsi"/>
              </w:rPr>
              <w:t>as</w:t>
            </w:r>
            <w:r w:rsidRPr="00B14FC8">
              <w:rPr>
                <w:rFonts w:asciiTheme="minorHAnsi" w:hAnsiTheme="minorHAnsi"/>
                <w:spacing w:val="-13"/>
              </w:rPr>
              <w:t xml:space="preserve"> </w:t>
            </w:r>
            <w:r w:rsidRPr="00B14FC8">
              <w:rPr>
                <w:rFonts w:asciiTheme="minorHAnsi" w:hAnsiTheme="minorHAnsi"/>
              </w:rPr>
              <w:t>defined</w:t>
            </w:r>
            <w:r w:rsidRPr="00B14FC8">
              <w:rPr>
                <w:rFonts w:asciiTheme="minorHAnsi" w:hAnsiTheme="minorHAnsi"/>
                <w:spacing w:val="-13"/>
              </w:rPr>
              <w:t xml:space="preserve"> </w:t>
            </w:r>
            <w:r w:rsidRPr="00B14FC8">
              <w:rPr>
                <w:rFonts w:asciiTheme="minorHAnsi" w:hAnsiTheme="minorHAnsi"/>
              </w:rPr>
              <w:t>in section</w:t>
            </w:r>
            <w:r w:rsidRPr="00B14FC8">
              <w:rPr>
                <w:rFonts w:asciiTheme="minorHAnsi" w:hAnsiTheme="minorHAnsi"/>
                <w:spacing w:val="-11"/>
              </w:rPr>
              <w:t xml:space="preserve"> </w:t>
            </w:r>
            <w:r w:rsidRPr="00B14FC8">
              <w:rPr>
                <w:rFonts w:asciiTheme="minorHAnsi" w:hAnsiTheme="minorHAnsi"/>
              </w:rPr>
              <w:t>9</w:t>
            </w:r>
            <w:r w:rsidRPr="00B14FC8">
              <w:rPr>
                <w:rFonts w:asciiTheme="minorHAnsi" w:hAnsiTheme="minorHAnsi"/>
                <w:spacing w:val="-11"/>
              </w:rPr>
              <w:t xml:space="preserve"> </w:t>
            </w:r>
            <w:r w:rsidRPr="00B14FC8">
              <w:rPr>
                <w:rFonts w:asciiTheme="minorHAnsi" w:hAnsiTheme="minorHAnsi"/>
              </w:rPr>
              <w:t>of</w:t>
            </w:r>
            <w:r w:rsidRPr="00B14FC8">
              <w:rPr>
                <w:rFonts w:asciiTheme="minorHAnsi" w:hAnsiTheme="minorHAnsi"/>
                <w:spacing w:val="-11"/>
              </w:rPr>
              <w:t xml:space="preserve"> </w:t>
            </w:r>
            <w:r w:rsidRPr="00B14FC8">
              <w:rPr>
                <w:rFonts w:asciiTheme="minorHAnsi" w:hAnsiTheme="minorHAnsi"/>
              </w:rPr>
              <w:t>the</w:t>
            </w:r>
            <w:r w:rsidRPr="00B14FC8">
              <w:rPr>
                <w:rFonts w:asciiTheme="minorHAnsi" w:hAnsiTheme="minorHAnsi"/>
                <w:spacing w:val="-11"/>
              </w:rPr>
              <w:t xml:space="preserve"> </w:t>
            </w:r>
            <w:r w:rsidRPr="00B14FC8">
              <w:rPr>
                <w:rFonts w:asciiTheme="minorHAnsi" w:hAnsiTheme="minorHAnsi"/>
                <w:spacing w:val="-3"/>
              </w:rPr>
              <w:t>NDIS</w:t>
            </w:r>
            <w:r w:rsidRPr="00B14FC8">
              <w:rPr>
                <w:rFonts w:asciiTheme="minorHAnsi" w:hAnsiTheme="minorHAnsi"/>
                <w:spacing w:val="-11"/>
              </w:rPr>
              <w:t xml:space="preserve"> </w:t>
            </w:r>
            <w:r w:rsidRPr="00B14FC8">
              <w:rPr>
                <w:rFonts w:asciiTheme="minorHAnsi" w:hAnsiTheme="minorHAnsi"/>
              </w:rPr>
              <w:t>Act</w:t>
            </w:r>
          </w:p>
        </w:tc>
      </w:tr>
      <w:tr w:rsidR="00B14FC8" w14:paraId="41E73051" w14:textId="77777777" w:rsidTr="00B14FC8">
        <w:trPr>
          <w:cantSplit/>
          <w:trHeight w:val="872"/>
        </w:trPr>
        <w:tc>
          <w:tcPr>
            <w:tcW w:w="2520" w:type="dxa"/>
            <w:tcBorders>
              <w:top w:val="single" w:sz="4" w:space="0" w:color="5F636A"/>
              <w:bottom w:val="single" w:sz="4" w:space="0" w:color="5F636A"/>
            </w:tcBorders>
          </w:tcPr>
          <w:p w14:paraId="3AAE13E6" w14:textId="77777777" w:rsidR="00B14FC8" w:rsidRPr="00B14FC8" w:rsidRDefault="00B14FC8" w:rsidP="0053652A">
            <w:pPr>
              <w:pStyle w:val="TableParagraph"/>
              <w:rPr>
                <w:rFonts w:asciiTheme="minorHAnsi" w:hAnsiTheme="minorHAnsi"/>
              </w:rPr>
            </w:pPr>
            <w:r w:rsidRPr="00B14FC8">
              <w:rPr>
                <w:rFonts w:asciiTheme="minorHAnsi" w:hAnsiTheme="minorHAnsi"/>
              </w:rPr>
              <w:t>Registered NDIS provider</w:t>
            </w:r>
          </w:p>
        </w:tc>
        <w:tc>
          <w:tcPr>
            <w:tcW w:w="6378" w:type="dxa"/>
            <w:tcBorders>
              <w:top w:val="single" w:sz="4" w:space="0" w:color="5F636A"/>
              <w:bottom w:val="single" w:sz="4" w:space="0" w:color="5F636A"/>
            </w:tcBorders>
          </w:tcPr>
          <w:p w14:paraId="433E2390" w14:textId="77777777" w:rsidR="00B14FC8" w:rsidRPr="00B14FC8" w:rsidRDefault="00B14FC8" w:rsidP="0053652A">
            <w:pPr>
              <w:pStyle w:val="TableParagraph"/>
              <w:ind w:left="367"/>
              <w:rPr>
                <w:rFonts w:asciiTheme="minorHAnsi" w:hAnsiTheme="minorHAnsi"/>
              </w:rPr>
            </w:pPr>
            <w:r w:rsidRPr="00B14FC8">
              <w:rPr>
                <w:rFonts w:asciiTheme="minorHAnsi" w:hAnsiTheme="minorHAnsi"/>
              </w:rPr>
              <w:t>A</w:t>
            </w:r>
            <w:r w:rsidRPr="00B14FC8">
              <w:rPr>
                <w:rFonts w:asciiTheme="minorHAnsi" w:hAnsiTheme="minorHAnsi"/>
                <w:spacing w:val="-14"/>
              </w:rPr>
              <w:t xml:space="preserve"> </w:t>
            </w:r>
            <w:r w:rsidRPr="00B14FC8">
              <w:rPr>
                <w:rFonts w:asciiTheme="minorHAnsi" w:hAnsiTheme="minorHAnsi"/>
              </w:rPr>
              <w:t>person</w:t>
            </w:r>
            <w:r w:rsidRPr="00B14FC8">
              <w:rPr>
                <w:rFonts w:asciiTheme="minorHAnsi" w:hAnsiTheme="minorHAnsi"/>
                <w:spacing w:val="-13"/>
              </w:rPr>
              <w:t xml:space="preserve"> </w:t>
            </w:r>
            <w:r w:rsidRPr="00B14FC8">
              <w:rPr>
                <w:rFonts w:asciiTheme="minorHAnsi" w:hAnsiTheme="minorHAnsi"/>
              </w:rPr>
              <w:t>or</w:t>
            </w:r>
            <w:r w:rsidRPr="00B14FC8">
              <w:rPr>
                <w:rFonts w:asciiTheme="minorHAnsi" w:hAnsiTheme="minorHAnsi"/>
                <w:spacing w:val="-13"/>
              </w:rPr>
              <w:t xml:space="preserve"> </w:t>
            </w:r>
            <w:r w:rsidRPr="00B14FC8">
              <w:rPr>
                <w:rFonts w:asciiTheme="minorHAnsi" w:hAnsiTheme="minorHAnsi"/>
              </w:rPr>
              <w:t>entity</w:t>
            </w:r>
            <w:r w:rsidRPr="00B14FC8">
              <w:rPr>
                <w:rFonts w:asciiTheme="minorHAnsi" w:hAnsiTheme="minorHAnsi"/>
                <w:spacing w:val="-13"/>
              </w:rPr>
              <w:t xml:space="preserve"> </w:t>
            </w:r>
            <w:r w:rsidRPr="00B14FC8">
              <w:rPr>
                <w:rFonts w:asciiTheme="minorHAnsi" w:hAnsiTheme="minorHAnsi"/>
              </w:rPr>
              <w:t>who</w:t>
            </w:r>
            <w:r w:rsidRPr="00B14FC8">
              <w:rPr>
                <w:rFonts w:asciiTheme="minorHAnsi" w:hAnsiTheme="minorHAnsi"/>
                <w:spacing w:val="-13"/>
              </w:rPr>
              <w:t xml:space="preserve"> </w:t>
            </w:r>
            <w:r w:rsidRPr="00B14FC8">
              <w:rPr>
                <w:rFonts w:asciiTheme="minorHAnsi" w:hAnsiTheme="minorHAnsi"/>
              </w:rPr>
              <w:t>is</w:t>
            </w:r>
            <w:r w:rsidRPr="00B14FC8">
              <w:rPr>
                <w:rFonts w:asciiTheme="minorHAnsi" w:hAnsiTheme="minorHAnsi"/>
                <w:spacing w:val="-13"/>
              </w:rPr>
              <w:t xml:space="preserve"> </w:t>
            </w:r>
            <w:r w:rsidRPr="00B14FC8">
              <w:rPr>
                <w:rFonts w:asciiTheme="minorHAnsi" w:hAnsiTheme="minorHAnsi"/>
              </w:rPr>
              <w:t>registered</w:t>
            </w:r>
            <w:r w:rsidRPr="00B14FC8">
              <w:rPr>
                <w:rFonts w:asciiTheme="minorHAnsi" w:hAnsiTheme="minorHAnsi"/>
                <w:spacing w:val="-13"/>
              </w:rPr>
              <w:t xml:space="preserve"> </w:t>
            </w:r>
            <w:r w:rsidRPr="00B14FC8">
              <w:rPr>
                <w:rFonts w:asciiTheme="minorHAnsi" w:hAnsiTheme="minorHAnsi"/>
              </w:rPr>
              <w:t>with</w:t>
            </w:r>
            <w:r w:rsidRPr="00B14FC8">
              <w:rPr>
                <w:rFonts w:asciiTheme="minorHAnsi" w:hAnsiTheme="minorHAnsi"/>
                <w:spacing w:val="-13"/>
              </w:rPr>
              <w:t xml:space="preserve"> </w:t>
            </w:r>
            <w:r w:rsidRPr="00B14FC8">
              <w:rPr>
                <w:rFonts w:asciiTheme="minorHAnsi" w:hAnsiTheme="minorHAnsi"/>
              </w:rPr>
              <w:t>the</w:t>
            </w:r>
            <w:r w:rsidRPr="00B14FC8">
              <w:rPr>
                <w:rFonts w:asciiTheme="minorHAnsi" w:hAnsiTheme="minorHAnsi"/>
                <w:spacing w:val="-13"/>
              </w:rPr>
              <w:t xml:space="preserve"> </w:t>
            </w:r>
            <w:r w:rsidRPr="00B14FC8">
              <w:rPr>
                <w:rFonts w:asciiTheme="minorHAnsi" w:hAnsiTheme="minorHAnsi"/>
                <w:spacing w:val="-3"/>
              </w:rPr>
              <w:t>NDIS</w:t>
            </w:r>
            <w:r w:rsidRPr="00B14FC8">
              <w:rPr>
                <w:rFonts w:asciiTheme="minorHAnsi" w:hAnsiTheme="minorHAnsi"/>
                <w:spacing w:val="-13"/>
              </w:rPr>
              <w:t xml:space="preserve"> </w:t>
            </w:r>
            <w:r w:rsidRPr="00B14FC8">
              <w:rPr>
                <w:rFonts w:asciiTheme="minorHAnsi" w:hAnsiTheme="minorHAnsi"/>
              </w:rPr>
              <w:t>Quality</w:t>
            </w:r>
            <w:r w:rsidRPr="00B14FC8">
              <w:rPr>
                <w:rFonts w:asciiTheme="minorHAnsi" w:hAnsiTheme="minorHAnsi"/>
                <w:spacing w:val="-13"/>
              </w:rPr>
              <w:t xml:space="preserve"> </w:t>
            </w:r>
            <w:r w:rsidRPr="00B14FC8">
              <w:rPr>
                <w:rFonts w:asciiTheme="minorHAnsi" w:hAnsiTheme="minorHAnsi"/>
              </w:rPr>
              <w:t>and Safeguards</w:t>
            </w:r>
            <w:r w:rsidRPr="00B14FC8">
              <w:rPr>
                <w:rFonts w:asciiTheme="minorHAnsi" w:hAnsiTheme="minorHAnsi"/>
                <w:spacing w:val="-13"/>
              </w:rPr>
              <w:t xml:space="preserve"> </w:t>
            </w:r>
            <w:r w:rsidRPr="00B14FC8">
              <w:rPr>
                <w:rFonts w:asciiTheme="minorHAnsi" w:hAnsiTheme="minorHAnsi"/>
              </w:rPr>
              <w:t>Commission</w:t>
            </w:r>
            <w:r w:rsidRPr="00B14FC8">
              <w:rPr>
                <w:rFonts w:asciiTheme="minorHAnsi" w:hAnsiTheme="minorHAnsi"/>
                <w:spacing w:val="-12"/>
              </w:rPr>
              <w:t xml:space="preserve"> </w:t>
            </w:r>
            <w:r w:rsidRPr="00B14FC8">
              <w:rPr>
                <w:rFonts w:asciiTheme="minorHAnsi" w:hAnsiTheme="minorHAnsi"/>
              </w:rPr>
              <w:t>under</w:t>
            </w:r>
            <w:r w:rsidRPr="00B14FC8">
              <w:rPr>
                <w:rFonts w:asciiTheme="minorHAnsi" w:hAnsiTheme="minorHAnsi"/>
                <w:spacing w:val="-13"/>
              </w:rPr>
              <w:t xml:space="preserve"> </w:t>
            </w:r>
            <w:r w:rsidRPr="00B14FC8">
              <w:rPr>
                <w:rFonts w:asciiTheme="minorHAnsi" w:hAnsiTheme="minorHAnsi"/>
              </w:rPr>
              <w:t>section</w:t>
            </w:r>
            <w:r w:rsidRPr="00B14FC8">
              <w:rPr>
                <w:rFonts w:asciiTheme="minorHAnsi" w:hAnsiTheme="minorHAnsi"/>
                <w:spacing w:val="-12"/>
              </w:rPr>
              <w:t xml:space="preserve"> </w:t>
            </w:r>
            <w:r w:rsidRPr="00B14FC8">
              <w:rPr>
                <w:rFonts w:asciiTheme="minorHAnsi" w:hAnsiTheme="minorHAnsi"/>
                <w:spacing w:val="-4"/>
              </w:rPr>
              <w:t>73E</w:t>
            </w:r>
            <w:r w:rsidRPr="00B14FC8">
              <w:rPr>
                <w:rFonts w:asciiTheme="minorHAnsi" w:hAnsiTheme="minorHAnsi"/>
                <w:spacing w:val="-13"/>
              </w:rPr>
              <w:t xml:space="preserve"> </w:t>
            </w:r>
            <w:r w:rsidRPr="00B14FC8">
              <w:rPr>
                <w:rFonts w:asciiTheme="minorHAnsi" w:hAnsiTheme="minorHAnsi"/>
              </w:rPr>
              <w:t>of</w:t>
            </w:r>
            <w:r w:rsidRPr="00B14FC8">
              <w:rPr>
                <w:rFonts w:asciiTheme="minorHAnsi" w:hAnsiTheme="minorHAnsi"/>
                <w:spacing w:val="-12"/>
              </w:rPr>
              <w:t xml:space="preserve"> </w:t>
            </w:r>
            <w:r w:rsidRPr="00B14FC8">
              <w:rPr>
                <w:rFonts w:asciiTheme="minorHAnsi" w:hAnsiTheme="minorHAnsi"/>
              </w:rPr>
              <w:t>the</w:t>
            </w:r>
            <w:r w:rsidRPr="00B14FC8">
              <w:rPr>
                <w:rFonts w:asciiTheme="minorHAnsi" w:hAnsiTheme="minorHAnsi"/>
                <w:spacing w:val="-12"/>
              </w:rPr>
              <w:t xml:space="preserve"> </w:t>
            </w:r>
            <w:r w:rsidRPr="00B14FC8">
              <w:rPr>
                <w:rFonts w:asciiTheme="minorHAnsi" w:hAnsiTheme="minorHAnsi"/>
                <w:spacing w:val="-3"/>
              </w:rPr>
              <w:t>NDIS</w:t>
            </w:r>
            <w:r w:rsidRPr="00B14FC8">
              <w:rPr>
                <w:rFonts w:asciiTheme="minorHAnsi" w:hAnsiTheme="minorHAnsi"/>
                <w:spacing w:val="-13"/>
              </w:rPr>
              <w:t xml:space="preserve"> </w:t>
            </w:r>
            <w:r w:rsidRPr="00B14FC8">
              <w:rPr>
                <w:rFonts w:asciiTheme="minorHAnsi" w:hAnsiTheme="minorHAnsi"/>
              </w:rPr>
              <w:t>Act</w:t>
            </w:r>
          </w:p>
        </w:tc>
      </w:tr>
      <w:tr w:rsidR="00B14FC8" w14:paraId="13471B94" w14:textId="77777777" w:rsidTr="00B14FC8">
        <w:trPr>
          <w:cantSplit/>
          <w:trHeight w:val="872"/>
        </w:trPr>
        <w:tc>
          <w:tcPr>
            <w:tcW w:w="2520" w:type="dxa"/>
            <w:tcBorders>
              <w:top w:val="single" w:sz="4" w:space="0" w:color="5F636A"/>
              <w:bottom w:val="single" w:sz="4" w:space="0" w:color="5F636A"/>
            </w:tcBorders>
          </w:tcPr>
          <w:p w14:paraId="5D356792" w14:textId="77777777" w:rsidR="00B14FC8" w:rsidRPr="00B14FC8" w:rsidRDefault="00B14FC8" w:rsidP="0053652A">
            <w:pPr>
              <w:ind w:left="80"/>
            </w:pPr>
            <w:r w:rsidRPr="00B14FC8">
              <w:t>Reportable incidents</w:t>
            </w:r>
          </w:p>
        </w:tc>
        <w:tc>
          <w:tcPr>
            <w:tcW w:w="6378" w:type="dxa"/>
            <w:tcBorders>
              <w:top w:val="single" w:sz="4" w:space="0" w:color="5F636A"/>
              <w:bottom w:val="single" w:sz="4" w:space="0" w:color="5F636A"/>
            </w:tcBorders>
          </w:tcPr>
          <w:p w14:paraId="64D32534" w14:textId="0A459246" w:rsidR="00B14FC8" w:rsidRPr="00B14FC8" w:rsidRDefault="00B14FC8" w:rsidP="0053652A">
            <w:pPr>
              <w:ind w:left="367"/>
            </w:pPr>
            <w:r w:rsidRPr="00B14FC8">
              <w:t>Serious, or alleged, incidents which result in harm to an</w:t>
            </w:r>
            <w:r w:rsidR="00FA1A82">
              <w:t xml:space="preserve"> </w:t>
            </w:r>
            <w:r w:rsidR="00FA1A82" w:rsidRPr="00B14FC8">
              <w:t xml:space="preserve">NDIS participant and have occurred in connection </w:t>
            </w:r>
            <w:r w:rsidR="00C03EBD">
              <w:t>with NDIS supports and services</w:t>
            </w:r>
          </w:p>
        </w:tc>
      </w:tr>
      <w:tr w:rsidR="00B14FC8" w14:paraId="6DEC3011" w14:textId="77777777" w:rsidTr="00B14FC8">
        <w:trPr>
          <w:cantSplit/>
          <w:trHeight w:val="872"/>
        </w:trPr>
        <w:tc>
          <w:tcPr>
            <w:tcW w:w="2520" w:type="dxa"/>
            <w:tcBorders>
              <w:top w:val="single" w:sz="4" w:space="0" w:color="5F636A"/>
              <w:bottom w:val="single" w:sz="4" w:space="0" w:color="5F636A"/>
            </w:tcBorders>
          </w:tcPr>
          <w:p w14:paraId="29F9AE85" w14:textId="77777777" w:rsidR="00B14FC8" w:rsidRPr="00B14FC8" w:rsidRDefault="00B14FC8" w:rsidP="0053652A">
            <w:pPr>
              <w:ind w:left="80"/>
            </w:pPr>
            <w:r w:rsidRPr="00B14FC8">
              <w:lastRenderedPageBreak/>
              <w:t>Restrictive practices</w:t>
            </w:r>
          </w:p>
        </w:tc>
        <w:tc>
          <w:tcPr>
            <w:tcW w:w="6378" w:type="dxa"/>
            <w:tcBorders>
              <w:top w:val="single" w:sz="4" w:space="0" w:color="5F636A"/>
              <w:bottom w:val="single" w:sz="4" w:space="0" w:color="5F636A"/>
            </w:tcBorders>
          </w:tcPr>
          <w:p w14:paraId="6AA8EF2B" w14:textId="77777777" w:rsidR="00B14FC8" w:rsidRPr="00B14FC8" w:rsidRDefault="00B14FC8" w:rsidP="0053652A">
            <w:pPr>
              <w:ind w:left="367"/>
            </w:pPr>
            <w:r w:rsidRPr="00B14FC8">
              <w:t>Practices that have the effect of restricting rights or freedom of movement of a person with disability</w:t>
            </w:r>
          </w:p>
        </w:tc>
      </w:tr>
      <w:tr w:rsidR="00B14FC8" w14:paraId="1E9D1D96" w14:textId="77777777" w:rsidTr="00B14FC8">
        <w:trPr>
          <w:cantSplit/>
          <w:trHeight w:val="872"/>
        </w:trPr>
        <w:tc>
          <w:tcPr>
            <w:tcW w:w="2520" w:type="dxa"/>
            <w:tcBorders>
              <w:top w:val="single" w:sz="4" w:space="0" w:color="5F636A"/>
              <w:bottom w:val="single" w:sz="4" w:space="0" w:color="5F636A"/>
            </w:tcBorders>
          </w:tcPr>
          <w:p w14:paraId="7C06C4A3" w14:textId="77777777" w:rsidR="00B14FC8" w:rsidRPr="00B14FC8" w:rsidRDefault="00B14FC8" w:rsidP="0053652A">
            <w:pPr>
              <w:ind w:left="80"/>
            </w:pPr>
            <w:r w:rsidRPr="00B14FC8">
              <w:t>Supports, or supports and services</w:t>
            </w:r>
          </w:p>
        </w:tc>
        <w:tc>
          <w:tcPr>
            <w:tcW w:w="6378" w:type="dxa"/>
            <w:tcBorders>
              <w:top w:val="single" w:sz="4" w:space="0" w:color="5F636A"/>
              <w:bottom w:val="single" w:sz="4" w:space="0" w:color="5F636A"/>
            </w:tcBorders>
          </w:tcPr>
          <w:p w14:paraId="2AB28B77" w14:textId="77777777" w:rsidR="00B14FC8" w:rsidRPr="00B14FC8" w:rsidRDefault="00B14FC8" w:rsidP="0053652A">
            <w:pPr>
              <w:ind w:left="367"/>
            </w:pPr>
            <w:r w:rsidRPr="00B14FC8">
              <w:t>A range of products and services which may include education, employment, social participation, independence, living arrangements, and health and wellbeing</w:t>
            </w:r>
          </w:p>
        </w:tc>
      </w:tr>
      <w:tr w:rsidR="00B14FC8" w14:paraId="367E4558" w14:textId="77777777" w:rsidTr="00FA1A82">
        <w:trPr>
          <w:cantSplit/>
          <w:trHeight w:val="636"/>
        </w:trPr>
        <w:tc>
          <w:tcPr>
            <w:tcW w:w="2520" w:type="dxa"/>
            <w:tcBorders>
              <w:top w:val="single" w:sz="4" w:space="0" w:color="5F636A"/>
              <w:bottom w:val="single" w:sz="12" w:space="0" w:color="0D0D0D" w:themeColor="text1" w:themeTint="F2"/>
            </w:tcBorders>
          </w:tcPr>
          <w:p w14:paraId="0C84D6AB" w14:textId="77777777" w:rsidR="00B14FC8" w:rsidRPr="00B14FC8" w:rsidRDefault="0053652A" w:rsidP="00875A29">
            <w:pPr>
              <w:pStyle w:val="TableParagraph"/>
              <w:rPr>
                <w:rFonts w:asciiTheme="minorHAnsi" w:hAnsiTheme="minorHAnsi"/>
              </w:rPr>
            </w:pPr>
            <w:r w:rsidRPr="0053652A">
              <w:rPr>
                <w:rFonts w:asciiTheme="minorHAnsi" w:hAnsiTheme="minorHAnsi"/>
              </w:rPr>
              <w:t>Worker, or NDIS worker</w:t>
            </w:r>
          </w:p>
        </w:tc>
        <w:tc>
          <w:tcPr>
            <w:tcW w:w="6378" w:type="dxa"/>
            <w:tcBorders>
              <w:top w:val="single" w:sz="4" w:space="0" w:color="5F636A"/>
              <w:bottom w:val="single" w:sz="12" w:space="0" w:color="0D0D0D" w:themeColor="text1" w:themeTint="F2"/>
            </w:tcBorders>
          </w:tcPr>
          <w:p w14:paraId="5F2C030F" w14:textId="77777777" w:rsidR="00B14FC8" w:rsidRPr="00B14FC8" w:rsidRDefault="0053652A" w:rsidP="0053652A">
            <w:pPr>
              <w:pStyle w:val="TableParagraph"/>
              <w:ind w:left="367"/>
              <w:rPr>
                <w:rFonts w:asciiTheme="minorHAnsi" w:hAnsiTheme="minorHAnsi"/>
              </w:rPr>
            </w:pPr>
            <w:r w:rsidRPr="0053652A">
              <w:rPr>
                <w:rFonts w:asciiTheme="minorHAnsi" w:hAnsiTheme="minorHAnsi"/>
              </w:rPr>
              <w:t>A person employed or engaged by an NDIS provider</w:t>
            </w:r>
          </w:p>
        </w:tc>
      </w:tr>
    </w:tbl>
    <w:p w14:paraId="25371437" w14:textId="77777777" w:rsidR="00EA458C" w:rsidRDefault="00EA458C" w:rsidP="0053652A">
      <w:pPr>
        <w:pStyle w:val="Heading2"/>
      </w:pPr>
      <w:bookmarkStart w:id="91" w:name="_Toc112642150"/>
      <w:r>
        <w:t>Acronyms and initialisms</w:t>
      </w:r>
      <w:bookmarkEnd w:id="91"/>
    </w:p>
    <w:tbl>
      <w:tblPr>
        <w:tblW w:w="8898" w:type="dxa"/>
        <w:tblLayout w:type="fixed"/>
        <w:tblCellMar>
          <w:left w:w="0" w:type="dxa"/>
          <w:right w:w="0" w:type="dxa"/>
        </w:tblCellMar>
        <w:tblLook w:val="01E0" w:firstRow="1" w:lastRow="1" w:firstColumn="1" w:lastColumn="1" w:noHBand="0" w:noVBand="0"/>
      </w:tblPr>
      <w:tblGrid>
        <w:gridCol w:w="2520"/>
        <w:gridCol w:w="6378"/>
      </w:tblGrid>
      <w:tr w:rsidR="0053652A" w14:paraId="4793E7CD" w14:textId="77777777" w:rsidTr="00875A29">
        <w:trPr>
          <w:cantSplit/>
          <w:trHeight w:val="546"/>
          <w:tblHeader/>
        </w:trPr>
        <w:tc>
          <w:tcPr>
            <w:tcW w:w="2520" w:type="dxa"/>
            <w:tcBorders>
              <w:top w:val="single" w:sz="18" w:space="0" w:color="602167"/>
              <w:bottom w:val="single" w:sz="6" w:space="0" w:color="5F636A"/>
            </w:tcBorders>
            <w:shd w:val="clear" w:color="auto" w:fill="EFEFF1"/>
          </w:tcPr>
          <w:p w14:paraId="4D0F5440" w14:textId="77777777" w:rsidR="0053652A" w:rsidRPr="00B14FC8" w:rsidRDefault="0053652A" w:rsidP="00875A29">
            <w:pPr>
              <w:pStyle w:val="TableParagraph"/>
              <w:spacing w:before="136"/>
              <w:ind w:left="56"/>
              <w:rPr>
                <w:rFonts w:asciiTheme="minorHAnsi" w:hAnsiTheme="minorHAnsi"/>
                <w:b/>
                <w:sz w:val="24"/>
              </w:rPr>
            </w:pPr>
            <w:r w:rsidRPr="00B14FC8">
              <w:rPr>
                <w:rFonts w:asciiTheme="minorHAnsi" w:hAnsiTheme="minorHAnsi"/>
                <w:b/>
                <w:color w:val="602167"/>
                <w:sz w:val="24"/>
              </w:rPr>
              <w:t>Term</w:t>
            </w:r>
          </w:p>
        </w:tc>
        <w:tc>
          <w:tcPr>
            <w:tcW w:w="6378" w:type="dxa"/>
            <w:tcBorders>
              <w:top w:val="single" w:sz="18" w:space="0" w:color="602167"/>
              <w:bottom w:val="single" w:sz="6" w:space="0" w:color="5F636A"/>
            </w:tcBorders>
            <w:shd w:val="clear" w:color="auto" w:fill="EFEFF1"/>
          </w:tcPr>
          <w:p w14:paraId="60200605" w14:textId="77777777" w:rsidR="0053652A" w:rsidRPr="00B14FC8" w:rsidRDefault="0053652A" w:rsidP="00875A29">
            <w:pPr>
              <w:pStyle w:val="TableParagraph"/>
              <w:spacing w:before="136"/>
              <w:ind w:left="344"/>
              <w:rPr>
                <w:rFonts w:asciiTheme="minorHAnsi" w:hAnsiTheme="minorHAnsi"/>
                <w:b/>
                <w:sz w:val="24"/>
              </w:rPr>
            </w:pPr>
            <w:r w:rsidRPr="00B14FC8">
              <w:rPr>
                <w:rFonts w:asciiTheme="minorHAnsi" w:hAnsiTheme="minorHAnsi"/>
                <w:b/>
                <w:color w:val="602167"/>
                <w:sz w:val="24"/>
              </w:rPr>
              <w:t>Definition</w:t>
            </w:r>
          </w:p>
        </w:tc>
      </w:tr>
      <w:tr w:rsidR="0053652A" w14:paraId="2665C8DF" w14:textId="77777777" w:rsidTr="00875A29">
        <w:trPr>
          <w:cantSplit/>
          <w:trHeight w:val="608"/>
        </w:trPr>
        <w:tc>
          <w:tcPr>
            <w:tcW w:w="2520" w:type="dxa"/>
            <w:tcBorders>
              <w:top w:val="single" w:sz="6" w:space="0" w:color="5F636A"/>
              <w:bottom w:val="single" w:sz="4" w:space="0" w:color="5F636A"/>
            </w:tcBorders>
          </w:tcPr>
          <w:p w14:paraId="1030723A" w14:textId="77777777" w:rsidR="0053652A" w:rsidRPr="00FA1A82" w:rsidRDefault="0053652A" w:rsidP="0053652A">
            <w:pPr>
              <w:pStyle w:val="TableParagraph"/>
              <w:rPr>
                <w:rFonts w:asciiTheme="minorHAnsi" w:hAnsiTheme="minorHAnsi"/>
              </w:rPr>
            </w:pPr>
            <w:r w:rsidRPr="00FA1A82">
              <w:rPr>
                <w:rFonts w:asciiTheme="minorHAnsi" w:hAnsiTheme="minorHAnsi"/>
              </w:rPr>
              <w:t>DSS</w:t>
            </w:r>
          </w:p>
        </w:tc>
        <w:tc>
          <w:tcPr>
            <w:tcW w:w="6378" w:type="dxa"/>
            <w:tcBorders>
              <w:top w:val="single" w:sz="6" w:space="0" w:color="5F636A"/>
              <w:bottom w:val="single" w:sz="4" w:space="0" w:color="5F636A"/>
            </w:tcBorders>
          </w:tcPr>
          <w:p w14:paraId="2D9ACAE0" w14:textId="77777777" w:rsidR="0053652A" w:rsidRPr="00FA1A82" w:rsidRDefault="0053652A" w:rsidP="00FA1A82">
            <w:pPr>
              <w:pStyle w:val="TableParagraph"/>
              <w:ind w:left="315"/>
              <w:rPr>
                <w:rFonts w:asciiTheme="minorHAnsi" w:hAnsiTheme="minorHAnsi"/>
              </w:rPr>
            </w:pPr>
            <w:r w:rsidRPr="00FA1A82">
              <w:rPr>
                <w:rFonts w:asciiTheme="minorHAnsi" w:hAnsiTheme="minorHAnsi"/>
              </w:rPr>
              <w:t>Department of Social Services</w:t>
            </w:r>
          </w:p>
        </w:tc>
      </w:tr>
      <w:tr w:rsidR="0053652A" w14:paraId="178809EB" w14:textId="77777777" w:rsidTr="00875A29">
        <w:trPr>
          <w:cantSplit/>
          <w:trHeight w:val="608"/>
        </w:trPr>
        <w:tc>
          <w:tcPr>
            <w:tcW w:w="2520" w:type="dxa"/>
            <w:tcBorders>
              <w:top w:val="single" w:sz="4" w:space="0" w:color="5F636A"/>
              <w:bottom w:val="single" w:sz="4" w:space="0" w:color="5F636A"/>
            </w:tcBorders>
          </w:tcPr>
          <w:p w14:paraId="29D7D028" w14:textId="77777777" w:rsidR="0053652A" w:rsidRPr="00FA1A82" w:rsidRDefault="0053652A" w:rsidP="0053652A">
            <w:pPr>
              <w:pStyle w:val="TableParagraph"/>
              <w:rPr>
                <w:rFonts w:asciiTheme="minorHAnsi" w:hAnsiTheme="minorHAnsi"/>
              </w:rPr>
            </w:pPr>
            <w:r w:rsidRPr="00FA1A82">
              <w:rPr>
                <w:rFonts w:asciiTheme="minorHAnsi" w:hAnsiTheme="minorHAnsi"/>
              </w:rPr>
              <w:t>ELT</w:t>
            </w:r>
          </w:p>
        </w:tc>
        <w:tc>
          <w:tcPr>
            <w:tcW w:w="6378" w:type="dxa"/>
            <w:tcBorders>
              <w:top w:val="single" w:sz="4" w:space="0" w:color="5F636A"/>
              <w:bottom w:val="single" w:sz="4" w:space="0" w:color="5F636A"/>
            </w:tcBorders>
          </w:tcPr>
          <w:p w14:paraId="57594A66" w14:textId="77777777" w:rsidR="0053652A" w:rsidRPr="00FA1A82" w:rsidRDefault="0053652A" w:rsidP="00FA1A82">
            <w:pPr>
              <w:pStyle w:val="TableParagraph"/>
              <w:ind w:left="315"/>
              <w:rPr>
                <w:rFonts w:asciiTheme="minorHAnsi" w:hAnsiTheme="minorHAnsi"/>
              </w:rPr>
            </w:pPr>
            <w:r w:rsidRPr="00FA1A82">
              <w:rPr>
                <w:rFonts w:asciiTheme="minorHAnsi" w:hAnsiTheme="minorHAnsi"/>
              </w:rPr>
              <w:t>Executive Leadership Team</w:t>
            </w:r>
          </w:p>
        </w:tc>
      </w:tr>
      <w:tr w:rsidR="0053652A" w14:paraId="316039A9" w14:textId="77777777" w:rsidTr="00875A29">
        <w:trPr>
          <w:cantSplit/>
          <w:trHeight w:val="608"/>
        </w:trPr>
        <w:tc>
          <w:tcPr>
            <w:tcW w:w="2520" w:type="dxa"/>
            <w:tcBorders>
              <w:top w:val="single" w:sz="4" w:space="0" w:color="5F636A"/>
              <w:bottom w:val="single" w:sz="4" w:space="0" w:color="5F636A"/>
            </w:tcBorders>
          </w:tcPr>
          <w:p w14:paraId="58F12E32" w14:textId="77777777" w:rsidR="0053652A" w:rsidRPr="00FA1A82" w:rsidRDefault="0053652A" w:rsidP="0053652A">
            <w:pPr>
              <w:pStyle w:val="TableParagraph"/>
              <w:rPr>
                <w:rFonts w:asciiTheme="minorHAnsi" w:hAnsiTheme="minorHAnsi"/>
              </w:rPr>
            </w:pPr>
            <w:r w:rsidRPr="00FA1A82">
              <w:rPr>
                <w:rFonts w:asciiTheme="minorHAnsi" w:hAnsiTheme="minorHAnsi"/>
              </w:rPr>
              <w:t>ICT</w:t>
            </w:r>
          </w:p>
        </w:tc>
        <w:tc>
          <w:tcPr>
            <w:tcW w:w="6378" w:type="dxa"/>
            <w:tcBorders>
              <w:top w:val="single" w:sz="4" w:space="0" w:color="5F636A"/>
              <w:bottom w:val="single" w:sz="4" w:space="0" w:color="5F636A"/>
            </w:tcBorders>
          </w:tcPr>
          <w:p w14:paraId="37862C5A" w14:textId="77777777" w:rsidR="0053652A" w:rsidRPr="00FA1A82" w:rsidRDefault="0053652A" w:rsidP="00FA1A82">
            <w:pPr>
              <w:pStyle w:val="TableParagraph"/>
              <w:ind w:left="315"/>
              <w:rPr>
                <w:rFonts w:asciiTheme="minorHAnsi" w:hAnsiTheme="minorHAnsi"/>
              </w:rPr>
            </w:pPr>
            <w:r w:rsidRPr="00FA1A82">
              <w:rPr>
                <w:rFonts w:asciiTheme="minorHAnsi" w:hAnsiTheme="minorHAnsi"/>
              </w:rPr>
              <w:t>Information and Communication Technology</w:t>
            </w:r>
          </w:p>
        </w:tc>
      </w:tr>
      <w:tr w:rsidR="0053652A" w14:paraId="397CDCF5" w14:textId="77777777" w:rsidTr="00875A29">
        <w:trPr>
          <w:cantSplit/>
          <w:trHeight w:val="608"/>
        </w:trPr>
        <w:tc>
          <w:tcPr>
            <w:tcW w:w="2520" w:type="dxa"/>
            <w:tcBorders>
              <w:top w:val="single" w:sz="4" w:space="0" w:color="5F636A"/>
              <w:bottom w:val="single" w:sz="4" w:space="0" w:color="5F636A"/>
            </w:tcBorders>
          </w:tcPr>
          <w:p w14:paraId="5390CE60" w14:textId="77777777" w:rsidR="0053652A" w:rsidRPr="00FA1A82" w:rsidRDefault="0053652A" w:rsidP="0053652A">
            <w:pPr>
              <w:pStyle w:val="TableParagraph"/>
              <w:rPr>
                <w:rFonts w:asciiTheme="minorHAnsi" w:hAnsiTheme="minorHAnsi"/>
              </w:rPr>
            </w:pPr>
            <w:r w:rsidRPr="00FA1A82">
              <w:rPr>
                <w:rFonts w:asciiTheme="minorHAnsi" w:hAnsiTheme="minorHAnsi"/>
              </w:rPr>
              <w:t>NDIA</w:t>
            </w:r>
          </w:p>
        </w:tc>
        <w:tc>
          <w:tcPr>
            <w:tcW w:w="6378" w:type="dxa"/>
            <w:tcBorders>
              <w:top w:val="single" w:sz="4" w:space="0" w:color="5F636A"/>
              <w:bottom w:val="single" w:sz="4" w:space="0" w:color="5F636A"/>
            </w:tcBorders>
          </w:tcPr>
          <w:p w14:paraId="754A2BBD" w14:textId="77777777" w:rsidR="0053652A" w:rsidRPr="00FA1A82" w:rsidRDefault="0053652A" w:rsidP="00FA1A82">
            <w:pPr>
              <w:pStyle w:val="TableParagraph"/>
              <w:ind w:left="315"/>
              <w:rPr>
                <w:rFonts w:asciiTheme="minorHAnsi" w:hAnsiTheme="minorHAnsi"/>
              </w:rPr>
            </w:pPr>
            <w:r w:rsidRPr="00FA1A82">
              <w:rPr>
                <w:rFonts w:asciiTheme="minorHAnsi" w:hAnsiTheme="minorHAnsi"/>
              </w:rPr>
              <w:t>National Disability Insurance Agency</w:t>
            </w:r>
          </w:p>
        </w:tc>
      </w:tr>
      <w:tr w:rsidR="0053652A" w14:paraId="2F8E3459" w14:textId="77777777" w:rsidTr="00FA1A82">
        <w:trPr>
          <w:cantSplit/>
          <w:trHeight w:val="637"/>
        </w:trPr>
        <w:tc>
          <w:tcPr>
            <w:tcW w:w="2520" w:type="dxa"/>
            <w:tcBorders>
              <w:top w:val="single" w:sz="4" w:space="0" w:color="5F636A"/>
              <w:bottom w:val="single" w:sz="12" w:space="0" w:color="0D0D0D" w:themeColor="text1" w:themeTint="F2"/>
            </w:tcBorders>
          </w:tcPr>
          <w:p w14:paraId="0635810B" w14:textId="77777777" w:rsidR="0053652A" w:rsidRPr="00FA1A82" w:rsidRDefault="0053652A" w:rsidP="0053652A">
            <w:pPr>
              <w:pStyle w:val="TableParagraph"/>
              <w:rPr>
                <w:rFonts w:asciiTheme="minorHAnsi" w:hAnsiTheme="minorHAnsi"/>
              </w:rPr>
            </w:pPr>
            <w:r w:rsidRPr="00FA1A82">
              <w:rPr>
                <w:rFonts w:asciiTheme="minorHAnsi" w:hAnsiTheme="minorHAnsi"/>
              </w:rPr>
              <w:t>NDIS</w:t>
            </w:r>
          </w:p>
        </w:tc>
        <w:tc>
          <w:tcPr>
            <w:tcW w:w="6378" w:type="dxa"/>
            <w:tcBorders>
              <w:top w:val="single" w:sz="4" w:space="0" w:color="5F636A"/>
              <w:bottom w:val="single" w:sz="12" w:space="0" w:color="0D0D0D" w:themeColor="text1" w:themeTint="F2"/>
            </w:tcBorders>
          </w:tcPr>
          <w:p w14:paraId="4DA434E6" w14:textId="77777777" w:rsidR="0053652A" w:rsidRPr="00FA1A82" w:rsidRDefault="0053652A" w:rsidP="00FA1A82">
            <w:pPr>
              <w:pStyle w:val="TableParagraph"/>
              <w:ind w:left="315"/>
              <w:rPr>
                <w:rFonts w:asciiTheme="minorHAnsi" w:hAnsiTheme="minorHAnsi"/>
              </w:rPr>
            </w:pPr>
            <w:r w:rsidRPr="00FA1A82">
              <w:rPr>
                <w:rFonts w:asciiTheme="minorHAnsi" w:hAnsiTheme="minorHAnsi"/>
              </w:rPr>
              <w:t>National Disability Insurance Scheme</w:t>
            </w:r>
          </w:p>
        </w:tc>
      </w:tr>
    </w:tbl>
    <w:p w14:paraId="7D7AF72C" w14:textId="77777777" w:rsidR="003E1347" w:rsidRDefault="003E1347">
      <w:pPr>
        <w:suppressAutoHyphens w:val="0"/>
        <w:spacing w:before="120" w:after="120" w:line="240" w:lineRule="auto"/>
      </w:pPr>
      <w:r>
        <w:br w:type="page"/>
      </w:r>
    </w:p>
    <w:p w14:paraId="71693FB4" w14:textId="77777777" w:rsidR="00C12F6E" w:rsidRDefault="00C12F6E" w:rsidP="00C12F6E">
      <w:pPr>
        <w:suppressAutoHyphens w:val="0"/>
        <w:spacing w:before="120" w:after="6000" w:line="240" w:lineRule="auto"/>
        <w:jc w:val="center"/>
      </w:pPr>
    </w:p>
    <w:p w14:paraId="6DBDCBCE" w14:textId="77777777" w:rsidR="00EA458C" w:rsidRDefault="00EA458C" w:rsidP="003E1347">
      <w:pPr>
        <w:suppressAutoHyphens w:val="0"/>
        <w:spacing w:before="120" w:after="120" w:line="240" w:lineRule="auto"/>
        <w:jc w:val="center"/>
      </w:pPr>
      <w:r>
        <w:t>For more information about this report, please contact</w:t>
      </w:r>
    </w:p>
    <w:p w14:paraId="2540A1F0" w14:textId="77777777" w:rsidR="00EA458C" w:rsidRDefault="00EA458C" w:rsidP="003E1347">
      <w:pPr>
        <w:suppressAutoHyphens w:val="0"/>
        <w:spacing w:before="120" w:after="120" w:line="240" w:lineRule="auto"/>
        <w:jc w:val="center"/>
      </w:pPr>
    </w:p>
    <w:p w14:paraId="3B9130A8" w14:textId="77777777" w:rsidR="00C12F6E" w:rsidRDefault="00EA458C" w:rsidP="003E1347">
      <w:pPr>
        <w:suppressAutoHyphens w:val="0"/>
        <w:spacing w:before="120" w:after="120" w:line="240" w:lineRule="auto"/>
        <w:jc w:val="center"/>
      </w:pPr>
      <w:r>
        <w:t xml:space="preserve">NDIS Quality and Safeguards Commission </w:t>
      </w:r>
    </w:p>
    <w:p w14:paraId="4C0466E9" w14:textId="77777777" w:rsidR="00EA458C" w:rsidRDefault="00EA458C" w:rsidP="003E1347">
      <w:pPr>
        <w:suppressAutoHyphens w:val="0"/>
        <w:spacing w:before="120" w:after="120" w:line="240" w:lineRule="auto"/>
        <w:jc w:val="center"/>
      </w:pPr>
      <w:r>
        <w:t>Telephone: 1800 035 544</w:t>
      </w:r>
    </w:p>
    <w:p w14:paraId="5FECD63A" w14:textId="77777777" w:rsidR="00C12F6E" w:rsidRDefault="00EA458C" w:rsidP="003E1347">
      <w:pPr>
        <w:suppressAutoHyphens w:val="0"/>
        <w:spacing w:before="120" w:after="120" w:line="240" w:lineRule="auto"/>
        <w:jc w:val="center"/>
      </w:pPr>
      <w:r>
        <w:t xml:space="preserve">For people with hearing or speech loss TTY: 133 677 </w:t>
      </w:r>
    </w:p>
    <w:p w14:paraId="1BE36A41" w14:textId="77777777" w:rsidR="00EA458C" w:rsidRDefault="00EA458C" w:rsidP="003E1347">
      <w:pPr>
        <w:suppressAutoHyphens w:val="0"/>
        <w:spacing w:before="120" w:after="120" w:line="240" w:lineRule="auto"/>
        <w:jc w:val="center"/>
      </w:pPr>
      <w:r>
        <w:t>Speak and Listen: 1800 555 727</w:t>
      </w:r>
    </w:p>
    <w:p w14:paraId="7E700AC3" w14:textId="77777777" w:rsidR="00E26583" w:rsidRPr="00455AAF" w:rsidRDefault="00EA458C" w:rsidP="003E1347">
      <w:pPr>
        <w:suppressAutoHyphens w:val="0"/>
        <w:spacing w:before="120" w:after="120" w:line="240" w:lineRule="auto"/>
        <w:jc w:val="center"/>
      </w:pPr>
      <w:r>
        <w:t>For people who need help in English TIS: 131 45</w:t>
      </w:r>
    </w:p>
    <w:sectPr w:rsidR="00E26583" w:rsidRPr="00455AAF" w:rsidSect="00CE4DAF">
      <w:headerReference w:type="first" r:id="rId22"/>
      <w:footerReference w:type="first" r:id="rId23"/>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C5C86" w14:textId="77777777" w:rsidR="008A012F" w:rsidRDefault="008A012F" w:rsidP="008E21DE">
      <w:pPr>
        <w:spacing w:before="0" w:after="0"/>
      </w:pPr>
      <w:r>
        <w:separator/>
      </w:r>
    </w:p>
  </w:endnote>
  <w:endnote w:type="continuationSeparator" w:id="0">
    <w:p w14:paraId="477FBC98" w14:textId="77777777" w:rsidR="008A012F" w:rsidRDefault="008A012F"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Light">
    <w:altName w:val="Franklin Gothic Medium Cond"/>
    <w:charset w:val="00"/>
    <w:family w:val="auto"/>
    <w:pitch w:val="variable"/>
    <w:sig w:usb0="00000001" w:usb1="5000606A" w:usb2="00000000" w:usb3="00000000" w:csb0="00000093" w:csb1="00000000"/>
  </w:font>
  <w:font w:name="FS Me">
    <w:altName w:val="Segoe Condensed"/>
    <w:charset w:val="00"/>
    <w:family w:val="auto"/>
    <w:pitch w:val="variable"/>
    <w:sig w:usb0="00000001" w:usb1="50006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90885" w14:textId="77777777" w:rsidR="009E4B86" w:rsidRDefault="009E4B86" w:rsidP="00362AB6">
    <w:pPr>
      <w:pStyle w:val="Footer"/>
    </w:pPr>
    <w:r>
      <w:rPr>
        <w:b/>
        <w:bCs/>
        <w:noProof/>
        <w:lang w:eastAsia="en-AU"/>
      </w:rPr>
      <mc:AlternateContent>
        <mc:Choice Requires="wps">
          <w:drawing>
            <wp:inline distT="0" distB="0" distL="0" distR="0" wp14:anchorId="18FC5834" wp14:editId="23D07911">
              <wp:extent cx="5724000" cy="79200"/>
              <wp:effectExtent l="0" t="0" r="0" b="0"/>
              <wp:docPr id="8" name="Rectangle 8" descr="background" title="background"/>
              <wp:cNvGraphicFramePr/>
              <a:graphic xmlns:a="http://schemas.openxmlformats.org/drawingml/2006/main">
                <a:graphicData uri="http://schemas.microsoft.com/office/word/2010/wordprocessingShape">
                  <wps:wsp>
                    <wps:cNvSpPr/>
                    <wps:spPr>
                      <a:xfrm>
                        <a:off x="0" y="0"/>
                        <a:ext cx="5724000" cy="79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C1E03C" id="Rectangle 8"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" fillcolor="#539250 [3207]" stroked="f" strokeweight="1pt">
              <v:fill color2="#83b14c [3208]" angle="90" colors="0 #539250;.5 #83b14c" focus="100%" type="gradient">
                <o:fill v:ext="view" type="gradientUnscaled"/>
              </v:fill>
              <w10:anchorlock/>
            </v:rect>
          </w:pict>
        </mc:Fallback>
      </mc:AlternateContent>
    </w:r>
  </w:p>
  <w:p w14:paraId="3228A84A" w14:textId="74BAE015" w:rsidR="009E4B86" w:rsidRPr="00080615" w:rsidRDefault="009E4B86"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sidR="00A6054B">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3E19D" w14:textId="77777777" w:rsidR="009E4B86" w:rsidRPr="00080615" w:rsidRDefault="009E4B86" w:rsidP="00080615">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10CCE" w14:textId="77777777" w:rsidR="009E4B86" w:rsidRDefault="009E4B86" w:rsidP="00080615">
    <w:pPr>
      <w:pStyle w:val="Footer"/>
      <w:rPr>
        <w:sz w:val="18"/>
        <w:szCs w:val="18"/>
      </w:rPr>
    </w:pPr>
    <w:r>
      <w:rPr>
        <w:b/>
        <w:bCs/>
        <w:noProof/>
        <w:lang w:eastAsia="en-AU"/>
      </w:rPr>
      <mc:AlternateContent>
        <mc:Choice Requires="wps">
          <w:drawing>
            <wp:inline distT="0" distB="0" distL="0" distR="0" wp14:anchorId="69CAF616" wp14:editId="2A4FAA0C">
              <wp:extent cx="5724525" cy="80010"/>
              <wp:effectExtent l="0" t="0" r="9525" b="0"/>
              <wp:docPr id="3" name="Rectangle 3" descr="background"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628549" id="Rectangle 3" o:spid="_x0000_s1026" alt="Title: background - Description: background"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37253A4A" w14:textId="39F7CD6A" w:rsidR="009E4B86" w:rsidRPr="00080615" w:rsidRDefault="009E4B86"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A6054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FD532" w14:textId="77777777" w:rsidR="008A012F" w:rsidRDefault="008A012F" w:rsidP="008E21DE">
      <w:pPr>
        <w:spacing w:before="0" w:after="0"/>
      </w:pPr>
      <w:r>
        <w:separator/>
      </w:r>
    </w:p>
  </w:footnote>
  <w:footnote w:type="continuationSeparator" w:id="0">
    <w:p w14:paraId="406D842D" w14:textId="77777777" w:rsidR="008A012F" w:rsidRDefault="008A012F"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BDDC5" w14:textId="77777777" w:rsidR="009E4B86" w:rsidRDefault="009E4B86">
    <w:pPr>
      <w:pStyle w:val="Header"/>
    </w:pPr>
  </w:p>
  <w:p w14:paraId="71A796F2" w14:textId="77777777" w:rsidR="009E4B86" w:rsidRDefault="009E4B86">
    <w:pPr>
      <w:pStyle w:val="Header"/>
    </w:pPr>
    <w:r>
      <w:rPr>
        <w:b w:val="0"/>
        <w:bCs/>
        <w:noProof/>
        <w:lang w:eastAsia="en-AU"/>
      </w:rPr>
      <mc:AlternateContent>
        <mc:Choice Requires="wps">
          <w:drawing>
            <wp:inline distT="0" distB="0" distL="0" distR="0" wp14:anchorId="004A10C6" wp14:editId="34721E2C">
              <wp:extent cx="5724000" cy="79200"/>
              <wp:effectExtent l="0" t="0" r="0" b="0"/>
              <wp:docPr id="2" name="Rectangle 2" descr="background" title="background"/>
              <wp:cNvGraphicFramePr/>
              <a:graphic xmlns:a="http://schemas.openxmlformats.org/drawingml/2006/main">
                <a:graphicData uri="http://schemas.microsoft.com/office/word/2010/wordprocessingShape">
                  <wps:wsp>
                    <wps:cNvSpPr/>
                    <wps:spPr>
                      <a:xfrm>
                        <a:off x="0" y="0"/>
                        <a:ext cx="5724000" cy="792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3B5218" w14:textId="77777777" w:rsidR="009E4B86" w:rsidRDefault="009E4B86" w:rsidP="00960207">
                          <w:pPr>
                            <w:suppressAutoHyphens w:val="0"/>
                            <w:spacing w:before="120" w:after="120" w:line="240" w:lineRule="auto"/>
                          </w:pPr>
                          <w:r>
                            <w:t>Corporate Plan 2022–23</w:t>
                          </w:r>
                        </w:p>
                        <w:p w14:paraId="77C94459" w14:textId="77777777" w:rsidR="009E4B86" w:rsidRDefault="009E4B86" w:rsidP="009602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4A10C6" id="Rectangle 2"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" fillcolor="#612c69" stroked="f" strokeweight="1pt">
              <v:textbox>
                <w:txbxContent>
                  <w:p w14:paraId="4D3B5218" w14:textId="77777777" w:rsidR="009E4B86" w:rsidRDefault="009E4B86" w:rsidP="00960207">
                    <w:pPr>
                      <w:suppressAutoHyphens w:val="0"/>
                      <w:spacing w:before="120" w:after="120" w:line="240" w:lineRule="auto"/>
                    </w:pPr>
                    <w:r>
                      <w:t>Corporate Plan 2022–23</w:t>
                    </w:r>
                  </w:p>
                  <w:p w14:paraId="77C94459" w14:textId="77777777" w:rsidR="009E4B86" w:rsidRDefault="009E4B86" w:rsidP="00960207">
                    <w:pPr>
                      <w:jc w:val="center"/>
                    </w:pPr>
                  </w:p>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F5C3" w14:textId="77777777" w:rsidR="009E4B86" w:rsidRDefault="009E4B86">
    <w:pPr>
      <w:pStyle w:val="Header"/>
    </w:pPr>
    <w:r>
      <w:rPr>
        <w:noProof/>
        <w:lang w:eastAsia="en-AU"/>
      </w:rPr>
      <mc:AlternateContent>
        <mc:Choice Requires="wps">
          <w:drawing>
            <wp:anchor distT="0" distB="0" distL="114300" distR="114300" simplePos="0" relativeHeight="251659264" behindDoc="1" locked="0" layoutInCell="1" allowOverlap="1" wp14:anchorId="0FC1412B" wp14:editId="03EDC6BF">
              <wp:simplePos x="0" y="0"/>
              <wp:positionH relativeFrom="margin">
                <wp:posOffset>-1515745</wp:posOffset>
              </wp:positionH>
              <wp:positionV relativeFrom="paragraph">
                <wp:posOffset>-380365</wp:posOffset>
              </wp:positionV>
              <wp:extent cx="12192000" cy="12620625"/>
              <wp:effectExtent l="0" t="0" r="0" b="9525"/>
              <wp:wrapNone/>
              <wp:docPr id="4" name="Rectangle 3" descr="Decorative background">
                <a:extLst xmlns:a="http://schemas.openxmlformats.org/drawingml/2006/main">
                  <a:ext uri="{FF2B5EF4-FFF2-40B4-BE49-F238E27FC236}">
                    <a16:creationId xmlns:a16="http://schemas.microsoft.com/office/drawing/2014/main" id="{123A4C72-35F1-4FD8-97EE-9C874F6EC622}"/>
                  </a:ext>
                </a:extLst>
              </wp:docPr>
              <wp:cNvGraphicFramePr/>
              <a:graphic xmlns:a="http://schemas.openxmlformats.org/drawingml/2006/main">
                <a:graphicData uri="http://schemas.microsoft.com/office/word/2010/wordprocessingShape">
                  <wps:wsp>
                    <wps:cNvSpPr/>
                    <wps:spPr>
                      <a:xfrm>
                        <a:off x="0" y="0"/>
                        <a:ext cx="12192000" cy="12620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2237FAAC" id="Rectangle 3" o:spid="_x0000_s1026" alt="Decorative background" style="position:absolute;margin-left:-119.35pt;margin-top:-29.95pt;width:960pt;height:993.7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" fillcolor="#5f2e74 [3204]" stroked="f" strokeweight="1pt">
              <w10:wrap anchorx="margin"/>
            </v:rect>
          </w:pict>
        </mc:Fallback>
      </mc:AlternateContent>
    </w:r>
    <w:r>
      <w:rPr>
        <w:noProof/>
        <w:lang w:eastAsia="en-AU"/>
      </w:rPr>
      <w:drawing>
        <wp:inline distT="0" distB="0" distL="0" distR="0" wp14:anchorId="53EE42BC" wp14:editId="15817314">
          <wp:extent cx="3572510" cy="1109345"/>
          <wp:effectExtent l="0" t="0" r="0" b="0"/>
          <wp:docPr id="56" name="Picture 56" descr="Australian Government NDIS Quality and Safegua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2510" cy="11093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1EBF0" w14:textId="77777777" w:rsidR="009E4B86" w:rsidRDefault="009E4B86">
    <w:pPr>
      <w:pStyle w:val="Header"/>
    </w:pPr>
    <w:r>
      <w:rPr>
        <w:noProof/>
        <w:lang w:eastAsia="en-AU"/>
      </w:rPr>
      <w:drawing>
        <wp:inline distT="0" distB="0" distL="0" distR="0" wp14:anchorId="1C8BFAAA" wp14:editId="411BFD23">
          <wp:extent cx="3497386" cy="1350335"/>
          <wp:effectExtent l="0" t="0" r="8255" b="0"/>
          <wp:docPr id="1" name="Picture 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5459" t="-8571" b="-9043"/>
                  <a:stretch/>
                </pic:blipFill>
                <pic:spPr bwMode="auto">
                  <a:xfrm>
                    <a:off x="0" y="0"/>
                    <a:ext cx="3498918" cy="13509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35D38D"/>
    <w:multiLevelType w:val="hybridMultilevel"/>
    <w:tmpl w:val="9CBA19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D239FE"/>
    <w:multiLevelType w:val="hybridMultilevel"/>
    <w:tmpl w:val="E77AB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7" w15:restartNumberingAfterBreak="0">
    <w:nsid w:val="4749713B"/>
    <w:multiLevelType w:val="multilevel"/>
    <w:tmpl w:val="887EDDEE"/>
    <w:lvl w:ilvl="0">
      <w:start w:val="1"/>
      <w:numFmt w:val="lowerLetter"/>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4DB56261"/>
    <w:multiLevelType w:val="multilevel"/>
    <w:tmpl w:val="F458906E"/>
    <w:lvl w:ilvl="0">
      <w:start w:val="1"/>
      <w:numFmt w:val="decimal"/>
      <w:lvlText w:val="%1."/>
      <w:lvlJc w:val="left"/>
      <w:pPr>
        <w:ind w:left="284" w:hanging="284"/>
      </w:pPr>
      <w:rPr>
        <w:rFonts w:hint="default"/>
        <w:b w:val="0"/>
        <w:i w:val="0"/>
        <w:color w:val="auto"/>
      </w:rPr>
    </w:lvl>
    <w:lvl w:ilvl="1">
      <w:start w:val="1"/>
      <w:numFmt w:val="lowerRoman"/>
      <w:lvlText w:val="%2."/>
      <w:lvlJc w:val="righ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615703"/>
    <w:multiLevelType w:val="multilevel"/>
    <w:tmpl w:val="803CF862"/>
    <w:numStyleLink w:val="List1Numbered"/>
  </w:abstractNum>
  <w:abstractNum w:abstractNumId="12" w15:restartNumberingAfterBreak="0">
    <w:nsid w:val="6D4F423B"/>
    <w:multiLevelType w:val="multilevel"/>
    <w:tmpl w:val="4A7CCC2C"/>
    <w:numStyleLink w:val="DefaultBullets"/>
  </w:abstractNum>
  <w:abstractNum w:abstractNumId="13" w15:restartNumberingAfterBreak="0">
    <w:nsid w:val="7009604C"/>
    <w:multiLevelType w:val="hybridMultilevel"/>
    <w:tmpl w:val="30A206D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90B67C4"/>
    <w:multiLevelType w:val="multilevel"/>
    <w:tmpl w:val="FE688822"/>
    <w:numStyleLink w:val="BoxedBullets"/>
  </w:abstractNum>
  <w:abstractNum w:abstractNumId="16" w15:restartNumberingAfterBreak="0">
    <w:nsid w:val="7BE2EFF6"/>
    <w:multiLevelType w:val="hybridMultilevel"/>
    <w:tmpl w:val="56E683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9"/>
  </w:num>
  <w:num w:numId="3">
    <w:abstractNumId w:val="15"/>
  </w:num>
  <w:num w:numId="4">
    <w:abstractNumId w:val="6"/>
  </w:num>
  <w:num w:numId="5">
    <w:abstractNumId w:val="4"/>
  </w:num>
  <w:num w:numId="6">
    <w:abstractNumId w:val="3"/>
  </w:num>
  <w:num w:numId="7">
    <w:abstractNumId w:val="11"/>
  </w:num>
  <w:num w:numId="8">
    <w:abstractNumId w:val="10"/>
  </w:num>
  <w:num w:numId="9">
    <w:abstractNumId w:val="5"/>
  </w:num>
  <w:num w:numId="10">
    <w:abstractNumId w:val="14"/>
  </w:num>
  <w:num w:numId="11">
    <w:abstractNumId w:val="12"/>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3"/>
  </w:num>
  <w:num w:numId="13">
    <w:abstractNumId w:val="7"/>
  </w:num>
  <w:num w:numId="14">
    <w:abstractNumId w:val="8"/>
  </w:num>
  <w:num w:numId="15">
    <w:abstractNumId w:val="12"/>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6">
    <w:abstractNumId w:val="16"/>
  </w:num>
  <w:num w:numId="17">
    <w:abstractNumId w:val="1"/>
  </w:num>
  <w:num w:numId="1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D0"/>
    <w:rsid w:val="00031B8B"/>
    <w:rsid w:val="0005633B"/>
    <w:rsid w:val="00075B93"/>
    <w:rsid w:val="00080615"/>
    <w:rsid w:val="000C252F"/>
    <w:rsid w:val="000D68CA"/>
    <w:rsid w:val="000F3A54"/>
    <w:rsid w:val="000F48FC"/>
    <w:rsid w:val="0011439F"/>
    <w:rsid w:val="00121AA9"/>
    <w:rsid w:val="00163B55"/>
    <w:rsid w:val="00174326"/>
    <w:rsid w:val="0018425B"/>
    <w:rsid w:val="001B7058"/>
    <w:rsid w:val="001E473B"/>
    <w:rsid w:val="001F4A1E"/>
    <w:rsid w:val="00201052"/>
    <w:rsid w:val="00230DF1"/>
    <w:rsid w:val="00231AAC"/>
    <w:rsid w:val="00246A7B"/>
    <w:rsid w:val="0025780C"/>
    <w:rsid w:val="00260CCC"/>
    <w:rsid w:val="002804D3"/>
    <w:rsid w:val="0028213F"/>
    <w:rsid w:val="00297DD0"/>
    <w:rsid w:val="002B7427"/>
    <w:rsid w:val="002E66EE"/>
    <w:rsid w:val="002E7930"/>
    <w:rsid w:val="002F3AFC"/>
    <w:rsid w:val="002F3D02"/>
    <w:rsid w:val="00304664"/>
    <w:rsid w:val="003449A0"/>
    <w:rsid w:val="0034655F"/>
    <w:rsid w:val="00362AB6"/>
    <w:rsid w:val="00383AC8"/>
    <w:rsid w:val="003A30D6"/>
    <w:rsid w:val="003E1347"/>
    <w:rsid w:val="003E1AB2"/>
    <w:rsid w:val="003E6873"/>
    <w:rsid w:val="003F29B8"/>
    <w:rsid w:val="004024FE"/>
    <w:rsid w:val="004154E2"/>
    <w:rsid w:val="00415AE2"/>
    <w:rsid w:val="00432589"/>
    <w:rsid w:val="004359DF"/>
    <w:rsid w:val="00436539"/>
    <w:rsid w:val="00451C14"/>
    <w:rsid w:val="00455AAF"/>
    <w:rsid w:val="004B515A"/>
    <w:rsid w:val="004C1DD3"/>
    <w:rsid w:val="004D4273"/>
    <w:rsid w:val="004E00E4"/>
    <w:rsid w:val="00534D53"/>
    <w:rsid w:val="0053652A"/>
    <w:rsid w:val="00544AF8"/>
    <w:rsid w:val="00552524"/>
    <w:rsid w:val="00553B25"/>
    <w:rsid w:val="005579B6"/>
    <w:rsid w:val="00581215"/>
    <w:rsid w:val="00582A32"/>
    <w:rsid w:val="005A52E5"/>
    <w:rsid w:val="005B6171"/>
    <w:rsid w:val="005D44D8"/>
    <w:rsid w:val="00646885"/>
    <w:rsid w:val="00650E13"/>
    <w:rsid w:val="00662EB7"/>
    <w:rsid w:val="0067135E"/>
    <w:rsid w:val="00673253"/>
    <w:rsid w:val="00673B81"/>
    <w:rsid w:val="006760AB"/>
    <w:rsid w:val="00680A20"/>
    <w:rsid w:val="00680F04"/>
    <w:rsid w:val="00686753"/>
    <w:rsid w:val="006A5FB6"/>
    <w:rsid w:val="006E1AC9"/>
    <w:rsid w:val="00702132"/>
    <w:rsid w:val="00727279"/>
    <w:rsid w:val="0076178C"/>
    <w:rsid w:val="007703DE"/>
    <w:rsid w:val="0079299E"/>
    <w:rsid w:val="007A24B7"/>
    <w:rsid w:val="007D5B1F"/>
    <w:rsid w:val="007D6085"/>
    <w:rsid w:val="007E0769"/>
    <w:rsid w:val="007F1974"/>
    <w:rsid w:val="007F5D31"/>
    <w:rsid w:val="00803179"/>
    <w:rsid w:val="00820B5A"/>
    <w:rsid w:val="00830BE2"/>
    <w:rsid w:val="00870DED"/>
    <w:rsid w:val="008725B9"/>
    <w:rsid w:val="00875A29"/>
    <w:rsid w:val="0087733E"/>
    <w:rsid w:val="008A012F"/>
    <w:rsid w:val="008A649A"/>
    <w:rsid w:val="008B490B"/>
    <w:rsid w:val="008C2E73"/>
    <w:rsid w:val="008E21DE"/>
    <w:rsid w:val="00910087"/>
    <w:rsid w:val="00914A88"/>
    <w:rsid w:val="0092679E"/>
    <w:rsid w:val="00946E60"/>
    <w:rsid w:val="00960207"/>
    <w:rsid w:val="00973335"/>
    <w:rsid w:val="009C4C04"/>
    <w:rsid w:val="009E4B86"/>
    <w:rsid w:val="009E7355"/>
    <w:rsid w:val="009F5073"/>
    <w:rsid w:val="00A07E4A"/>
    <w:rsid w:val="00A11903"/>
    <w:rsid w:val="00A40642"/>
    <w:rsid w:val="00A54967"/>
    <w:rsid w:val="00A60009"/>
    <w:rsid w:val="00A6054B"/>
    <w:rsid w:val="00AA00AF"/>
    <w:rsid w:val="00AA094B"/>
    <w:rsid w:val="00AA4820"/>
    <w:rsid w:val="00AB12D5"/>
    <w:rsid w:val="00AD735D"/>
    <w:rsid w:val="00AE6F93"/>
    <w:rsid w:val="00AF0899"/>
    <w:rsid w:val="00B025D1"/>
    <w:rsid w:val="00B14FC8"/>
    <w:rsid w:val="00B3557F"/>
    <w:rsid w:val="00B35BDF"/>
    <w:rsid w:val="00B51CED"/>
    <w:rsid w:val="00B603C0"/>
    <w:rsid w:val="00B70F5F"/>
    <w:rsid w:val="00B80518"/>
    <w:rsid w:val="00B83AB4"/>
    <w:rsid w:val="00B94250"/>
    <w:rsid w:val="00BD2AFB"/>
    <w:rsid w:val="00BF3809"/>
    <w:rsid w:val="00C03EBD"/>
    <w:rsid w:val="00C0421C"/>
    <w:rsid w:val="00C10202"/>
    <w:rsid w:val="00C12F6E"/>
    <w:rsid w:val="00C21944"/>
    <w:rsid w:val="00C502A2"/>
    <w:rsid w:val="00C52C59"/>
    <w:rsid w:val="00C5531F"/>
    <w:rsid w:val="00C602C0"/>
    <w:rsid w:val="00C6534A"/>
    <w:rsid w:val="00C90DF2"/>
    <w:rsid w:val="00C92FAF"/>
    <w:rsid w:val="00CE4DAF"/>
    <w:rsid w:val="00D046E1"/>
    <w:rsid w:val="00D054D5"/>
    <w:rsid w:val="00D14014"/>
    <w:rsid w:val="00D2537F"/>
    <w:rsid w:val="00D3072D"/>
    <w:rsid w:val="00DB1054"/>
    <w:rsid w:val="00DD6202"/>
    <w:rsid w:val="00DF74BA"/>
    <w:rsid w:val="00E03F20"/>
    <w:rsid w:val="00E260AC"/>
    <w:rsid w:val="00E26583"/>
    <w:rsid w:val="00E26C0E"/>
    <w:rsid w:val="00E30DA3"/>
    <w:rsid w:val="00E336F6"/>
    <w:rsid w:val="00E47366"/>
    <w:rsid w:val="00EA458C"/>
    <w:rsid w:val="00EB0121"/>
    <w:rsid w:val="00EC070E"/>
    <w:rsid w:val="00EC35C4"/>
    <w:rsid w:val="00EC4DFB"/>
    <w:rsid w:val="00EC53E4"/>
    <w:rsid w:val="00EE46BF"/>
    <w:rsid w:val="00EE67AD"/>
    <w:rsid w:val="00EE737C"/>
    <w:rsid w:val="00F101A6"/>
    <w:rsid w:val="00F10A81"/>
    <w:rsid w:val="00F13787"/>
    <w:rsid w:val="00F17759"/>
    <w:rsid w:val="00F34E12"/>
    <w:rsid w:val="00F445AD"/>
    <w:rsid w:val="00F562F8"/>
    <w:rsid w:val="00F704CE"/>
    <w:rsid w:val="00F7471C"/>
    <w:rsid w:val="00F86760"/>
    <w:rsid w:val="00F9318C"/>
    <w:rsid w:val="00FA1A82"/>
    <w:rsid w:val="00FD0FC8"/>
    <w:rsid w:val="00FD5EE7"/>
    <w:rsid w:val="00FD6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37A79"/>
  <w15:chartTrackingRefBased/>
  <w15:docId w15:val="{B760D25B-F8B5-4A77-BE50-B6DFE76F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A1E"/>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67135E"/>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5D44D8"/>
    <w:pPr>
      <w:tabs>
        <w:tab w:val="right" w:leader="dot" w:pos="9628"/>
      </w:tabs>
      <w:spacing w:before="120" w:after="120" w:line="240" w:lineRule="auto"/>
      <w:ind w:left="851" w:hanging="851"/>
    </w:pPr>
    <w:rPr>
      <w:rFonts w:asciiTheme="majorHAnsi" w:hAnsiTheme="majorHAnsi"/>
      <w:noProof/>
      <w:sz w:val="24"/>
      <w:szCs w:val="24"/>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Covertitle">
    <w:name w:val="Cover title"/>
    <w:basedOn w:val="Normal"/>
    <w:link w:val="CovertitleChar"/>
    <w:uiPriority w:val="3"/>
    <w:qFormat/>
    <w:rsid w:val="00CE4DAF"/>
    <w:pPr>
      <w:spacing w:before="396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F704CE"/>
    <w:pPr>
      <w:pBdr>
        <w:left w:val="single" w:sz="48" w:space="25" w:color="9DC44D" w:themeColor="accent6"/>
      </w:pBdr>
      <w:spacing w:before="0"/>
      <w:ind w:left="709"/>
    </w:pPr>
    <w:rPr>
      <w:color w:val="FFFFFF" w:themeColor="background1"/>
      <w:sz w:val="60"/>
      <w:szCs w:val="60"/>
    </w:rPr>
  </w:style>
  <w:style w:type="character" w:customStyle="1" w:styleId="CovertitleChar">
    <w:name w:val="Cover title Char"/>
    <w:basedOn w:val="DefaultParagraphFont"/>
    <w:link w:val="Covertitle"/>
    <w:uiPriority w:val="3"/>
    <w:rsid w:val="00CE4DAF"/>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sid w:val="00F704CE"/>
    <w:rPr>
      <w:color w:val="FFFFFF" w:themeColor="background1"/>
      <w:sz w:val="60"/>
      <w:szCs w:val="60"/>
    </w:rPr>
  </w:style>
  <w:style w:type="table" w:styleId="ListTable3-Accent2">
    <w:name w:val="List Table 3 Accent 2"/>
    <w:basedOn w:val="TableNormal"/>
    <w:uiPriority w:val="48"/>
    <w:rsid w:val="0067135E"/>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customStyle="1" w:styleId="NDISCommission">
    <w:name w:val="NDIS Commission"/>
    <w:basedOn w:val="ListTable3-Accent2"/>
    <w:uiPriority w:val="99"/>
    <w:rsid w:val="004359DF"/>
    <w:pPr>
      <w:spacing w:before="0"/>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themeColor="background1"/>
        <w:sz w:val="22"/>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DF"/>
    <w:rPr>
      <w:rFonts w:ascii="Segoe UI" w:hAnsi="Segoe UI" w:cs="Segoe UI"/>
      <w:sz w:val="18"/>
      <w:szCs w:val="18"/>
    </w:rPr>
  </w:style>
  <w:style w:type="paragraph" w:customStyle="1" w:styleId="H2-16pts">
    <w:name w:val="H2-16pts"/>
    <w:basedOn w:val="Normal"/>
    <w:qFormat/>
    <w:rsid w:val="00F562F8"/>
    <w:pPr>
      <w:suppressAutoHyphens w:val="0"/>
      <w:spacing w:before="120" w:after="120" w:line="240" w:lineRule="auto"/>
      <w:outlineLvl w:val="1"/>
    </w:pPr>
    <w:rPr>
      <w:color w:val="612C69"/>
      <w:sz w:val="32"/>
    </w:rPr>
  </w:style>
  <w:style w:type="paragraph" w:customStyle="1" w:styleId="firstparagraph">
    <w:name w:val="first paragraph"/>
    <w:basedOn w:val="Normal"/>
    <w:qFormat/>
    <w:rsid w:val="00E26583"/>
    <w:pPr>
      <w:suppressAutoHyphens w:val="0"/>
      <w:spacing w:before="120" w:after="240" w:line="240" w:lineRule="auto"/>
    </w:pPr>
    <w:rPr>
      <w:sz w:val="28"/>
      <w:szCs w:val="28"/>
    </w:rPr>
  </w:style>
  <w:style w:type="paragraph" w:styleId="ListParagraph">
    <w:name w:val="List Paragraph"/>
    <w:basedOn w:val="Normal"/>
    <w:uiPriority w:val="34"/>
    <w:unhideWhenUsed/>
    <w:qFormat/>
    <w:rsid w:val="007D6085"/>
    <w:pPr>
      <w:ind w:left="720"/>
      <w:contextualSpacing/>
    </w:pPr>
  </w:style>
  <w:style w:type="paragraph" w:customStyle="1" w:styleId="TableParagraph">
    <w:name w:val="Table Paragraph"/>
    <w:basedOn w:val="Normal"/>
    <w:uiPriority w:val="1"/>
    <w:qFormat/>
    <w:rsid w:val="000D68CA"/>
    <w:pPr>
      <w:widowControl w:val="0"/>
      <w:suppressAutoHyphens w:val="0"/>
      <w:autoSpaceDE w:val="0"/>
      <w:autoSpaceDN w:val="0"/>
      <w:spacing w:before="184" w:after="0" w:line="240" w:lineRule="auto"/>
      <w:ind w:left="80"/>
    </w:pPr>
    <w:rPr>
      <w:rFonts w:ascii="FS Me Light" w:eastAsia="FS Me Light" w:hAnsi="FS Me Light" w:cs="FS Me Light"/>
      <w:color w:val="auto"/>
      <w:szCs w:val="22"/>
      <w:lang w:val="en-GB"/>
    </w:rPr>
  </w:style>
  <w:style w:type="paragraph" w:customStyle="1" w:styleId="call-out">
    <w:name w:val="call-out"/>
    <w:basedOn w:val="Normal"/>
    <w:qFormat/>
    <w:rsid w:val="00174326"/>
    <w:pPr>
      <w:pBdr>
        <w:left w:val="single" w:sz="12" w:space="7" w:color="612C69"/>
      </w:pBdr>
      <w:suppressAutoHyphens w:val="0"/>
      <w:spacing w:before="0" w:after="0" w:line="240" w:lineRule="auto"/>
      <w:ind w:left="227" w:right="397"/>
    </w:pPr>
    <w:rPr>
      <w:sz w:val="26"/>
      <w:szCs w:val="26"/>
    </w:rPr>
  </w:style>
  <w:style w:type="paragraph" w:customStyle="1" w:styleId="Default">
    <w:name w:val="Default"/>
    <w:rsid w:val="001E473B"/>
    <w:pPr>
      <w:autoSpaceDE w:val="0"/>
      <w:autoSpaceDN w:val="0"/>
      <w:adjustRightInd w:val="0"/>
      <w:spacing w:before="0" w:after="0"/>
    </w:pPr>
    <w:rPr>
      <w:rFonts w:ascii="FS Me" w:hAnsi="FS Me" w:cs="FS Me"/>
      <w:color w:val="000000"/>
      <w:sz w:val="24"/>
      <w:szCs w:val="24"/>
    </w:rPr>
  </w:style>
  <w:style w:type="paragraph" w:customStyle="1" w:styleId="Pa25">
    <w:name w:val="Pa25"/>
    <w:basedOn w:val="Default"/>
    <w:next w:val="Default"/>
    <w:uiPriority w:val="99"/>
    <w:rsid w:val="001E473B"/>
    <w:pPr>
      <w:spacing w:line="241" w:lineRule="atLeast"/>
    </w:pPr>
    <w:rPr>
      <w:rFonts w:cstheme="minorBidi"/>
      <w:color w:val="000000" w:themeColor="text1"/>
    </w:rPr>
  </w:style>
  <w:style w:type="paragraph" w:customStyle="1" w:styleId="Pa63">
    <w:name w:val="Pa63"/>
    <w:basedOn w:val="Default"/>
    <w:next w:val="Default"/>
    <w:uiPriority w:val="99"/>
    <w:rsid w:val="00DB1054"/>
    <w:pPr>
      <w:spacing w:line="221" w:lineRule="atLeast"/>
    </w:pPr>
    <w:rPr>
      <w:rFonts w:cstheme="minorBidi"/>
      <w:color w:val="000000" w:themeColor="text1"/>
    </w:rPr>
  </w:style>
  <w:style w:type="character" w:customStyle="1" w:styleId="A10">
    <w:name w:val="A10"/>
    <w:uiPriority w:val="99"/>
    <w:rsid w:val="002F3D02"/>
    <w:rPr>
      <w:rFonts w:cs="FS Me"/>
      <w:color w:val="5E2065"/>
      <w:sz w:val="20"/>
      <w:szCs w:val="20"/>
    </w:rPr>
  </w:style>
  <w:style w:type="paragraph" w:customStyle="1" w:styleId="Pa51">
    <w:name w:val="Pa51"/>
    <w:basedOn w:val="Default"/>
    <w:next w:val="Default"/>
    <w:uiPriority w:val="99"/>
    <w:rsid w:val="002F3D02"/>
    <w:pPr>
      <w:spacing w:line="181" w:lineRule="atLeast"/>
    </w:pPr>
    <w:rPr>
      <w:rFonts w:cstheme="minorBidi"/>
      <w:color w:val="000000" w:themeColor="text1"/>
    </w:rPr>
  </w:style>
  <w:style w:type="character" w:customStyle="1" w:styleId="A2">
    <w:name w:val="A2"/>
    <w:uiPriority w:val="99"/>
    <w:rsid w:val="00FD5EE7"/>
    <w:rPr>
      <w:rFonts w:cs="FS Me"/>
      <w:color w:val="000000"/>
      <w:sz w:val="22"/>
      <w:szCs w:val="22"/>
    </w:rPr>
  </w:style>
  <w:style w:type="character" w:styleId="CommentReference">
    <w:name w:val="annotation reference"/>
    <w:basedOn w:val="DefaultParagraphFont"/>
    <w:uiPriority w:val="99"/>
    <w:semiHidden/>
    <w:unhideWhenUsed/>
    <w:rsid w:val="00875A29"/>
    <w:rPr>
      <w:sz w:val="16"/>
      <w:szCs w:val="16"/>
    </w:rPr>
  </w:style>
  <w:style w:type="paragraph" w:styleId="CommentText">
    <w:name w:val="annotation text"/>
    <w:basedOn w:val="Normal"/>
    <w:link w:val="CommentTextChar"/>
    <w:uiPriority w:val="99"/>
    <w:semiHidden/>
    <w:unhideWhenUsed/>
    <w:rsid w:val="00875A29"/>
    <w:pPr>
      <w:spacing w:line="240" w:lineRule="auto"/>
    </w:pPr>
    <w:rPr>
      <w:sz w:val="20"/>
    </w:rPr>
  </w:style>
  <w:style w:type="character" w:customStyle="1" w:styleId="CommentTextChar">
    <w:name w:val="Comment Text Char"/>
    <w:basedOn w:val="DefaultParagraphFont"/>
    <w:link w:val="CommentText"/>
    <w:uiPriority w:val="99"/>
    <w:semiHidden/>
    <w:rsid w:val="00875A29"/>
  </w:style>
  <w:style w:type="paragraph" w:styleId="CommentSubject">
    <w:name w:val="annotation subject"/>
    <w:basedOn w:val="CommentText"/>
    <w:next w:val="CommentText"/>
    <w:link w:val="CommentSubjectChar"/>
    <w:uiPriority w:val="99"/>
    <w:semiHidden/>
    <w:unhideWhenUsed/>
    <w:rsid w:val="00875A29"/>
    <w:rPr>
      <w:b/>
      <w:bCs/>
    </w:rPr>
  </w:style>
  <w:style w:type="character" w:customStyle="1" w:styleId="CommentSubjectChar">
    <w:name w:val="Comment Subject Char"/>
    <w:basedOn w:val="CommentTextChar"/>
    <w:link w:val="CommentSubject"/>
    <w:uiPriority w:val="99"/>
    <w:semiHidden/>
    <w:rsid w:val="00875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11958">
      <w:bodyDiv w:val="1"/>
      <w:marLeft w:val="0"/>
      <w:marRight w:val="0"/>
      <w:marTop w:val="0"/>
      <w:marBottom w:val="0"/>
      <w:divBdr>
        <w:top w:val="none" w:sz="0" w:space="0" w:color="auto"/>
        <w:left w:val="none" w:sz="0" w:space="0" w:color="auto"/>
        <w:bottom w:val="none" w:sz="0" w:space="0" w:color="auto"/>
        <w:right w:val="none" w:sz="0" w:space="0" w:color="auto"/>
      </w:divBdr>
    </w:div>
    <w:div w:id="19737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mmunications@ndiscommission.gov.au" TargetMode="External"/><Relationship Id="rId18" Type="http://schemas.openxmlformats.org/officeDocument/2006/relationships/hyperlink" Target="https://ndiscommission.gov.au/sites/default/files/2022-02/code-conduct-providers-june-2021.pdf" TargetMode="External"/><Relationship Id="rId3" Type="http://schemas.openxmlformats.org/officeDocument/2006/relationships/styles" Target="styles.xml"/><Relationship Id="rId21" Type="http://schemas.openxmlformats.org/officeDocument/2006/relationships/hyperlink" Target="https://www.ndiscommission.gov.au/about/corporate-documents/2022-2027-strategic-plan" TargetMode="External"/><Relationship Id="rId7" Type="http://schemas.openxmlformats.org/officeDocument/2006/relationships/endnotes" Target="endnotes.xml"/><Relationship Id="rId12" Type="http://schemas.openxmlformats.org/officeDocument/2006/relationships/hyperlink" Target="https://creativecommons.org/licenses/by/4.0/legalcode" TargetMode="External"/><Relationship Id="rId17" Type="http://schemas.openxmlformats.org/officeDocument/2006/relationships/hyperlink" Target="http://www.facebook.com/ndiscommiss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PRINFNAS002N\Users\MR0088\Corporate%20Plan%20drafts\www.linkedin.com\company\ndiscommission" TargetMode="External"/><Relationship Id="rId20" Type="http://schemas.openxmlformats.org/officeDocument/2006/relationships/hyperlink" Target="https://www.legislation.gov.au/Details/C2013A00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rschat.nrscall.gov.au/nrs/internetrelay"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www.ndiscommission.gov.au/providers/registered-ndis-providers/provider-obligations-and-requirements/ndis-practice-standard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mc.gov.au/government/commonwealth-coat-arm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Repor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D7F2A-695C-4914-9D2B-6630ECC4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35</Pages>
  <Words>7920</Words>
  <Characters>46078</Characters>
  <Application>Microsoft Office Word</Application>
  <DocSecurity>0</DocSecurity>
  <Lines>1348</Lines>
  <Paragraphs>628</Paragraphs>
  <ScaleCrop>false</ScaleCrop>
  <HeadingPairs>
    <vt:vector size="2" baseType="variant">
      <vt:variant>
        <vt:lpstr>Title</vt:lpstr>
      </vt:variant>
      <vt:variant>
        <vt:i4>1</vt:i4>
      </vt:variant>
    </vt:vector>
  </HeadingPairs>
  <TitlesOfParts>
    <vt:vector size="1" baseType="lpstr">
      <vt:lpstr>NDIS Quality and Safeguards Commission Corporate Plan 2022–23</vt:lpstr>
    </vt:vector>
  </TitlesOfParts>
  <Company/>
  <LinksUpToDate>false</LinksUpToDate>
  <CharactersWithSpaces>53482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Quality and Safeguards Commission Corporate Plan 2022–23</dc:title>
  <dc:subject/>
  <dc:creator>NDIS Quality and Safeguards Commission</dc:creator>
  <cp:keywords>NDIS Quality and Safeguards Commission Corporate Plan 2022–23 [SEC=OFFICIAL]</cp:keywords>
  <dc:description/>
  <cp:lastModifiedBy>MARTIN, Jessica</cp:lastModifiedBy>
  <cp:revision>2</cp:revision>
  <cp:lastPrinted>2022-08-30T05:54:00Z</cp:lastPrinted>
  <dcterms:created xsi:type="dcterms:W3CDTF">2022-08-30T23:10:00Z</dcterms:created>
  <dcterms:modified xsi:type="dcterms:W3CDTF">2022-08-30T23:10:00Z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C72EF04F45D64656BD49DD95F5A5F1B4</vt:lpwstr>
  </property>
  <property fmtid="{D5CDD505-2E9C-101B-9397-08002B2CF9AE}" pid="9" name="PM_ProtectiveMarkingValue_Footer">
    <vt:lpwstr>OFFICIAL</vt:lpwstr>
  </property>
  <property fmtid="{D5CDD505-2E9C-101B-9397-08002B2CF9AE}" pid="10" name="PM_Originator_Hash_SHA1">
    <vt:lpwstr>38F9BF24E34B9020E28CEEAE4D48B506C0CA5314</vt:lpwstr>
  </property>
  <property fmtid="{D5CDD505-2E9C-101B-9397-08002B2CF9AE}" pid="11" name="PM_OriginationTimeStamp">
    <vt:lpwstr>2022-08-30T23:10:26Z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458A516D7650BFD4012CE075B1BE1686</vt:lpwstr>
  </property>
  <property fmtid="{D5CDD505-2E9C-101B-9397-08002B2CF9AE}" pid="21" name="PM_Hash_Salt">
    <vt:lpwstr>FAD2094BF471EA00F51DB6AF2B86A610</vt:lpwstr>
  </property>
  <property fmtid="{D5CDD505-2E9C-101B-9397-08002B2CF9AE}" pid="22" name="PM_Hash_SHA1">
    <vt:lpwstr>1680B8905B25416FC27B2AFCB4E16FE4CB349E10</vt:lpwstr>
  </property>
  <property fmtid="{D5CDD505-2E9C-101B-9397-08002B2CF9AE}" pid="23" name="PM_OriginatorUserAccountName_SHA256">
    <vt:lpwstr>3DA78915B1F95C35574819ADC34E0E42975CBC4ACA644FA473261B0E401EB5BC</vt:lpwstr>
  </property>
  <property fmtid="{D5CDD505-2E9C-101B-9397-08002B2CF9AE}" pid="24" name="PM_OriginatorDomainName_SHA256">
    <vt:lpwstr>CE53151D70EF3143B9B6CA1DC053F41E858E2C804CF2EE5AE813E5CCE407743B</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