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D819E" w14:textId="77777777" w:rsidR="00CE4DAF" w:rsidRPr="00870C23" w:rsidRDefault="007C2F74" w:rsidP="00CE4DAF">
      <w:pPr>
        <w:pStyle w:val="Covertitle"/>
        <w:rPr>
          <w:rFonts w:cstheme="minorHAnsi"/>
          <w:sz w:val="80"/>
          <w:szCs w:val="80"/>
        </w:rPr>
      </w:pPr>
      <w:bookmarkStart w:id="0" w:name="_Toc128477907"/>
      <w:bookmarkStart w:id="1" w:name="_GoBack"/>
      <w:bookmarkEnd w:id="1"/>
      <w:r w:rsidRPr="00870C23">
        <w:rPr>
          <w:rFonts w:cstheme="minorHAnsi"/>
          <w:sz w:val="80"/>
          <w:szCs w:val="80"/>
        </w:rPr>
        <w:t>Regulator Performance Framework</w:t>
      </w:r>
      <w:bookmarkEnd w:id="0"/>
    </w:p>
    <w:p w14:paraId="71D26176" w14:textId="77777777" w:rsidR="00CE4DAF" w:rsidRPr="00870C23" w:rsidRDefault="00545F28" w:rsidP="00F704CE">
      <w:pPr>
        <w:pStyle w:val="Coversubtitle"/>
        <w:rPr>
          <w:rFonts w:cstheme="minorHAnsi"/>
          <w:sz w:val="48"/>
        </w:rPr>
      </w:pPr>
      <w:r>
        <w:rPr>
          <w:rFonts w:cstheme="minorHAnsi"/>
          <w:sz w:val="48"/>
        </w:rPr>
        <w:t>Self-a</w:t>
      </w:r>
      <w:r w:rsidR="0096603C">
        <w:rPr>
          <w:rFonts w:cstheme="minorHAnsi"/>
          <w:sz w:val="48"/>
        </w:rPr>
        <w:t xml:space="preserve">ssessment Report </w:t>
      </w:r>
      <w:r w:rsidR="00CB5CE7">
        <w:rPr>
          <w:rFonts w:cstheme="minorHAnsi"/>
          <w:sz w:val="48"/>
        </w:rPr>
        <w:t>2020–21</w:t>
      </w:r>
    </w:p>
    <w:p w14:paraId="2EF1EE9E" w14:textId="77777777" w:rsidR="00CE4DAF" w:rsidRPr="00870C23" w:rsidRDefault="00CE4DAF" w:rsidP="004359DF">
      <w:pPr>
        <w:pBdr>
          <w:left w:val="single" w:sz="48" w:space="4" w:color="9DC44D" w:themeColor="accent6"/>
        </w:pBdr>
        <w:spacing w:before="0"/>
        <w:ind w:left="284" w:firstLine="425"/>
        <w:rPr>
          <w:rFonts w:cstheme="minorHAnsi"/>
          <w:color w:val="FFFFFF" w:themeColor="background1"/>
          <w:sz w:val="40"/>
          <w:szCs w:val="40"/>
        </w:rPr>
        <w:sectPr w:rsidR="00CE4DAF" w:rsidRPr="00870C23" w:rsidSect="0081062C">
          <w:headerReference w:type="default" r:id="rId11"/>
          <w:footerReference w:type="default" r:id="rId12"/>
          <w:headerReference w:type="first" r:id="rId13"/>
          <w:footerReference w:type="first" r:id="rId14"/>
          <w:type w:val="continuous"/>
          <w:pgSz w:w="11906" w:h="16838" w:code="9"/>
          <w:pgMar w:top="1440" w:right="1440" w:bottom="1440" w:left="1440" w:header="284" w:footer="397" w:gutter="0"/>
          <w:cols w:space="340"/>
          <w:titlePg/>
          <w:docGrid w:linePitch="360"/>
          <w15:footnoteColumns w:val="1"/>
        </w:sectPr>
      </w:pPr>
    </w:p>
    <w:p w14:paraId="125BFBE4" w14:textId="77777777" w:rsidR="007B7FD5" w:rsidRPr="00870C23" w:rsidRDefault="007B7FD5" w:rsidP="00022958">
      <w:pPr>
        <w:widowControl w:val="0"/>
        <w:suppressAutoHyphens w:val="0"/>
        <w:autoSpaceDE w:val="0"/>
        <w:autoSpaceDN w:val="0"/>
        <w:spacing w:before="9120" w:line="240" w:lineRule="auto"/>
        <w:rPr>
          <w:rFonts w:eastAsia="Calibri" w:cstheme="minorHAnsi"/>
          <w:color w:val="602C69"/>
          <w:sz w:val="24"/>
          <w:szCs w:val="24"/>
          <w:lang w:val="en-US"/>
        </w:rPr>
      </w:pPr>
      <w:r w:rsidRPr="00870C23">
        <w:rPr>
          <w:rFonts w:eastAsia="Calibri" w:cstheme="minorHAnsi"/>
          <w:color w:val="602C69"/>
          <w:sz w:val="24"/>
          <w:szCs w:val="24"/>
          <w:lang w:val="en-US"/>
        </w:rPr>
        <w:lastRenderedPageBreak/>
        <w:t>To contact the NDIS</w:t>
      </w:r>
      <w:r w:rsidR="00CE1038" w:rsidRPr="00870C23">
        <w:rPr>
          <w:rFonts w:eastAsia="Calibri" w:cstheme="minorHAnsi"/>
          <w:color w:val="602C69"/>
          <w:sz w:val="24"/>
          <w:szCs w:val="24"/>
          <w:lang w:val="en-US"/>
        </w:rPr>
        <w:t xml:space="preserve"> Quality and Safeguards</w:t>
      </w:r>
      <w:r w:rsidRPr="00870C23">
        <w:rPr>
          <w:rFonts w:eastAsia="Calibri" w:cstheme="minorHAnsi"/>
          <w:color w:val="602C69"/>
          <w:sz w:val="24"/>
          <w:szCs w:val="24"/>
          <w:lang w:val="en-US"/>
        </w:rPr>
        <w:t xml:space="preserve"> Commission</w:t>
      </w:r>
    </w:p>
    <w:p w14:paraId="6DDB2128" w14:textId="77777777" w:rsidR="007B7FD5" w:rsidRPr="00870C23" w:rsidRDefault="007B7FD5" w:rsidP="00022958">
      <w:pPr>
        <w:widowControl w:val="0"/>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 xml:space="preserve">Phone </w:t>
      </w:r>
      <w:r w:rsidRPr="00870C23">
        <w:rPr>
          <w:rFonts w:eastAsia="Calibri" w:cstheme="minorHAnsi"/>
          <w:b/>
          <w:bCs/>
          <w:color w:val="auto"/>
          <w:szCs w:val="22"/>
          <w:lang w:val="en-GB"/>
        </w:rPr>
        <w:t xml:space="preserve">1800 035 544 </w:t>
      </w:r>
      <w:r w:rsidRPr="00870C23">
        <w:rPr>
          <w:rFonts w:eastAsia="Calibri" w:cstheme="minorHAnsi"/>
          <w:color w:val="auto"/>
          <w:szCs w:val="22"/>
          <w:lang w:val="en-GB"/>
        </w:rPr>
        <w:t>(free call from landlines)</w:t>
      </w:r>
    </w:p>
    <w:p w14:paraId="0A93F8BD" w14:textId="77777777" w:rsidR="007B7FD5" w:rsidRPr="00870C23" w:rsidRDefault="007B7FD5" w:rsidP="00022958">
      <w:pPr>
        <w:widowControl w:val="0"/>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 xml:space="preserve">Text Telephone </w:t>
      </w:r>
      <w:r w:rsidRPr="00870C23">
        <w:rPr>
          <w:rFonts w:eastAsia="Calibri" w:cstheme="minorHAnsi"/>
          <w:b/>
          <w:bCs/>
          <w:color w:val="auto"/>
          <w:szCs w:val="22"/>
          <w:lang w:val="en-GB"/>
        </w:rPr>
        <w:t>TTY 133 677</w:t>
      </w:r>
    </w:p>
    <w:p w14:paraId="69BA3237" w14:textId="77777777" w:rsidR="007B7FD5" w:rsidRPr="00870C23" w:rsidRDefault="007B7FD5" w:rsidP="00022958">
      <w:pPr>
        <w:widowControl w:val="0"/>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 xml:space="preserve">Translating and Interpreting Service </w:t>
      </w:r>
      <w:r w:rsidRPr="00870C23">
        <w:rPr>
          <w:rFonts w:eastAsia="Calibri" w:cstheme="minorHAnsi"/>
          <w:b/>
          <w:bCs/>
          <w:color w:val="auto"/>
          <w:szCs w:val="22"/>
          <w:lang w:val="en-GB"/>
        </w:rPr>
        <w:t>131 450</w:t>
      </w:r>
    </w:p>
    <w:p w14:paraId="2136AAD7" w14:textId="77777777" w:rsidR="00022958" w:rsidRDefault="007B7FD5" w:rsidP="00022958">
      <w:pPr>
        <w:widowControl w:val="0"/>
        <w:tabs>
          <w:tab w:val="left" w:pos="2610"/>
        </w:tabs>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 xml:space="preserve">National Relay Service </w:t>
      </w:r>
      <w:hyperlink r:id="rId15" w:history="1">
        <w:r w:rsidRPr="00870C23">
          <w:rPr>
            <w:rFonts w:eastAsia="Calibri" w:cstheme="minorHAnsi"/>
            <w:color w:val="7030A0"/>
            <w:szCs w:val="22"/>
            <w:u w:val="single"/>
            <w:lang w:val="en-GB"/>
          </w:rPr>
          <w:t>https://internet-relay.nrscall.gov.au/</w:t>
        </w:r>
      </w:hyperlink>
      <w:r w:rsidRPr="00870C23">
        <w:rPr>
          <w:rFonts w:eastAsia="Calibri" w:cstheme="minorHAnsi"/>
          <w:color w:val="7030A0"/>
          <w:szCs w:val="22"/>
          <w:u w:val="single"/>
          <w:lang w:val="en-GB"/>
        </w:rPr>
        <w:t xml:space="preserve"> </w:t>
      </w:r>
      <w:r w:rsidRPr="00870C23">
        <w:rPr>
          <w:rFonts w:eastAsia="Calibri" w:cstheme="minorHAnsi"/>
          <w:color w:val="auto"/>
          <w:szCs w:val="22"/>
          <w:lang w:val="en-GB"/>
        </w:rPr>
        <w:t xml:space="preserve">and ask for </w:t>
      </w:r>
      <w:r w:rsidRPr="00870C23">
        <w:rPr>
          <w:rFonts w:eastAsia="Calibri" w:cstheme="minorHAnsi"/>
          <w:b/>
          <w:bCs/>
          <w:color w:val="auto"/>
          <w:szCs w:val="22"/>
          <w:lang w:val="en-GB"/>
        </w:rPr>
        <w:t>1800 035 544</w:t>
      </w:r>
    </w:p>
    <w:p w14:paraId="5E09E80D" w14:textId="2DCE10ED" w:rsidR="007B7FD5" w:rsidRPr="00022958" w:rsidRDefault="007B7FD5" w:rsidP="00022958">
      <w:pPr>
        <w:widowControl w:val="0"/>
        <w:tabs>
          <w:tab w:val="left" w:pos="2610"/>
        </w:tabs>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Submit th</w:t>
      </w:r>
      <w:r w:rsidR="00022958">
        <w:rPr>
          <w:rFonts w:eastAsia="Calibri" w:cstheme="minorHAnsi"/>
          <w:color w:val="auto"/>
          <w:szCs w:val="22"/>
          <w:lang w:val="en-GB"/>
        </w:rPr>
        <w:t xml:space="preserve">e Online Complaint Contact Form </w:t>
      </w:r>
      <w:hyperlink r:id="rId16" w:history="1">
        <w:r w:rsidRPr="00870C23">
          <w:rPr>
            <w:rFonts w:eastAsia="Calibri" w:cstheme="minorHAnsi"/>
            <w:color w:val="7030A0"/>
            <w:szCs w:val="22"/>
            <w:u w:val="single"/>
            <w:lang w:val="en-GB"/>
          </w:rPr>
          <w:t>http://www.ndiscommission.gov.au/participants/complaints</w:t>
        </w:r>
      </w:hyperlink>
    </w:p>
    <w:p w14:paraId="3D1820A0" w14:textId="77777777" w:rsidR="007B7FD5" w:rsidRPr="00870C23" w:rsidRDefault="007B7FD5" w:rsidP="00022958">
      <w:pPr>
        <w:widowControl w:val="0"/>
        <w:suppressAutoHyphens w:val="0"/>
        <w:autoSpaceDE w:val="0"/>
        <w:autoSpaceDN w:val="0"/>
        <w:spacing w:before="0" w:line="240" w:lineRule="auto"/>
        <w:rPr>
          <w:rFonts w:eastAsia="Calibri" w:cstheme="minorHAnsi"/>
          <w:color w:val="auto"/>
          <w:szCs w:val="22"/>
          <w:lang w:val="en-GB"/>
        </w:rPr>
      </w:pPr>
      <w:r w:rsidRPr="00870C23">
        <w:rPr>
          <w:rFonts w:eastAsia="Calibri" w:cstheme="minorHAnsi"/>
          <w:color w:val="auto"/>
          <w:szCs w:val="22"/>
          <w:lang w:val="en-GB"/>
        </w:rPr>
        <w:t>Mail: PO Box 210, Penrith NSW 2750</w:t>
      </w:r>
    </w:p>
    <w:p w14:paraId="61A87529" w14:textId="77777777" w:rsidR="007B7FD5" w:rsidRPr="00870C23" w:rsidRDefault="007B7FD5" w:rsidP="007B7FD5">
      <w:pPr>
        <w:suppressAutoHyphens w:val="0"/>
        <w:spacing w:before="120" w:after="120" w:line="360" w:lineRule="auto"/>
        <w:rPr>
          <w:rFonts w:eastAsiaTheme="majorEastAsia" w:cstheme="minorHAnsi"/>
          <w:color w:val="333333"/>
          <w:spacing w:val="4"/>
          <w:sz w:val="21"/>
          <w:szCs w:val="21"/>
        </w:rPr>
      </w:pPr>
      <w:r w:rsidRPr="00870C23">
        <w:rPr>
          <w:rFonts w:cstheme="minorHAnsi"/>
          <w:b/>
          <w:color w:val="333333"/>
          <w:spacing w:val="4"/>
          <w:sz w:val="21"/>
          <w:szCs w:val="21"/>
        </w:rPr>
        <w:br w:type="page"/>
      </w:r>
    </w:p>
    <w:p w14:paraId="16A39A56" w14:textId="77777777" w:rsidR="00F4590B" w:rsidRPr="00870C23" w:rsidRDefault="00F4590B">
      <w:pPr>
        <w:suppressAutoHyphens w:val="0"/>
        <w:spacing w:before="120" w:after="120" w:line="240" w:lineRule="auto"/>
        <w:rPr>
          <w:rFonts w:cstheme="minorHAnsi"/>
          <w:color w:val="333333"/>
          <w:spacing w:val="4"/>
          <w:sz w:val="21"/>
          <w:szCs w:val="21"/>
        </w:rPr>
        <w:sectPr w:rsidR="00F4590B" w:rsidRPr="00870C23" w:rsidSect="0081062C">
          <w:headerReference w:type="first" r:id="rId17"/>
          <w:footerReference w:type="first" r:id="rId18"/>
          <w:pgSz w:w="11906" w:h="16838" w:code="9"/>
          <w:pgMar w:top="1440" w:right="1440" w:bottom="1440" w:left="1134" w:header="284" w:footer="397" w:gutter="0"/>
          <w:cols w:space="340"/>
          <w:titlePg/>
          <w:docGrid w:linePitch="360"/>
          <w15:footnoteColumns w:val="1"/>
        </w:sectPr>
      </w:pPr>
    </w:p>
    <w:p w14:paraId="1D64930F" w14:textId="77777777" w:rsidR="00F4590B" w:rsidRPr="00870C23" w:rsidRDefault="00E924C5">
      <w:pPr>
        <w:suppressAutoHyphens w:val="0"/>
        <w:spacing w:before="120" w:after="120" w:line="240" w:lineRule="auto"/>
        <w:rPr>
          <w:rFonts w:cstheme="minorHAnsi"/>
          <w:color w:val="333333"/>
          <w:spacing w:val="4"/>
          <w:sz w:val="21"/>
          <w:szCs w:val="21"/>
        </w:rPr>
      </w:pPr>
      <w:r w:rsidRPr="00E924C5">
        <w:rPr>
          <w:rFonts w:eastAsia="Calibri" w:cstheme="minorHAnsi"/>
          <w:noProof/>
          <w:color w:val="auto"/>
          <w:szCs w:val="22"/>
          <w:lang w:eastAsia="en-AU"/>
        </w:rPr>
        <w:lastRenderedPageBreak/>
        <mc:AlternateContent>
          <mc:Choice Requires="wps">
            <w:drawing>
              <wp:anchor distT="0" distB="0" distL="457200" distR="114300" simplePos="0" relativeHeight="251659264" behindDoc="1" locked="0" layoutInCell="0" allowOverlap="1" wp14:anchorId="40316213" wp14:editId="3C4A4F85">
                <wp:simplePos x="0" y="0"/>
                <wp:positionH relativeFrom="margin">
                  <wp:align>left</wp:align>
                </wp:positionH>
                <wp:positionV relativeFrom="margin">
                  <wp:align>top</wp:align>
                </wp:positionV>
                <wp:extent cx="5975985" cy="9655810"/>
                <wp:effectExtent l="0" t="0" r="5715" b="635"/>
                <wp:wrapNone/>
                <wp:docPr id="216" name="AutoShape 14"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9655810"/>
                        </a:xfrm>
                        <a:prstGeom prst="rect">
                          <a:avLst/>
                        </a:prstGeom>
                        <a:solidFill>
                          <a:schemeClr val="tx2">
                            <a:lumMod val="20000"/>
                            <a:lumOff val="80000"/>
                            <a:alpha val="34902"/>
                          </a:schemeClr>
                        </a:solidFill>
                        <a:extLst/>
                      </wps:spPr>
                      <wps:txbx>
                        <w:txbxContent>
                          <w:p w14:paraId="2BA451C0"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59E0EF4A" w14:textId="77777777" w:rsidR="00DB5F80" w:rsidRPr="00E924C5" w:rsidRDefault="00DB5F80" w:rsidP="005E0E9D">
                            <w:pPr>
                              <w:pStyle w:val="Heading2"/>
                            </w:pPr>
                            <w:bookmarkStart w:id="2" w:name="_Toc128477908"/>
                            <w:r w:rsidRPr="00E924C5">
                              <w:t>Notice</w:t>
                            </w:r>
                            <w:bookmarkEnd w:id="2"/>
                          </w:p>
                          <w:p w14:paraId="2548E118"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are licensed under the </w:t>
                            </w:r>
                            <w:hyperlink r:id="rId19"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7F02F2E" w14:textId="77777777" w:rsidR="00DB5F80" w:rsidRPr="00E924C5" w:rsidRDefault="00DB5F8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0" w:history="1">
                              <w:r w:rsidRPr="00E924C5">
                                <w:rPr>
                                  <w:rStyle w:val="Hyperlink"/>
                                  <w:rFonts w:eastAsia="Calibri" w:cstheme="minorHAnsi"/>
                                  <w:szCs w:val="22"/>
                                </w:rPr>
                                <w:t>pmc.gov.au/government/commonwealth-coat-arms</w:t>
                              </w:r>
                            </w:hyperlink>
                          </w:p>
                          <w:p w14:paraId="544EF344" w14:textId="77777777" w:rsidR="00DB5F80" w:rsidRPr="00E924C5" w:rsidRDefault="00DB5F8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certain images and photos (as marked).</w:t>
                            </w:r>
                          </w:p>
                          <w:p w14:paraId="73D765C5"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attribute: </w:t>
                            </w:r>
                            <w:r w:rsidRPr="00E924C5">
                              <w:rPr>
                                <w:rFonts w:eastAsia="Calibri" w:cstheme="minorHAnsi"/>
                                <w:color w:val="auto"/>
                                <w:szCs w:val="22"/>
                                <w:lang w:val="en-US"/>
                              </w:rPr>
                              <w:br/>
                              <w:t xml:space="preserve">© Commonwealth of Australia (National Disability Insurance Scheme Quality and Safeguards Commission) </w:t>
                            </w:r>
                            <w:r w:rsidRPr="009811C1">
                              <w:rPr>
                                <w:rFonts w:eastAsia="Calibri" w:cstheme="minorHAnsi"/>
                                <w:color w:val="auto"/>
                                <w:szCs w:val="22"/>
                                <w:lang w:val="en-US"/>
                              </w:rPr>
                              <w:t>2021</w:t>
                            </w:r>
                            <w:r w:rsidRPr="00E924C5">
                              <w:rPr>
                                <w:rFonts w:eastAsia="Calibri" w:cstheme="minorHAnsi"/>
                                <w:color w:val="auto"/>
                                <w:szCs w:val="22"/>
                                <w:lang w:val="en-US"/>
                              </w:rPr>
                              <w:t>.</w:t>
                            </w:r>
                          </w:p>
                          <w:p w14:paraId="29683040"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be placed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1D0FE07E" w14:textId="77777777" w:rsidR="00DB5F80" w:rsidRPr="00E924C5" w:rsidRDefault="00DB5F80" w:rsidP="00E924C5">
                            <w:pPr>
                              <w:pStyle w:val="Heading3"/>
                            </w:pPr>
                            <w:r w:rsidRPr="00E924C5">
                              <w:br/>
                            </w:r>
                            <w:bookmarkStart w:id="3" w:name="_Toc128477909"/>
                            <w:r w:rsidRPr="00E924C5">
                              <w:t>Contact</w:t>
                            </w:r>
                            <w:bookmarkEnd w:id="3"/>
                          </w:p>
                          <w:p w14:paraId="05240211" w14:textId="77777777" w:rsidR="00DB5F80" w:rsidRPr="00E924C5" w:rsidRDefault="00DB5F80"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the Creative Commons L</w:t>
                            </w:r>
                            <w:r w:rsidRPr="00E924C5">
                              <w:rPr>
                                <w:rFonts w:eastAsia="Calibri" w:cstheme="minorHAnsi"/>
                                <w:color w:val="auto"/>
                                <w:szCs w:val="22"/>
                                <w:lang w:val="en-US"/>
                              </w:rPr>
                              <w:t xml:space="preserve">icence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1">
                              <w:r w:rsidRPr="00E924C5">
                                <w:rPr>
                                  <w:rStyle w:val="Hyperlink"/>
                                  <w:rFonts w:eastAsia="Calibri" w:cstheme="minorHAnsi"/>
                                  <w:szCs w:val="22"/>
                                </w:rPr>
                                <w:t>communications@ndiscommission.gov.au</w:t>
                              </w:r>
                            </w:hyperlink>
                          </w:p>
                          <w:p w14:paraId="516FF3CE" w14:textId="77777777" w:rsidR="00DB5F80" w:rsidRDefault="00DB5F80">
                            <w:pPr>
                              <w:rPr>
                                <w:rStyle w:val="PlaceholderText"/>
                                <w:color w:val="472256" w:themeColor="text2" w:themeShade="BF"/>
                              </w:rPr>
                            </w:pPr>
                            <w:r w:rsidRPr="00E924C5">
                              <w:rPr>
                                <w:rFonts w:eastAsia="Calibri" w:cstheme="minorHAnsi"/>
                                <w:bCs/>
                                <w:color w:val="auto"/>
                                <w:szCs w:val="22"/>
                                <w:lang w:val="en-US"/>
                              </w:rPr>
                              <w:t>Other contact details are available on page 2 of this document.</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98000</wp14:pctHeight>
                </wp14:sizeRelV>
              </wp:anchor>
            </w:drawing>
          </mc:Choice>
          <mc:Fallback>
            <w:pict>
              <v:rect w14:anchorId="40316213" id="AutoShape 14" o:spid="_x0000_s1026" alt="Decorative" style="position:absolute;margin-left:0;margin-top:0;width:470.55pt;height:760.3pt;z-index:-251657216;visibility:visible;mso-wrap-style:square;mso-width-percent:0;mso-height-percent:980;mso-wrap-distance-left:36pt;mso-wrap-distance-top:0;mso-wrap-distance-right:9pt;mso-wrap-distance-bottom:0;mso-position-horizontal:left;mso-position-horizontal-relative:margin;mso-position-vertical:top;mso-position-vertical-relative:margin;mso-width-percent:0;mso-height-percent:98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" o:allowincell="f" fillcolor="#e2cdeb [671]" stroked="f">
                <v:fill opacity="22873f"/>
                <v:textbox inset="14.4pt,14.4pt,14.4pt,14.4pt">
                  <w:txbxContent>
                    <w:p w14:paraId="2BA451C0"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NDIS Quality and Safeguards Commission encourages the use and dissemination of its publicly provided information and reports. </w:t>
                      </w:r>
                    </w:p>
                    <w:p w14:paraId="59E0EF4A" w14:textId="77777777" w:rsidR="00DB5F80" w:rsidRPr="00E924C5" w:rsidRDefault="00DB5F80" w:rsidP="005E0E9D">
                      <w:pPr>
                        <w:pStyle w:val="Heading2"/>
                      </w:pPr>
                      <w:bookmarkStart w:id="3" w:name="_Toc128477908"/>
                      <w:r w:rsidRPr="00E924C5">
                        <w:t>Notice</w:t>
                      </w:r>
                      <w:bookmarkEnd w:id="3"/>
                    </w:p>
                    <w:p w14:paraId="2548E118"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contents of this document are licensed under the </w:t>
                      </w:r>
                      <w:hyperlink r:id="rId22" w:history="1">
                        <w:r w:rsidRPr="00E924C5">
                          <w:rPr>
                            <w:rStyle w:val="Hyperlink"/>
                            <w:rFonts w:eastAsia="Calibri" w:cstheme="minorHAnsi"/>
                            <w:szCs w:val="22"/>
                          </w:rPr>
                          <w:t>Creative Commons Attribution 4.0 International Licence</w:t>
                        </w:r>
                      </w:hyperlink>
                      <w:r w:rsidRPr="00E924C5">
                        <w:rPr>
                          <w:rFonts w:eastAsia="Calibri" w:cstheme="minorHAnsi"/>
                          <w:color w:val="auto"/>
                          <w:szCs w:val="22"/>
                        </w:rPr>
                        <w:t>. This excludes:</w:t>
                      </w:r>
                    </w:p>
                    <w:p w14:paraId="77F02F2E" w14:textId="77777777" w:rsidR="00DB5F80" w:rsidRPr="00E924C5" w:rsidRDefault="00DB5F8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the Australian Commonwealth Coat of Arms – see </w:t>
                      </w:r>
                      <w:r>
                        <w:rPr>
                          <w:rFonts w:eastAsia="Calibri" w:cstheme="minorHAnsi"/>
                          <w:color w:val="auto"/>
                          <w:szCs w:val="22"/>
                        </w:rPr>
                        <w:br/>
                      </w:r>
                      <w:hyperlink r:id="rId23" w:history="1">
                        <w:r w:rsidRPr="00E924C5">
                          <w:rPr>
                            <w:rStyle w:val="Hyperlink"/>
                            <w:rFonts w:eastAsia="Calibri" w:cstheme="minorHAnsi"/>
                            <w:szCs w:val="22"/>
                          </w:rPr>
                          <w:t>pmc.gov.au/government/commonwealth-coat-arms</w:t>
                        </w:r>
                      </w:hyperlink>
                    </w:p>
                    <w:p w14:paraId="544EF344" w14:textId="77777777" w:rsidR="00DB5F80" w:rsidRPr="00E924C5" w:rsidRDefault="00DB5F80" w:rsidP="005C22C3">
                      <w:pPr>
                        <w:widowControl w:val="0"/>
                        <w:numPr>
                          <w:ilvl w:val="0"/>
                          <w:numId w:val="21"/>
                        </w:numPr>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certain images and photos (as marked).</w:t>
                      </w:r>
                    </w:p>
                    <w:p w14:paraId="73D765C5"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lang w:val="en-US"/>
                        </w:rPr>
                      </w:pPr>
                      <w:r w:rsidRPr="00E924C5">
                        <w:rPr>
                          <w:rFonts w:eastAsia="Calibri" w:cstheme="minorHAnsi"/>
                          <w:color w:val="auto"/>
                          <w:szCs w:val="22"/>
                          <w:lang w:val="en-US"/>
                        </w:rPr>
                        <w:t xml:space="preserve">When using information from this document, please attribute: </w:t>
                      </w:r>
                      <w:r w:rsidRPr="00E924C5">
                        <w:rPr>
                          <w:rFonts w:eastAsia="Calibri" w:cstheme="minorHAnsi"/>
                          <w:color w:val="auto"/>
                          <w:szCs w:val="22"/>
                          <w:lang w:val="en-US"/>
                        </w:rPr>
                        <w:br/>
                        <w:t xml:space="preserve">© Commonwealth of Australia (National Disability Insurance Scheme Quality and Safeguards Commission) </w:t>
                      </w:r>
                      <w:r w:rsidRPr="009811C1">
                        <w:rPr>
                          <w:rFonts w:eastAsia="Calibri" w:cstheme="minorHAnsi"/>
                          <w:color w:val="auto"/>
                          <w:szCs w:val="22"/>
                          <w:lang w:val="en-US"/>
                        </w:rPr>
                        <w:t>2021</w:t>
                      </w:r>
                      <w:r w:rsidRPr="00E924C5">
                        <w:rPr>
                          <w:rFonts w:eastAsia="Calibri" w:cstheme="minorHAnsi"/>
                          <w:color w:val="auto"/>
                          <w:szCs w:val="22"/>
                          <w:lang w:val="en-US"/>
                        </w:rPr>
                        <w:t>.</w:t>
                      </w:r>
                    </w:p>
                    <w:p w14:paraId="29683040" w14:textId="77777777" w:rsidR="00DB5F80" w:rsidRPr="00E924C5" w:rsidRDefault="00DB5F80" w:rsidP="00E924C5">
                      <w:pPr>
                        <w:widowControl w:val="0"/>
                        <w:suppressAutoHyphens w:val="0"/>
                        <w:autoSpaceDE w:val="0"/>
                        <w:autoSpaceDN w:val="0"/>
                        <w:spacing w:before="0" w:line="240" w:lineRule="auto"/>
                        <w:rPr>
                          <w:rFonts w:eastAsia="Calibri" w:cstheme="minorHAnsi"/>
                          <w:color w:val="auto"/>
                          <w:szCs w:val="22"/>
                        </w:rPr>
                      </w:pPr>
                      <w:r w:rsidRPr="00E924C5">
                        <w:rPr>
                          <w:rFonts w:eastAsia="Calibri" w:cstheme="minorHAnsi"/>
                          <w:color w:val="auto"/>
                          <w:szCs w:val="22"/>
                        </w:rPr>
                        <w:t xml:space="preserve">If you create a derivative of this document, the NDIS Commission asks that the following notice be placed on your derivative: </w:t>
                      </w:r>
                      <w:r>
                        <w:rPr>
                          <w:rFonts w:eastAsia="Calibri" w:cstheme="minorHAnsi"/>
                          <w:color w:val="auto"/>
                          <w:szCs w:val="22"/>
                        </w:rPr>
                        <w:br/>
                      </w:r>
                      <w:r w:rsidRPr="00E924C5">
                        <w:rPr>
                          <w:rFonts w:eastAsia="Calibri" w:cstheme="minorHAnsi"/>
                          <w:color w:val="auto"/>
                          <w:szCs w:val="22"/>
                        </w:rPr>
                        <w:t>Based on Commonwealth of Australia (NDIS Quality and Safeguards Commission) data.</w:t>
                      </w:r>
                    </w:p>
                    <w:p w14:paraId="1D0FE07E" w14:textId="77777777" w:rsidR="00DB5F80" w:rsidRPr="00E924C5" w:rsidRDefault="00DB5F80" w:rsidP="00E924C5">
                      <w:pPr>
                        <w:pStyle w:val="Heading3"/>
                      </w:pPr>
                      <w:r w:rsidRPr="00E924C5">
                        <w:br/>
                      </w:r>
                      <w:bookmarkStart w:id="4" w:name="_Toc128477909"/>
                      <w:r w:rsidRPr="00E924C5">
                        <w:t>Contact</w:t>
                      </w:r>
                      <w:bookmarkEnd w:id="4"/>
                    </w:p>
                    <w:p w14:paraId="05240211" w14:textId="77777777" w:rsidR="00DB5F80" w:rsidRPr="00E924C5" w:rsidRDefault="00DB5F80" w:rsidP="00E924C5">
                      <w:pPr>
                        <w:widowControl w:val="0"/>
                        <w:suppressAutoHyphens w:val="0"/>
                        <w:autoSpaceDE w:val="0"/>
                        <w:autoSpaceDN w:val="0"/>
                        <w:spacing w:before="0" w:line="240" w:lineRule="auto"/>
                        <w:rPr>
                          <w:rFonts w:eastAsia="Calibri" w:cstheme="minorHAnsi"/>
                          <w:b/>
                          <w:bCs/>
                          <w:color w:val="auto"/>
                          <w:szCs w:val="22"/>
                          <w:lang w:val="en-US"/>
                        </w:rPr>
                      </w:pPr>
                      <w:r w:rsidRPr="00E924C5">
                        <w:rPr>
                          <w:rFonts w:eastAsia="Calibri" w:cstheme="minorHAnsi"/>
                          <w:color w:val="auto"/>
                          <w:szCs w:val="22"/>
                        </w:rPr>
                        <w:t xml:space="preserve">Inquiries regarding </w:t>
                      </w:r>
                      <w:r>
                        <w:rPr>
                          <w:rFonts w:eastAsia="Calibri" w:cstheme="minorHAnsi"/>
                          <w:color w:val="auto"/>
                          <w:szCs w:val="22"/>
                          <w:lang w:val="en-US"/>
                        </w:rPr>
                        <w:t>the Creative Commons L</w:t>
                      </w:r>
                      <w:r w:rsidRPr="00E924C5">
                        <w:rPr>
                          <w:rFonts w:eastAsia="Calibri" w:cstheme="minorHAnsi"/>
                          <w:color w:val="auto"/>
                          <w:szCs w:val="22"/>
                          <w:lang w:val="en-US"/>
                        </w:rPr>
                        <w:t xml:space="preserve">icence or any other use of this document are welcome. </w:t>
                      </w:r>
                      <w:r>
                        <w:rPr>
                          <w:rFonts w:eastAsia="Calibri" w:cstheme="minorHAnsi"/>
                          <w:color w:val="auto"/>
                          <w:szCs w:val="22"/>
                          <w:lang w:val="en-US"/>
                        </w:rPr>
                        <w:br/>
                      </w:r>
                      <w:r>
                        <w:rPr>
                          <w:rFonts w:eastAsia="Calibri" w:cstheme="minorHAnsi"/>
                          <w:color w:val="auto"/>
                          <w:szCs w:val="22"/>
                          <w:lang w:val="en-US"/>
                        </w:rPr>
                        <w:br/>
                      </w:r>
                      <w:r w:rsidRPr="00E924C5">
                        <w:rPr>
                          <w:rFonts w:eastAsia="Calibri" w:cstheme="minorHAnsi"/>
                          <w:color w:val="auto"/>
                          <w:szCs w:val="22"/>
                          <w:lang w:val="en-US"/>
                        </w:rPr>
                        <w:t xml:space="preserve">Please contact: Director - Engagement, Education and Communications, NDIS Quality and Safeguards Commission, email: </w:t>
                      </w:r>
                      <w:hyperlink r:id="rId24">
                        <w:r w:rsidRPr="00E924C5">
                          <w:rPr>
                            <w:rStyle w:val="Hyperlink"/>
                            <w:rFonts w:eastAsia="Calibri" w:cstheme="minorHAnsi"/>
                            <w:szCs w:val="22"/>
                          </w:rPr>
                          <w:t>communications@ndiscommission.gov.au</w:t>
                        </w:r>
                      </w:hyperlink>
                    </w:p>
                    <w:p w14:paraId="516FF3CE" w14:textId="77777777" w:rsidR="00DB5F80" w:rsidRDefault="00DB5F80">
                      <w:pPr>
                        <w:rPr>
                          <w:rStyle w:val="PlaceholderText"/>
                          <w:color w:val="472256" w:themeColor="text2" w:themeShade="BF"/>
                        </w:rPr>
                      </w:pPr>
                      <w:r w:rsidRPr="00E924C5">
                        <w:rPr>
                          <w:rFonts w:eastAsia="Calibri" w:cstheme="minorHAnsi"/>
                          <w:bCs/>
                          <w:color w:val="auto"/>
                          <w:szCs w:val="22"/>
                          <w:lang w:val="en-US"/>
                        </w:rPr>
                        <w:t>Other contact details are available on page 2 of this document.</w:t>
                      </w:r>
                    </w:p>
                  </w:txbxContent>
                </v:textbox>
                <w10:wrap anchorx="margin" anchory="margin"/>
              </v:rect>
            </w:pict>
          </mc:Fallback>
        </mc:AlternateContent>
      </w:r>
    </w:p>
    <w:p w14:paraId="366A7AAB" w14:textId="77777777" w:rsidR="00F4590B" w:rsidRPr="00870C23" w:rsidRDefault="00F4590B" w:rsidP="00F4590B">
      <w:pPr>
        <w:widowControl w:val="0"/>
        <w:suppressAutoHyphens w:val="0"/>
        <w:autoSpaceDE w:val="0"/>
        <w:autoSpaceDN w:val="0"/>
        <w:spacing w:before="0" w:line="240" w:lineRule="auto"/>
        <w:rPr>
          <w:rFonts w:eastAsia="Calibri" w:cstheme="minorHAnsi"/>
          <w:color w:val="auto"/>
          <w:szCs w:val="22"/>
          <w:lang w:val="en-US"/>
        </w:rPr>
        <w:sectPr w:rsidR="00F4590B" w:rsidRPr="00870C23" w:rsidSect="0081062C">
          <w:pgSz w:w="11906" w:h="16838" w:code="9"/>
          <w:pgMar w:top="1440" w:right="1440" w:bottom="1440" w:left="1134" w:header="284" w:footer="397" w:gutter="0"/>
          <w:cols w:space="340"/>
          <w:titlePg/>
          <w:docGrid w:linePitch="360"/>
          <w15:footnoteColumns w:val="1"/>
        </w:sectPr>
      </w:pPr>
    </w:p>
    <w:sdt>
      <w:sdtPr>
        <w:rPr>
          <w:rFonts w:asciiTheme="minorHAnsi" w:eastAsiaTheme="minorHAnsi" w:hAnsiTheme="minorHAnsi" w:cstheme="minorBidi"/>
          <w:b w:val="0"/>
          <w:color w:val="000000" w:themeColor="text1"/>
          <w:sz w:val="22"/>
          <w:szCs w:val="20"/>
        </w:rPr>
        <w:id w:val="1921522639"/>
        <w:docPartObj>
          <w:docPartGallery w:val="Table of Contents"/>
          <w:docPartUnique/>
        </w:docPartObj>
      </w:sdtPr>
      <w:sdtEndPr>
        <w:rPr>
          <w:bCs/>
          <w:noProof/>
        </w:rPr>
      </w:sdtEndPr>
      <w:sdtContent>
        <w:p w14:paraId="6964A79A" w14:textId="0EACDC16" w:rsidR="00E6497B" w:rsidRDefault="0022543F">
          <w:pPr>
            <w:pStyle w:val="TOCHeading"/>
          </w:pPr>
          <w:r>
            <w:t>Table of c</w:t>
          </w:r>
          <w:r w:rsidR="00E6497B">
            <w:t>ontents</w:t>
          </w:r>
        </w:p>
        <w:p w14:paraId="72EFDEFF" w14:textId="5715D826" w:rsidR="00CA0D47" w:rsidRPr="0022543F" w:rsidRDefault="00E6497B">
          <w:pPr>
            <w:pStyle w:val="TOC1"/>
            <w:rPr>
              <w:rFonts w:eastAsiaTheme="minorEastAsia"/>
              <w:noProof/>
              <w:szCs w:val="22"/>
              <w:lang w:eastAsia="en-AU"/>
            </w:rPr>
          </w:pPr>
          <w:r>
            <w:fldChar w:fldCharType="begin"/>
          </w:r>
          <w:r>
            <w:instrText xml:space="preserve"> TOC \o "1-3" \h \z \u </w:instrText>
          </w:r>
          <w:r>
            <w:fldChar w:fldCharType="separate"/>
          </w:r>
          <w:hyperlink w:anchor="_Toc128477910" w:history="1">
            <w:r w:rsidR="00CA0D47" w:rsidRPr="005575B5">
              <w:rPr>
                <w:rStyle w:val="Hyperlink"/>
                <w:rFonts w:cstheme="minorHAnsi"/>
                <w:noProof/>
              </w:rPr>
              <w:t>About the NDIS Commission</w:t>
            </w:r>
            <w:r w:rsidR="00CA0D47">
              <w:rPr>
                <w:noProof/>
                <w:webHidden/>
              </w:rPr>
              <w:tab/>
            </w:r>
            <w:r w:rsidR="00CA0D47">
              <w:rPr>
                <w:noProof/>
                <w:webHidden/>
              </w:rPr>
              <w:fldChar w:fldCharType="begin"/>
            </w:r>
            <w:r w:rsidR="00CA0D47">
              <w:rPr>
                <w:noProof/>
                <w:webHidden/>
              </w:rPr>
              <w:instrText xml:space="preserve"> PAGEREF _Toc128477910 \h </w:instrText>
            </w:r>
            <w:r w:rsidR="00CA0D47">
              <w:rPr>
                <w:noProof/>
                <w:webHidden/>
              </w:rPr>
            </w:r>
            <w:r w:rsidR="00CA0D47">
              <w:rPr>
                <w:noProof/>
                <w:webHidden/>
              </w:rPr>
              <w:fldChar w:fldCharType="separate"/>
            </w:r>
            <w:r w:rsidR="0022543F">
              <w:rPr>
                <w:noProof/>
                <w:webHidden/>
              </w:rPr>
              <w:t>6</w:t>
            </w:r>
            <w:r w:rsidR="00CA0D47">
              <w:rPr>
                <w:noProof/>
                <w:webHidden/>
              </w:rPr>
              <w:fldChar w:fldCharType="end"/>
            </w:r>
          </w:hyperlink>
        </w:p>
        <w:p w14:paraId="774ACA8E" w14:textId="7DA61D64" w:rsidR="00CA0D47" w:rsidRDefault="00916714">
          <w:pPr>
            <w:pStyle w:val="TOC1"/>
            <w:rPr>
              <w:rFonts w:asciiTheme="minorHAnsi" w:eastAsiaTheme="minorEastAsia" w:hAnsiTheme="minorHAnsi"/>
              <w:noProof/>
              <w:sz w:val="22"/>
              <w:szCs w:val="22"/>
              <w:lang w:eastAsia="en-AU"/>
            </w:rPr>
          </w:pPr>
          <w:hyperlink w:anchor="_Toc128477911" w:history="1">
            <w:r w:rsidR="00CA0D47" w:rsidRPr="005575B5">
              <w:rPr>
                <w:rStyle w:val="Hyperlink"/>
                <w:rFonts w:cstheme="minorHAnsi"/>
                <w:noProof/>
              </w:rPr>
              <w:t>Regulator Performance Framework</w:t>
            </w:r>
            <w:r w:rsidR="00CA0D47">
              <w:rPr>
                <w:noProof/>
                <w:webHidden/>
              </w:rPr>
              <w:tab/>
            </w:r>
            <w:r w:rsidR="00CA0D47">
              <w:rPr>
                <w:noProof/>
                <w:webHidden/>
              </w:rPr>
              <w:fldChar w:fldCharType="begin"/>
            </w:r>
            <w:r w:rsidR="00CA0D47">
              <w:rPr>
                <w:noProof/>
                <w:webHidden/>
              </w:rPr>
              <w:instrText xml:space="preserve"> PAGEREF _Toc128477911 \h </w:instrText>
            </w:r>
            <w:r w:rsidR="00CA0D47">
              <w:rPr>
                <w:noProof/>
                <w:webHidden/>
              </w:rPr>
            </w:r>
            <w:r w:rsidR="00CA0D47">
              <w:rPr>
                <w:noProof/>
                <w:webHidden/>
              </w:rPr>
              <w:fldChar w:fldCharType="separate"/>
            </w:r>
            <w:r w:rsidR="0022543F">
              <w:rPr>
                <w:noProof/>
                <w:webHidden/>
              </w:rPr>
              <w:t>6</w:t>
            </w:r>
            <w:r w:rsidR="00CA0D47">
              <w:rPr>
                <w:noProof/>
                <w:webHidden/>
              </w:rPr>
              <w:fldChar w:fldCharType="end"/>
            </w:r>
          </w:hyperlink>
        </w:p>
        <w:p w14:paraId="0B499569" w14:textId="39258D9F" w:rsidR="00CA0D47" w:rsidRDefault="00916714">
          <w:pPr>
            <w:pStyle w:val="TOC1"/>
            <w:rPr>
              <w:rFonts w:asciiTheme="minorHAnsi" w:eastAsiaTheme="minorEastAsia" w:hAnsiTheme="minorHAnsi"/>
              <w:noProof/>
              <w:sz w:val="22"/>
              <w:szCs w:val="22"/>
              <w:lang w:eastAsia="en-AU"/>
            </w:rPr>
          </w:pPr>
          <w:hyperlink w:anchor="_Toc128477912" w:history="1">
            <w:r w:rsidR="00CA0D47" w:rsidRPr="005575B5">
              <w:rPr>
                <w:rStyle w:val="Hyperlink"/>
                <w:rFonts w:cstheme="minorHAnsi"/>
                <w:noProof/>
              </w:rPr>
              <w:t>Undertaking our self-assessment against the Framework</w:t>
            </w:r>
            <w:r w:rsidR="00CA0D47">
              <w:rPr>
                <w:noProof/>
                <w:webHidden/>
              </w:rPr>
              <w:tab/>
            </w:r>
            <w:r w:rsidR="00CA0D47">
              <w:rPr>
                <w:noProof/>
                <w:webHidden/>
              </w:rPr>
              <w:fldChar w:fldCharType="begin"/>
            </w:r>
            <w:r w:rsidR="00CA0D47">
              <w:rPr>
                <w:noProof/>
                <w:webHidden/>
              </w:rPr>
              <w:instrText xml:space="preserve"> PAGEREF _Toc128477912 \h </w:instrText>
            </w:r>
            <w:r w:rsidR="00CA0D47">
              <w:rPr>
                <w:noProof/>
                <w:webHidden/>
              </w:rPr>
            </w:r>
            <w:r w:rsidR="00CA0D47">
              <w:rPr>
                <w:noProof/>
                <w:webHidden/>
              </w:rPr>
              <w:fldChar w:fldCharType="separate"/>
            </w:r>
            <w:r w:rsidR="0022543F">
              <w:rPr>
                <w:noProof/>
                <w:webHidden/>
              </w:rPr>
              <w:t>7</w:t>
            </w:r>
            <w:r w:rsidR="00CA0D47">
              <w:rPr>
                <w:noProof/>
                <w:webHidden/>
              </w:rPr>
              <w:fldChar w:fldCharType="end"/>
            </w:r>
          </w:hyperlink>
        </w:p>
        <w:p w14:paraId="20F59F4F" w14:textId="1FBC0EF3" w:rsidR="00CA0D47" w:rsidRDefault="00916714">
          <w:pPr>
            <w:pStyle w:val="TOC1"/>
            <w:rPr>
              <w:rFonts w:asciiTheme="minorHAnsi" w:eastAsiaTheme="minorEastAsia" w:hAnsiTheme="minorHAnsi"/>
              <w:noProof/>
              <w:sz w:val="22"/>
              <w:szCs w:val="22"/>
              <w:lang w:eastAsia="en-AU"/>
            </w:rPr>
          </w:pPr>
          <w:hyperlink w:anchor="_Toc128477913" w:history="1">
            <w:r w:rsidR="00CA0D47" w:rsidRPr="005575B5">
              <w:rPr>
                <w:rStyle w:val="Hyperlink"/>
                <w:rFonts w:cstheme="minorHAnsi"/>
                <w:noProof/>
              </w:rPr>
              <w:t>Our regulatory approach</w:t>
            </w:r>
            <w:r w:rsidR="00CA0D47">
              <w:rPr>
                <w:noProof/>
                <w:webHidden/>
              </w:rPr>
              <w:tab/>
            </w:r>
            <w:r w:rsidR="00CA0D47">
              <w:rPr>
                <w:noProof/>
                <w:webHidden/>
              </w:rPr>
              <w:fldChar w:fldCharType="begin"/>
            </w:r>
            <w:r w:rsidR="00CA0D47">
              <w:rPr>
                <w:noProof/>
                <w:webHidden/>
              </w:rPr>
              <w:instrText xml:space="preserve"> PAGEREF _Toc128477913 \h </w:instrText>
            </w:r>
            <w:r w:rsidR="00CA0D47">
              <w:rPr>
                <w:noProof/>
                <w:webHidden/>
              </w:rPr>
            </w:r>
            <w:r w:rsidR="00CA0D47">
              <w:rPr>
                <w:noProof/>
                <w:webHidden/>
              </w:rPr>
              <w:fldChar w:fldCharType="separate"/>
            </w:r>
            <w:r w:rsidR="0022543F">
              <w:rPr>
                <w:noProof/>
                <w:webHidden/>
              </w:rPr>
              <w:t>8</w:t>
            </w:r>
            <w:r w:rsidR="00CA0D47">
              <w:rPr>
                <w:noProof/>
                <w:webHidden/>
              </w:rPr>
              <w:fldChar w:fldCharType="end"/>
            </w:r>
          </w:hyperlink>
        </w:p>
        <w:p w14:paraId="09ED5C17" w14:textId="39175525" w:rsidR="00CA0D47" w:rsidRDefault="00916714">
          <w:pPr>
            <w:pStyle w:val="TOC1"/>
            <w:rPr>
              <w:rFonts w:asciiTheme="minorHAnsi" w:eastAsiaTheme="minorEastAsia" w:hAnsiTheme="minorHAnsi"/>
              <w:noProof/>
              <w:sz w:val="22"/>
              <w:szCs w:val="22"/>
              <w:lang w:eastAsia="en-AU"/>
            </w:rPr>
          </w:pPr>
          <w:hyperlink w:anchor="_Toc128477914" w:history="1">
            <w:r w:rsidR="00CA0D47" w:rsidRPr="005575B5">
              <w:rPr>
                <w:rStyle w:val="Hyperlink"/>
                <w:rFonts w:cstheme="minorHAnsi"/>
                <w:noProof/>
              </w:rPr>
              <w:t>Our self-assessment results for 2020–21</w:t>
            </w:r>
            <w:r w:rsidR="00CA0D47">
              <w:rPr>
                <w:noProof/>
                <w:webHidden/>
              </w:rPr>
              <w:tab/>
            </w:r>
            <w:r w:rsidR="00CA0D47">
              <w:rPr>
                <w:noProof/>
                <w:webHidden/>
              </w:rPr>
              <w:fldChar w:fldCharType="begin"/>
            </w:r>
            <w:r w:rsidR="00CA0D47">
              <w:rPr>
                <w:noProof/>
                <w:webHidden/>
              </w:rPr>
              <w:instrText xml:space="preserve"> PAGEREF _Toc128477914 \h </w:instrText>
            </w:r>
            <w:r w:rsidR="00CA0D47">
              <w:rPr>
                <w:noProof/>
                <w:webHidden/>
              </w:rPr>
            </w:r>
            <w:r w:rsidR="00CA0D47">
              <w:rPr>
                <w:noProof/>
                <w:webHidden/>
              </w:rPr>
              <w:fldChar w:fldCharType="separate"/>
            </w:r>
            <w:r w:rsidR="0022543F">
              <w:rPr>
                <w:noProof/>
                <w:webHidden/>
              </w:rPr>
              <w:t>9</w:t>
            </w:r>
            <w:r w:rsidR="00CA0D47">
              <w:rPr>
                <w:noProof/>
                <w:webHidden/>
              </w:rPr>
              <w:fldChar w:fldCharType="end"/>
            </w:r>
          </w:hyperlink>
        </w:p>
        <w:p w14:paraId="71F28F48" w14:textId="6E9D1204" w:rsidR="00CA0D47" w:rsidRDefault="00916714">
          <w:pPr>
            <w:pStyle w:val="TOC1"/>
            <w:rPr>
              <w:rFonts w:asciiTheme="minorHAnsi" w:eastAsiaTheme="minorEastAsia" w:hAnsiTheme="minorHAnsi"/>
              <w:noProof/>
              <w:sz w:val="22"/>
              <w:szCs w:val="22"/>
              <w:lang w:eastAsia="en-AU"/>
            </w:rPr>
          </w:pPr>
          <w:hyperlink w:anchor="_Toc128477915" w:history="1">
            <w:r w:rsidR="00CA0D47" w:rsidRPr="005575B5">
              <w:rPr>
                <w:rStyle w:val="Hyperlink"/>
                <w:rFonts w:cstheme="minorHAnsi"/>
                <w:noProof/>
              </w:rPr>
              <w:t>Summary of self-assessment results 2020–21</w:t>
            </w:r>
            <w:r w:rsidR="00CA0D47">
              <w:rPr>
                <w:noProof/>
                <w:webHidden/>
              </w:rPr>
              <w:tab/>
            </w:r>
            <w:r w:rsidR="00CA0D47">
              <w:rPr>
                <w:noProof/>
                <w:webHidden/>
              </w:rPr>
              <w:fldChar w:fldCharType="begin"/>
            </w:r>
            <w:r w:rsidR="00CA0D47">
              <w:rPr>
                <w:noProof/>
                <w:webHidden/>
              </w:rPr>
              <w:instrText xml:space="preserve"> PAGEREF _Toc128477915 \h </w:instrText>
            </w:r>
            <w:r w:rsidR="00CA0D47">
              <w:rPr>
                <w:noProof/>
                <w:webHidden/>
              </w:rPr>
            </w:r>
            <w:r w:rsidR="00CA0D47">
              <w:rPr>
                <w:noProof/>
                <w:webHidden/>
              </w:rPr>
              <w:fldChar w:fldCharType="separate"/>
            </w:r>
            <w:r w:rsidR="0022543F">
              <w:rPr>
                <w:noProof/>
                <w:webHidden/>
              </w:rPr>
              <w:t>10</w:t>
            </w:r>
            <w:r w:rsidR="00CA0D47">
              <w:rPr>
                <w:noProof/>
                <w:webHidden/>
              </w:rPr>
              <w:fldChar w:fldCharType="end"/>
            </w:r>
          </w:hyperlink>
        </w:p>
        <w:p w14:paraId="016FAE74" w14:textId="1032B7DC" w:rsidR="00CA0D47" w:rsidRDefault="00916714">
          <w:pPr>
            <w:pStyle w:val="TOC1"/>
            <w:rPr>
              <w:rFonts w:asciiTheme="minorHAnsi" w:eastAsiaTheme="minorEastAsia" w:hAnsiTheme="minorHAnsi"/>
              <w:noProof/>
              <w:sz w:val="22"/>
              <w:szCs w:val="22"/>
              <w:lang w:eastAsia="en-AU"/>
            </w:rPr>
          </w:pPr>
          <w:hyperlink w:anchor="_Toc128477916" w:history="1">
            <w:r w:rsidR="00CA0D47" w:rsidRPr="005575B5">
              <w:rPr>
                <w:rStyle w:val="Hyperlink"/>
                <w:rFonts w:cstheme="minorHAnsi"/>
                <w:noProof/>
              </w:rPr>
              <w:t>Self-assessment results 2020-21</w:t>
            </w:r>
            <w:r w:rsidR="00CA0D47">
              <w:rPr>
                <w:noProof/>
                <w:webHidden/>
              </w:rPr>
              <w:tab/>
            </w:r>
            <w:r w:rsidR="00CA0D47">
              <w:rPr>
                <w:noProof/>
                <w:webHidden/>
              </w:rPr>
              <w:fldChar w:fldCharType="begin"/>
            </w:r>
            <w:r w:rsidR="00CA0D47">
              <w:rPr>
                <w:noProof/>
                <w:webHidden/>
              </w:rPr>
              <w:instrText xml:space="preserve"> PAGEREF _Toc128477916 \h </w:instrText>
            </w:r>
            <w:r w:rsidR="00CA0D47">
              <w:rPr>
                <w:noProof/>
                <w:webHidden/>
              </w:rPr>
            </w:r>
            <w:r w:rsidR="00CA0D47">
              <w:rPr>
                <w:noProof/>
                <w:webHidden/>
              </w:rPr>
              <w:fldChar w:fldCharType="separate"/>
            </w:r>
            <w:r w:rsidR="0022543F">
              <w:rPr>
                <w:noProof/>
                <w:webHidden/>
              </w:rPr>
              <w:t>11</w:t>
            </w:r>
            <w:r w:rsidR="00CA0D47">
              <w:rPr>
                <w:noProof/>
                <w:webHidden/>
              </w:rPr>
              <w:fldChar w:fldCharType="end"/>
            </w:r>
          </w:hyperlink>
        </w:p>
        <w:p w14:paraId="34843DD5" w14:textId="645A6050" w:rsidR="00CA0D47" w:rsidRDefault="00916714">
          <w:pPr>
            <w:pStyle w:val="TOC2"/>
            <w:rPr>
              <w:rFonts w:asciiTheme="minorHAnsi" w:eastAsiaTheme="minorEastAsia" w:hAnsiTheme="minorHAnsi"/>
              <w:noProof/>
              <w:color w:val="auto"/>
              <w:szCs w:val="22"/>
              <w:lang w:eastAsia="en-AU"/>
            </w:rPr>
          </w:pPr>
          <w:hyperlink w:anchor="_Toc128477917" w:history="1">
            <w:r w:rsidR="00CA0D47" w:rsidRPr="005575B5">
              <w:rPr>
                <w:rStyle w:val="Hyperlink"/>
                <w:noProof/>
              </w:rPr>
              <w:t>KPI 1 - Regulators do not unnecessarily impede the efficient operation of regulated entities</w:t>
            </w:r>
            <w:r w:rsidR="00CA0D47">
              <w:rPr>
                <w:noProof/>
                <w:webHidden/>
              </w:rPr>
              <w:tab/>
            </w:r>
            <w:r w:rsidR="00CA0D47">
              <w:rPr>
                <w:noProof/>
                <w:webHidden/>
              </w:rPr>
              <w:fldChar w:fldCharType="begin"/>
            </w:r>
            <w:r w:rsidR="00CA0D47">
              <w:rPr>
                <w:noProof/>
                <w:webHidden/>
              </w:rPr>
              <w:instrText xml:space="preserve"> PAGEREF _Toc128477917 \h </w:instrText>
            </w:r>
            <w:r w:rsidR="00CA0D47">
              <w:rPr>
                <w:noProof/>
                <w:webHidden/>
              </w:rPr>
            </w:r>
            <w:r w:rsidR="00CA0D47">
              <w:rPr>
                <w:noProof/>
                <w:webHidden/>
              </w:rPr>
              <w:fldChar w:fldCharType="separate"/>
            </w:r>
            <w:r w:rsidR="0022543F">
              <w:rPr>
                <w:noProof/>
                <w:webHidden/>
              </w:rPr>
              <w:t>11</w:t>
            </w:r>
            <w:r w:rsidR="00CA0D47">
              <w:rPr>
                <w:noProof/>
                <w:webHidden/>
              </w:rPr>
              <w:fldChar w:fldCharType="end"/>
            </w:r>
          </w:hyperlink>
        </w:p>
        <w:p w14:paraId="5044D5DE" w14:textId="59694CF6" w:rsidR="00CA0D47" w:rsidRDefault="00916714">
          <w:pPr>
            <w:pStyle w:val="TOC3"/>
            <w:rPr>
              <w:rFonts w:eastAsiaTheme="minorEastAsia"/>
              <w:noProof/>
              <w:color w:val="auto"/>
              <w:szCs w:val="22"/>
              <w:lang w:eastAsia="en-AU"/>
            </w:rPr>
          </w:pPr>
          <w:hyperlink w:anchor="_Toc128477918" w:history="1">
            <w:r w:rsidR="00CA0D47" w:rsidRPr="005575B5">
              <w:rPr>
                <w:rStyle w:val="Hyperlink"/>
                <w:noProof/>
              </w:rPr>
              <w:t>Measure 1.1: We demonstrate an understanding of the operating environment of our industry or organisation, or the circumstances of individuals and the current and emerging issues that affect the sector</w:t>
            </w:r>
            <w:r w:rsidR="00CA0D47">
              <w:rPr>
                <w:noProof/>
                <w:webHidden/>
              </w:rPr>
              <w:tab/>
            </w:r>
            <w:r w:rsidR="00CA0D47">
              <w:rPr>
                <w:noProof/>
                <w:webHidden/>
              </w:rPr>
              <w:fldChar w:fldCharType="begin"/>
            </w:r>
            <w:r w:rsidR="00CA0D47">
              <w:rPr>
                <w:noProof/>
                <w:webHidden/>
              </w:rPr>
              <w:instrText xml:space="preserve"> PAGEREF _Toc128477918 \h </w:instrText>
            </w:r>
            <w:r w:rsidR="00CA0D47">
              <w:rPr>
                <w:noProof/>
                <w:webHidden/>
              </w:rPr>
            </w:r>
            <w:r w:rsidR="00CA0D47">
              <w:rPr>
                <w:noProof/>
                <w:webHidden/>
              </w:rPr>
              <w:fldChar w:fldCharType="separate"/>
            </w:r>
            <w:r w:rsidR="0022543F">
              <w:rPr>
                <w:noProof/>
                <w:webHidden/>
              </w:rPr>
              <w:t>11</w:t>
            </w:r>
            <w:r w:rsidR="00CA0D47">
              <w:rPr>
                <w:noProof/>
                <w:webHidden/>
              </w:rPr>
              <w:fldChar w:fldCharType="end"/>
            </w:r>
          </w:hyperlink>
        </w:p>
        <w:p w14:paraId="7BCD818B" w14:textId="5F550CEA" w:rsidR="00CA0D47" w:rsidRDefault="00916714">
          <w:pPr>
            <w:pStyle w:val="TOC3"/>
            <w:rPr>
              <w:rFonts w:eastAsiaTheme="minorEastAsia"/>
              <w:noProof/>
              <w:color w:val="auto"/>
              <w:szCs w:val="22"/>
              <w:lang w:eastAsia="en-AU"/>
            </w:rPr>
          </w:pPr>
          <w:hyperlink w:anchor="_Toc128477919" w:history="1">
            <w:r w:rsidR="00CA0D47" w:rsidRPr="005575B5">
              <w:rPr>
                <w:rStyle w:val="Hyperlink"/>
                <w:noProof/>
              </w:rPr>
              <w:t>Measure 1.2: We take actions to minimise the potential for unintended negative impacts of regulatory activities on regulated entities or affected supplier industry or supply chains</w:t>
            </w:r>
            <w:r w:rsidR="00CA0D47">
              <w:rPr>
                <w:noProof/>
                <w:webHidden/>
              </w:rPr>
              <w:tab/>
            </w:r>
            <w:r w:rsidR="00CA0D47">
              <w:rPr>
                <w:noProof/>
                <w:webHidden/>
              </w:rPr>
              <w:fldChar w:fldCharType="begin"/>
            </w:r>
            <w:r w:rsidR="00CA0D47">
              <w:rPr>
                <w:noProof/>
                <w:webHidden/>
              </w:rPr>
              <w:instrText xml:space="preserve"> PAGEREF _Toc128477919 \h </w:instrText>
            </w:r>
            <w:r w:rsidR="00CA0D47">
              <w:rPr>
                <w:noProof/>
                <w:webHidden/>
              </w:rPr>
            </w:r>
            <w:r w:rsidR="00CA0D47">
              <w:rPr>
                <w:noProof/>
                <w:webHidden/>
              </w:rPr>
              <w:fldChar w:fldCharType="separate"/>
            </w:r>
            <w:r w:rsidR="0022543F">
              <w:rPr>
                <w:noProof/>
                <w:webHidden/>
              </w:rPr>
              <w:t>13</w:t>
            </w:r>
            <w:r w:rsidR="00CA0D47">
              <w:rPr>
                <w:noProof/>
                <w:webHidden/>
              </w:rPr>
              <w:fldChar w:fldCharType="end"/>
            </w:r>
          </w:hyperlink>
        </w:p>
        <w:p w14:paraId="15EFBC91" w14:textId="6C7CB152" w:rsidR="00CA0D47" w:rsidRDefault="00916714">
          <w:pPr>
            <w:pStyle w:val="TOC3"/>
            <w:rPr>
              <w:rFonts w:eastAsiaTheme="minorEastAsia"/>
              <w:noProof/>
              <w:color w:val="auto"/>
              <w:szCs w:val="22"/>
              <w:lang w:eastAsia="en-AU"/>
            </w:rPr>
          </w:pPr>
          <w:hyperlink w:anchor="_Toc128477920" w:history="1">
            <w:r w:rsidR="00CA0D47" w:rsidRPr="005575B5">
              <w:rPr>
                <w:rStyle w:val="Hyperlink"/>
                <w:noProof/>
              </w:rPr>
              <w:t>Measure 1.3: We implement continuous improvement strategies to reduce the costs of compliance for the entities we regulate</w:t>
            </w:r>
            <w:r w:rsidR="00CA0D47">
              <w:rPr>
                <w:noProof/>
                <w:webHidden/>
              </w:rPr>
              <w:tab/>
            </w:r>
            <w:r w:rsidR="00CA0D47">
              <w:rPr>
                <w:noProof/>
                <w:webHidden/>
              </w:rPr>
              <w:fldChar w:fldCharType="begin"/>
            </w:r>
            <w:r w:rsidR="00CA0D47">
              <w:rPr>
                <w:noProof/>
                <w:webHidden/>
              </w:rPr>
              <w:instrText xml:space="preserve"> PAGEREF _Toc128477920 \h </w:instrText>
            </w:r>
            <w:r w:rsidR="00CA0D47">
              <w:rPr>
                <w:noProof/>
                <w:webHidden/>
              </w:rPr>
            </w:r>
            <w:r w:rsidR="00CA0D47">
              <w:rPr>
                <w:noProof/>
                <w:webHidden/>
              </w:rPr>
              <w:fldChar w:fldCharType="separate"/>
            </w:r>
            <w:r w:rsidR="0022543F">
              <w:rPr>
                <w:noProof/>
                <w:webHidden/>
              </w:rPr>
              <w:t>14</w:t>
            </w:r>
            <w:r w:rsidR="00CA0D47">
              <w:rPr>
                <w:noProof/>
                <w:webHidden/>
              </w:rPr>
              <w:fldChar w:fldCharType="end"/>
            </w:r>
          </w:hyperlink>
        </w:p>
        <w:p w14:paraId="2921BEF3" w14:textId="11CF7E92" w:rsidR="00CA0D47" w:rsidRDefault="00916714">
          <w:pPr>
            <w:pStyle w:val="TOC2"/>
            <w:rPr>
              <w:rFonts w:asciiTheme="minorHAnsi" w:eastAsiaTheme="minorEastAsia" w:hAnsiTheme="minorHAnsi"/>
              <w:noProof/>
              <w:color w:val="auto"/>
              <w:szCs w:val="22"/>
              <w:lang w:eastAsia="en-AU"/>
            </w:rPr>
          </w:pPr>
          <w:hyperlink w:anchor="_Toc128477921" w:history="1">
            <w:r w:rsidR="00CA0D47" w:rsidRPr="005575B5">
              <w:rPr>
                <w:rStyle w:val="Hyperlink"/>
                <w:noProof/>
              </w:rPr>
              <w:t>KPI 2 - Communication with regulated entities is clear, targeted and effective</w:t>
            </w:r>
            <w:r w:rsidR="00CA0D47">
              <w:rPr>
                <w:noProof/>
                <w:webHidden/>
              </w:rPr>
              <w:tab/>
            </w:r>
            <w:r w:rsidR="00CA0D47">
              <w:rPr>
                <w:noProof/>
                <w:webHidden/>
              </w:rPr>
              <w:fldChar w:fldCharType="begin"/>
            </w:r>
            <w:r w:rsidR="00CA0D47">
              <w:rPr>
                <w:noProof/>
                <w:webHidden/>
              </w:rPr>
              <w:instrText xml:space="preserve"> PAGEREF _Toc128477921 \h </w:instrText>
            </w:r>
            <w:r w:rsidR="00CA0D47">
              <w:rPr>
                <w:noProof/>
                <w:webHidden/>
              </w:rPr>
            </w:r>
            <w:r w:rsidR="00CA0D47">
              <w:rPr>
                <w:noProof/>
                <w:webHidden/>
              </w:rPr>
              <w:fldChar w:fldCharType="separate"/>
            </w:r>
            <w:r w:rsidR="0022543F">
              <w:rPr>
                <w:noProof/>
                <w:webHidden/>
              </w:rPr>
              <w:t>15</w:t>
            </w:r>
            <w:r w:rsidR="00CA0D47">
              <w:rPr>
                <w:noProof/>
                <w:webHidden/>
              </w:rPr>
              <w:fldChar w:fldCharType="end"/>
            </w:r>
          </w:hyperlink>
        </w:p>
        <w:p w14:paraId="0EA73391" w14:textId="00B5E896" w:rsidR="00CA0D47" w:rsidRDefault="00916714">
          <w:pPr>
            <w:pStyle w:val="TOC3"/>
            <w:rPr>
              <w:rFonts w:eastAsiaTheme="minorEastAsia"/>
              <w:noProof/>
              <w:color w:val="auto"/>
              <w:szCs w:val="22"/>
              <w:lang w:eastAsia="en-AU"/>
            </w:rPr>
          </w:pPr>
          <w:hyperlink w:anchor="_Toc128477922" w:history="1">
            <w:r w:rsidR="00CA0D47" w:rsidRPr="005575B5">
              <w:rPr>
                <w:rStyle w:val="Hyperlink"/>
                <w:noProof/>
              </w:rPr>
              <w:t>Measure 2.1: We provide guidance and information that is up to date, clear accessible and concise through media appropriate to the target audience</w:t>
            </w:r>
            <w:r w:rsidR="00CA0D47">
              <w:rPr>
                <w:noProof/>
                <w:webHidden/>
              </w:rPr>
              <w:tab/>
            </w:r>
            <w:r w:rsidR="00CA0D47">
              <w:rPr>
                <w:noProof/>
                <w:webHidden/>
              </w:rPr>
              <w:fldChar w:fldCharType="begin"/>
            </w:r>
            <w:r w:rsidR="00CA0D47">
              <w:rPr>
                <w:noProof/>
                <w:webHidden/>
              </w:rPr>
              <w:instrText xml:space="preserve"> PAGEREF _Toc128477922 \h </w:instrText>
            </w:r>
            <w:r w:rsidR="00CA0D47">
              <w:rPr>
                <w:noProof/>
                <w:webHidden/>
              </w:rPr>
            </w:r>
            <w:r w:rsidR="00CA0D47">
              <w:rPr>
                <w:noProof/>
                <w:webHidden/>
              </w:rPr>
              <w:fldChar w:fldCharType="separate"/>
            </w:r>
            <w:r w:rsidR="0022543F">
              <w:rPr>
                <w:noProof/>
                <w:webHidden/>
              </w:rPr>
              <w:t>15</w:t>
            </w:r>
            <w:r w:rsidR="00CA0D47">
              <w:rPr>
                <w:noProof/>
                <w:webHidden/>
              </w:rPr>
              <w:fldChar w:fldCharType="end"/>
            </w:r>
          </w:hyperlink>
        </w:p>
        <w:p w14:paraId="3F71F97F" w14:textId="024E9955" w:rsidR="00CA0D47" w:rsidRDefault="00916714">
          <w:pPr>
            <w:pStyle w:val="TOC3"/>
            <w:rPr>
              <w:rFonts w:eastAsiaTheme="minorEastAsia"/>
              <w:noProof/>
              <w:color w:val="auto"/>
              <w:szCs w:val="22"/>
              <w:lang w:eastAsia="en-AU"/>
            </w:rPr>
          </w:pPr>
          <w:hyperlink w:anchor="_Toc128477923" w:history="1">
            <w:r w:rsidR="00CA0D47" w:rsidRPr="005575B5">
              <w:rPr>
                <w:rStyle w:val="Hyperlink"/>
                <w:noProof/>
              </w:rPr>
              <w:t>Measure 2.2: We consider the impact on regulated entities and engage with industry groups and representatives of the affected stakeholders before changing policies, practices or service standards</w:t>
            </w:r>
            <w:r w:rsidR="00CA0D47">
              <w:rPr>
                <w:noProof/>
                <w:webHidden/>
              </w:rPr>
              <w:tab/>
            </w:r>
            <w:r w:rsidR="00CA0D47">
              <w:rPr>
                <w:noProof/>
                <w:webHidden/>
              </w:rPr>
              <w:fldChar w:fldCharType="begin"/>
            </w:r>
            <w:r w:rsidR="00CA0D47">
              <w:rPr>
                <w:noProof/>
                <w:webHidden/>
              </w:rPr>
              <w:instrText xml:space="preserve"> PAGEREF _Toc128477923 \h </w:instrText>
            </w:r>
            <w:r w:rsidR="00CA0D47">
              <w:rPr>
                <w:noProof/>
                <w:webHidden/>
              </w:rPr>
            </w:r>
            <w:r w:rsidR="00CA0D47">
              <w:rPr>
                <w:noProof/>
                <w:webHidden/>
              </w:rPr>
              <w:fldChar w:fldCharType="separate"/>
            </w:r>
            <w:r w:rsidR="0022543F">
              <w:rPr>
                <w:noProof/>
                <w:webHidden/>
              </w:rPr>
              <w:t>16</w:t>
            </w:r>
            <w:r w:rsidR="00CA0D47">
              <w:rPr>
                <w:noProof/>
                <w:webHidden/>
              </w:rPr>
              <w:fldChar w:fldCharType="end"/>
            </w:r>
          </w:hyperlink>
        </w:p>
        <w:p w14:paraId="127D6358" w14:textId="2D3D4E50" w:rsidR="00CA0D47" w:rsidRDefault="00916714">
          <w:pPr>
            <w:pStyle w:val="TOC3"/>
            <w:rPr>
              <w:rFonts w:eastAsiaTheme="minorEastAsia"/>
              <w:noProof/>
              <w:color w:val="auto"/>
              <w:szCs w:val="22"/>
              <w:lang w:eastAsia="en-AU"/>
            </w:rPr>
          </w:pPr>
          <w:hyperlink w:anchor="_Toc128477924" w:history="1">
            <w:r w:rsidR="00CA0D47" w:rsidRPr="005575B5">
              <w:rPr>
                <w:rStyle w:val="Hyperlink"/>
                <w:noProof/>
              </w:rPr>
              <w:t>Measure 2.3: Our decisions and advice are provided in a timely manner, clearly articulating expectations and the underlying reasons for our decisions</w:t>
            </w:r>
            <w:r w:rsidR="00CA0D47">
              <w:rPr>
                <w:noProof/>
                <w:webHidden/>
              </w:rPr>
              <w:tab/>
            </w:r>
            <w:r w:rsidR="00CA0D47">
              <w:rPr>
                <w:noProof/>
                <w:webHidden/>
              </w:rPr>
              <w:fldChar w:fldCharType="begin"/>
            </w:r>
            <w:r w:rsidR="00CA0D47">
              <w:rPr>
                <w:noProof/>
                <w:webHidden/>
              </w:rPr>
              <w:instrText xml:space="preserve"> PAGEREF _Toc128477924 \h </w:instrText>
            </w:r>
            <w:r w:rsidR="00CA0D47">
              <w:rPr>
                <w:noProof/>
                <w:webHidden/>
              </w:rPr>
            </w:r>
            <w:r w:rsidR="00CA0D47">
              <w:rPr>
                <w:noProof/>
                <w:webHidden/>
              </w:rPr>
              <w:fldChar w:fldCharType="separate"/>
            </w:r>
            <w:r w:rsidR="0022543F">
              <w:rPr>
                <w:noProof/>
                <w:webHidden/>
              </w:rPr>
              <w:t>17</w:t>
            </w:r>
            <w:r w:rsidR="00CA0D47">
              <w:rPr>
                <w:noProof/>
                <w:webHidden/>
              </w:rPr>
              <w:fldChar w:fldCharType="end"/>
            </w:r>
          </w:hyperlink>
        </w:p>
        <w:p w14:paraId="6F58D127" w14:textId="172E9258" w:rsidR="00CA0D47" w:rsidRDefault="00916714">
          <w:pPr>
            <w:pStyle w:val="TOC3"/>
            <w:rPr>
              <w:rFonts w:eastAsiaTheme="minorEastAsia"/>
              <w:noProof/>
              <w:color w:val="auto"/>
              <w:szCs w:val="22"/>
              <w:lang w:eastAsia="en-AU"/>
            </w:rPr>
          </w:pPr>
          <w:hyperlink w:anchor="_Toc128477925" w:history="1">
            <w:r w:rsidR="00CA0D47" w:rsidRPr="005575B5">
              <w:rPr>
                <w:rStyle w:val="Hyperlink"/>
                <w:noProof/>
              </w:rPr>
              <w:t>Measure 2.4: Our advice is consistent and supports predictable outcomes</w:t>
            </w:r>
            <w:r w:rsidR="00CA0D47">
              <w:rPr>
                <w:noProof/>
                <w:webHidden/>
              </w:rPr>
              <w:tab/>
            </w:r>
            <w:r w:rsidR="00CA0D47">
              <w:rPr>
                <w:noProof/>
                <w:webHidden/>
              </w:rPr>
              <w:fldChar w:fldCharType="begin"/>
            </w:r>
            <w:r w:rsidR="00CA0D47">
              <w:rPr>
                <w:noProof/>
                <w:webHidden/>
              </w:rPr>
              <w:instrText xml:space="preserve"> PAGEREF _Toc128477925 \h </w:instrText>
            </w:r>
            <w:r w:rsidR="00CA0D47">
              <w:rPr>
                <w:noProof/>
                <w:webHidden/>
              </w:rPr>
            </w:r>
            <w:r w:rsidR="00CA0D47">
              <w:rPr>
                <w:noProof/>
                <w:webHidden/>
              </w:rPr>
              <w:fldChar w:fldCharType="separate"/>
            </w:r>
            <w:r w:rsidR="0022543F">
              <w:rPr>
                <w:noProof/>
                <w:webHidden/>
              </w:rPr>
              <w:t>17</w:t>
            </w:r>
            <w:r w:rsidR="00CA0D47">
              <w:rPr>
                <w:noProof/>
                <w:webHidden/>
              </w:rPr>
              <w:fldChar w:fldCharType="end"/>
            </w:r>
          </w:hyperlink>
        </w:p>
        <w:p w14:paraId="3D5CA91F" w14:textId="6151460A" w:rsidR="00CA0D47" w:rsidRDefault="00916714">
          <w:pPr>
            <w:pStyle w:val="TOC2"/>
            <w:rPr>
              <w:rFonts w:asciiTheme="minorHAnsi" w:eastAsiaTheme="minorEastAsia" w:hAnsiTheme="minorHAnsi"/>
              <w:noProof/>
              <w:color w:val="auto"/>
              <w:szCs w:val="22"/>
              <w:lang w:eastAsia="en-AU"/>
            </w:rPr>
          </w:pPr>
          <w:hyperlink w:anchor="_Toc128477926" w:history="1">
            <w:r w:rsidR="00CA0D47" w:rsidRPr="005575B5">
              <w:rPr>
                <w:rStyle w:val="Hyperlink"/>
                <w:noProof/>
              </w:rPr>
              <w:t>KPI 3 - Actions undertaken by regulators are proportionate to the regulatory risk being managed</w:t>
            </w:r>
            <w:r w:rsidR="00CA0D47">
              <w:rPr>
                <w:noProof/>
                <w:webHidden/>
              </w:rPr>
              <w:tab/>
            </w:r>
            <w:r w:rsidR="00CA0D47">
              <w:rPr>
                <w:noProof/>
                <w:webHidden/>
              </w:rPr>
              <w:fldChar w:fldCharType="begin"/>
            </w:r>
            <w:r w:rsidR="00CA0D47">
              <w:rPr>
                <w:noProof/>
                <w:webHidden/>
              </w:rPr>
              <w:instrText xml:space="preserve"> PAGEREF _Toc128477926 \h </w:instrText>
            </w:r>
            <w:r w:rsidR="00CA0D47">
              <w:rPr>
                <w:noProof/>
                <w:webHidden/>
              </w:rPr>
            </w:r>
            <w:r w:rsidR="00CA0D47">
              <w:rPr>
                <w:noProof/>
                <w:webHidden/>
              </w:rPr>
              <w:fldChar w:fldCharType="separate"/>
            </w:r>
            <w:r w:rsidR="0022543F">
              <w:rPr>
                <w:noProof/>
                <w:webHidden/>
              </w:rPr>
              <w:t>19</w:t>
            </w:r>
            <w:r w:rsidR="00CA0D47">
              <w:rPr>
                <w:noProof/>
                <w:webHidden/>
              </w:rPr>
              <w:fldChar w:fldCharType="end"/>
            </w:r>
          </w:hyperlink>
        </w:p>
        <w:p w14:paraId="26D0F017" w14:textId="6EA76500" w:rsidR="00CA0D47" w:rsidRDefault="00916714">
          <w:pPr>
            <w:pStyle w:val="TOC3"/>
            <w:rPr>
              <w:rFonts w:eastAsiaTheme="minorEastAsia"/>
              <w:noProof/>
              <w:color w:val="auto"/>
              <w:szCs w:val="22"/>
              <w:lang w:eastAsia="en-AU"/>
            </w:rPr>
          </w:pPr>
          <w:hyperlink w:anchor="_Toc128477927" w:history="1">
            <w:r w:rsidR="00CA0D47" w:rsidRPr="005575B5">
              <w:rPr>
                <w:rStyle w:val="Hyperlink"/>
                <w:noProof/>
              </w:rPr>
              <w:t>Measure 3.1: We apply a risk-based, proportionate approach to compliance obligations, engagement and regulatory enforcement actions</w:t>
            </w:r>
            <w:r w:rsidR="00CA0D47">
              <w:rPr>
                <w:noProof/>
                <w:webHidden/>
              </w:rPr>
              <w:tab/>
            </w:r>
            <w:r w:rsidR="00CA0D47">
              <w:rPr>
                <w:noProof/>
                <w:webHidden/>
              </w:rPr>
              <w:fldChar w:fldCharType="begin"/>
            </w:r>
            <w:r w:rsidR="00CA0D47">
              <w:rPr>
                <w:noProof/>
                <w:webHidden/>
              </w:rPr>
              <w:instrText xml:space="preserve"> PAGEREF _Toc128477927 \h </w:instrText>
            </w:r>
            <w:r w:rsidR="00CA0D47">
              <w:rPr>
                <w:noProof/>
                <w:webHidden/>
              </w:rPr>
            </w:r>
            <w:r w:rsidR="00CA0D47">
              <w:rPr>
                <w:noProof/>
                <w:webHidden/>
              </w:rPr>
              <w:fldChar w:fldCharType="separate"/>
            </w:r>
            <w:r w:rsidR="0022543F">
              <w:rPr>
                <w:noProof/>
                <w:webHidden/>
              </w:rPr>
              <w:t>20</w:t>
            </w:r>
            <w:r w:rsidR="00CA0D47">
              <w:rPr>
                <w:noProof/>
                <w:webHidden/>
              </w:rPr>
              <w:fldChar w:fldCharType="end"/>
            </w:r>
          </w:hyperlink>
        </w:p>
        <w:p w14:paraId="3897766D" w14:textId="4EF92F13" w:rsidR="00CA0D47" w:rsidRDefault="00916714">
          <w:pPr>
            <w:pStyle w:val="TOC3"/>
            <w:rPr>
              <w:rFonts w:eastAsiaTheme="minorEastAsia"/>
              <w:noProof/>
              <w:color w:val="auto"/>
              <w:szCs w:val="22"/>
              <w:lang w:eastAsia="en-AU"/>
            </w:rPr>
          </w:pPr>
          <w:hyperlink w:anchor="_Toc128477928" w:history="1">
            <w:r w:rsidR="00CA0D47" w:rsidRPr="005575B5">
              <w:rPr>
                <w:rStyle w:val="Hyperlink"/>
                <w:noProof/>
              </w:rPr>
              <w:t>Measure 3.2: We regularly reassess our preferred approach to regulatory risk</w:t>
            </w:r>
            <w:r w:rsidR="00CA0D47">
              <w:rPr>
                <w:noProof/>
                <w:webHidden/>
              </w:rPr>
              <w:tab/>
            </w:r>
            <w:r w:rsidR="00CA0D47">
              <w:rPr>
                <w:noProof/>
                <w:webHidden/>
              </w:rPr>
              <w:fldChar w:fldCharType="begin"/>
            </w:r>
            <w:r w:rsidR="00CA0D47">
              <w:rPr>
                <w:noProof/>
                <w:webHidden/>
              </w:rPr>
              <w:instrText xml:space="preserve"> PAGEREF _Toc128477928 \h </w:instrText>
            </w:r>
            <w:r w:rsidR="00CA0D47">
              <w:rPr>
                <w:noProof/>
                <w:webHidden/>
              </w:rPr>
            </w:r>
            <w:r w:rsidR="00CA0D47">
              <w:rPr>
                <w:noProof/>
                <w:webHidden/>
              </w:rPr>
              <w:fldChar w:fldCharType="separate"/>
            </w:r>
            <w:r w:rsidR="0022543F">
              <w:rPr>
                <w:noProof/>
                <w:webHidden/>
              </w:rPr>
              <w:t>21</w:t>
            </w:r>
            <w:r w:rsidR="00CA0D47">
              <w:rPr>
                <w:noProof/>
                <w:webHidden/>
              </w:rPr>
              <w:fldChar w:fldCharType="end"/>
            </w:r>
          </w:hyperlink>
        </w:p>
        <w:p w14:paraId="25A705CC" w14:textId="28B56686" w:rsidR="00CA0D47" w:rsidRDefault="00916714">
          <w:pPr>
            <w:pStyle w:val="TOC3"/>
            <w:rPr>
              <w:rFonts w:eastAsiaTheme="minorEastAsia"/>
              <w:noProof/>
              <w:color w:val="auto"/>
              <w:szCs w:val="22"/>
              <w:lang w:eastAsia="en-AU"/>
            </w:rPr>
          </w:pPr>
          <w:hyperlink w:anchor="_Toc128477929" w:history="1">
            <w:r w:rsidR="00CA0D47" w:rsidRPr="005575B5">
              <w:rPr>
                <w:rStyle w:val="Hyperlink"/>
                <w:noProof/>
              </w:rPr>
              <w:t>Measure 3.3: We recognise the compliance record of regulated entities, including using earned autonomy where this is appropriate. All available and relevant data on compliance, including evidence of relevant external verification is considered</w:t>
            </w:r>
            <w:r w:rsidR="00CA0D47">
              <w:rPr>
                <w:noProof/>
                <w:webHidden/>
              </w:rPr>
              <w:tab/>
            </w:r>
            <w:r w:rsidR="00CA0D47">
              <w:rPr>
                <w:noProof/>
                <w:webHidden/>
              </w:rPr>
              <w:fldChar w:fldCharType="begin"/>
            </w:r>
            <w:r w:rsidR="00CA0D47">
              <w:rPr>
                <w:noProof/>
                <w:webHidden/>
              </w:rPr>
              <w:instrText xml:space="preserve"> PAGEREF _Toc128477929 \h </w:instrText>
            </w:r>
            <w:r w:rsidR="00CA0D47">
              <w:rPr>
                <w:noProof/>
                <w:webHidden/>
              </w:rPr>
            </w:r>
            <w:r w:rsidR="00CA0D47">
              <w:rPr>
                <w:noProof/>
                <w:webHidden/>
              </w:rPr>
              <w:fldChar w:fldCharType="separate"/>
            </w:r>
            <w:r w:rsidR="0022543F">
              <w:rPr>
                <w:noProof/>
                <w:webHidden/>
              </w:rPr>
              <w:t>24</w:t>
            </w:r>
            <w:r w:rsidR="00CA0D47">
              <w:rPr>
                <w:noProof/>
                <w:webHidden/>
              </w:rPr>
              <w:fldChar w:fldCharType="end"/>
            </w:r>
          </w:hyperlink>
        </w:p>
        <w:p w14:paraId="1396208E" w14:textId="20D87C95" w:rsidR="00CA0D47" w:rsidRDefault="00916714">
          <w:pPr>
            <w:pStyle w:val="TOC2"/>
            <w:rPr>
              <w:rFonts w:asciiTheme="minorHAnsi" w:eastAsiaTheme="minorEastAsia" w:hAnsiTheme="minorHAnsi"/>
              <w:noProof/>
              <w:color w:val="auto"/>
              <w:szCs w:val="22"/>
              <w:lang w:eastAsia="en-AU"/>
            </w:rPr>
          </w:pPr>
          <w:hyperlink w:anchor="_Toc128477930" w:history="1">
            <w:r w:rsidR="00CA0D47" w:rsidRPr="005575B5">
              <w:rPr>
                <w:rStyle w:val="Hyperlink"/>
                <w:noProof/>
              </w:rPr>
              <w:t>KPI 4 - Compliance and monitoring approaches are streamlined and coordinated</w:t>
            </w:r>
            <w:r w:rsidR="00CA0D47">
              <w:rPr>
                <w:noProof/>
                <w:webHidden/>
              </w:rPr>
              <w:tab/>
            </w:r>
            <w:r w:rsidR="00CA0D47">
              <w:rPr>
                <w:noProof/>
                <w:webHidden/>
              </w:rPr>
              <w:fldChar w:fldCharType="begin"/>
            </w:r>
            <w:r w:rsidR="00CA0D47">
              <w:rPr>
                <w:noProof/>
                <w:webHidden/>
              </w:rPr>
              <w:instrText xml:space="preserve"> PAGEREF _Toc128477930 \h </w:instrText>
            </w:r>
            <w:r w:rsidR="00CA0D47">
              <w:rPr>
                <w:noProof/>
                <w:webHidden/>
              </w:rPr>
            </w:r>
            <w:r w:rsidR="00CA0D47">
              <w:rPr>
                <w:noProof/>
                <w:webHidden/>
              </w:rPr>
              <w:fldChar w:fldCharType="separate"/>
            </w:r>
            <w:r w:rsidR="0022543F">
              <w:rPr>
                <w:noProof/>
                <w:webHidden/>
              </w:rPr>
              <w:t>25</w:t>
            </w:r>
            <w:r w:rsidR="00CA0D47">
              <w:rPr>
                <w:noProof/>
                <w:webHidden/>
              </w:rPr>
              <w:fldChar w:fldCharType="end"/>
            </w:r>
          </w:hyperlink>
        </w:p>
        <w:p w14:paraId="016B98F8" w14:textId="5E378F06" w:rsidR="00CA0D47" w:rsidRDefault="00916714">
          <w:pPr>
            <w:pStyle w:val="TOC3"/>
            <w:rPr>
              <w:rFonts w:eastAsiaTheme="minorEastAsia"/>
              <w:noProof/>
              <w:color w:val="auto"/>
              <w:szCs w:val="22"/>
              <w:lang w:eastAsia="en-AU"/>
            </w:rPr>
          </w:pPr>
          <w:hyperlink w:anchor="_Toc128477931" w:history="1">
            <w:r w:rsidR="00CA0D47" w:rsidRPr="005575B5">
              <w:rPr>
                <w:rStyle w:val="Hyperlink"/>
                <w:noProof/>
              </w:rPr>
              <w:t>Measure 4.1: Our information requests are tailored and only made when necessary to secure regulatory objectives, and only then in a way that minimises impact</w:t>
            </w:r>
            <w:r w:rsidR="00CA0D47">
              <w:rPr>
                <w:noProof/>
                <w:webHidden/>
              </w:rPr>
              <w:tab/>
            </w:r>
            <w:r w:rsidR="00CA0D47">
              <w:rPr>
                <w:noProof/>
                <w:webHidden/>
              </w:rPr>
              <w:fldChar w:fldCharType="begin"/>
            </w:r>
            <w:r w:rsidR="00CA0D47">
              <w:rPr>
                <w:noProof/>
                <w:webHidden/>
              </w:rPr>
              <w:instrText xml:space="preserve"> PAGEREF _Toc128477931 \h </w:instrText>
            </w:r>
            <w:r w:rsidR="00CA0D47">
              <w:rPr>
                <w:noProof/>
                <w:webHidden/>
              </w:rPr>
            </w:r>
            <w:r w:rsidR="00CA0D47">
              <w:rPr>
                <w:noProof/>
                <w:webHidden/>
              </w:rPr>
              <w:fldChar w:fldCharType="separate"/>
            </w:r>
            <w:r w:rsidR="0022543F">
              <w:rPr>
                <w:noProof/>
                <w:webHidden/>
              </w:rPr>
              <w:t>25</w:t>
            </w:r>
            <w:r w:rsidR="00CA0D47">
              <w:rPr>
                <w:noProof/>
                <w:webHidden/>
              </w:rPr>
              <w:fldChar w:fldCharType="end"/>
            </w:r>
          </w:hyperlink>
        </w:p>
        <w:p w14:paraId="17D80A1C" w14:textId="3A693FF3" w:rsidR="00CA0D47" w:rsidRDefault="00916714">
          <w:pPr>
            <w:pStyle w:val="TOC3"/>
            <w:rPr>
              <w:rFonts w:eastAsiaTheme="minorEastAsia"/>
              <w:noProof/>
              <w:color w:val="auto"/>
              <w:szCs w:val="22"/>
              <w:lang w:eastAsia="en-AU"/>
            </w:rPr>
          </w:pPr>
          <w:hyperlink w:anchor="_Toc128477932" w:history="1">
            <w:r w:rsidR="00CA0D47" w:rsidRPr="005575B5">
              <w:rPr>
                <w:rStyle w:val="Hyperlink"/>
                <w:noProof/>
              </w:rPr>
              <w:t>Measure 4.2: Our frequency of information collection is minimised and coordinated with similar processes including those of other regulators so that, as far as possible, information is only requested once</w:t>
            </w:r>
            <w:r w:rsidR="00CA0D47">
              <w:rPr>
                <w:noProof/>
                <w:webHidden/>
              </w:rPr>
              <w:tab/>
            </w:r>
            <w:r w:rsidR="00CA0D47">
              <w:rPr>
                <w:noProof/>
                <w:webHidden/>
              </w:rPr>
              <w:fldChar w:fldCharType="begin"/>
            </w:r>
            <w:r w:rsidR="00CA0D47">
              <w:rPr>
                <w:noProof/>
                <w:webHidden/>
              </w:rPr>
              <w:instrText xml:space="preserve"> PAGEREF _Toc128477932 \h </w:instrText>
            </w:r>
            <w:r w:rsidR="00CA0D47">
              <w:rPr>
                <w:noProof/>
                <w:webHidden/>
              </w:rPr>
            </w:r>
            <w:r w:rsidR="00CA0D47">
              <w:rPr>
                <w:noProof/>
                <w:webHidden/>
              </w:rPr>
              <w:fldChar w:fldCharType="separate"/>
            </w:r>
            <w:r w:rsidR="0022543F">
              <w:rPr>
                <w:noProof/>
                <w:webHidden/>
              </w:rPr>
              <w:t>26</w:t>
            </w:r>
            <w:r w:rsidR="00CA0D47">
              <w:rPr>
                <w:noProof/>
                <w:webHidden/>
              </w:rPr>
              <w:fldChar w:fldCharType="end"/>
            </w:r>
          </w:hyperlink>
        </w:p>
        <w:p w14:paraId="5608877F" w14:textId="0899FC15" w:rsidR="00CA0D47" w:rsidRDefault="00916714">
          <w:pPr>
            <w:pStyle w:val="TOC3"/>
            <w:rPr>
              <w:rFonts w:eastAsiaTheme="minorEastAsia"/>
              <w:noProof/>
              <w:color w:val="auto"/>
              <w:szCs w:val="22"/>
              <w:lang w:eastAsia="en-AU"/>
            </w:rPr>
          </w:pPr>
          <w:hyperlink w:anchor="_Toc128477933" w:history="1">
            <w:r w:rsidR="00CA0D47" w:rsidRPr="005575B5">
              <w:rPr>
                <w:rStyle w:val="Hyperlink"/>
                <w:noProof/>
              </w:rPr>
              <w:t>Measure 4.3: We utilise existing information to limit the reliance on requests from regulated entities and share information among other regulators where possible</w:t>
            </w:r>
            <w:r w:rsidR="00CA0D47">
              <w:rPr>
                <w:noProof/>
                <w:webHidden/>
              </w:rPr>
              <w:tab/>
            </w:r>
            <w:r w:rsidR="00CA0D47">
              <w:rPr>
                <w:noProof/>
                <w:webHidden/>
              </w:rPr>
              <w:fldChar w:fldCharType="begin"/>
            </w:r>
            <w:r w:rsidR="00CA0D47">
              <w:rPr>
                <w:noProof/>
                <w:webHidden/>
              </w:rPr>
              <w:instrText xml:space="preserve"> PAGEREF _Toc128477933 \h </w:instrText>
            </w:r>
            <w:r w:rsidR="00CA0D47">
              <w:rPr>
                <w:noProof/>
                <w:webHidden/>
              </w:rPr>
            </w:r>
            <w:r w:rsidR="00CA0D47">
              <w:rPr>
                <w:noProof/>
                <w:webHidden/>
              </w:rPr>
              <w:fldChar w:fldCharType="separate"/>
            </w:r>
            <w:r w:rsidR="0022543F">
              <w:rPr>
                <w:noProof/>
                <w:webHidden/>
              </w:rPr>
              <w:t>27</w:t>
            </w:r>
            <w:r w:rsidR="00CA0D47">
              <w:rPr>
                <w:noProof/>
                <w:webHidden/>
              </w:rPr>
              <w:fldChar w:fldCharType="end"/>
            </w:r>
          </w:hyperlink>
        </w:p>
        <w:p w14:paraId="204308BD" w14:textId="2F522E51" w:rsidR="00CA0D47" w:rsidRDefault="00916714">
          <w:pPr>
            <w:pStyle w:val="TOC3"/>
            <w:rPr>
              <w:rFonts w:eastAsiaTheme="minorEastAsia"/>
              <w:noProof/>
              <w:color w:val="auto"/>
              <w:szCs w:val="22"/>
              <w:lang w:eastAsia="en-AU"/>
            </w:rPr>
          </w:pPr>
          <w:hyperlink w:anchor="_Toc128477934" w:history="1">
            <w:r w:rsidR="00CA0D47" w:rsidRPr="005575B5">
              <w:rPr>
                <w:rStyle w:val="Hyperlink"/>
                <w:noProof/>
              </w:rPr>
              <w:t>Measure 4.4: We base monitoring and inspection approaches on risk and, where possible, take into account the circumstances and operational needs of the regulated entity</w:t>
            </w:r>
            <w:r w:rsidR="00CA0D47">
              <w:rPr>
                <w:noProof/>
                <w:webHidden/>
              </w:rPr>
              <w:tab/>
            </w:r>
            <w:r w:rsidR="00CA0D47">
              <w:rPr>
                <w:noProof/>
                <w:webHidden/>
              </w:rPr>
              <w:fldChar w:fldCharType="begin"/>
            </w:r>
            <w:r w:rsidR="00CA0D47">
              <w:rPr>
                <w:noProof/>
                <w:webHidden/>
              </w:rPr>
              <w:instrText xml:space="preserve"> PAGEREF _Toc128477934 \h </w:instrText>
            </w:r>
            <w:r w:rsidR="00CA0D47">
              <w:rPr>
                <w:noProof/>
                <w:webHidden/>
              </w:rPr>
            </w:r>
            <w:r w:rsidR="00CA0D47">
              <w:rPr>
                <w:noProof/>
                <w:webHidden/>
              </w:rPr>
              <w:fldChar w:fldCharType="separate"/>
            </w:r>
            <w:r w:rsidR="0022543F">
              <w:rPr>
                <w:noProof/>
                <w:webHidden/>
              </w:rPr>
              <w:t>29</w:t>
            </w:r>
            <w:r w:rsidR="00CA0D47">
              <w:rPr>
                <w:noProof/>
                <w:webHidden/>
              </w:rPr>
              <w:fldChar w:fldCharType="end"/>
            </w:r>
          </w:hyperlink>
        </w:p>
        <w:p w14:paraId="46B3048A" w14:textId="21196589" w:rsidR="00CA0D47" w:rsidRDefault="00916714">
          <w:pPr>
            <w:pStyle w:val="TOC2"/>
            <w:rPr>
              <w:rFonts w:asciiTheme="minorHAnsi" w:eastAsiaTheme="minorEastAsia" w:hAnsiTheme="minorHAnsi"/>
              <w:noProof/>
              <w:color w:val="auto"/>
              <w:szCs w:val="22"/>
              <w:lang w:eastAsia="en-AU"/>
            </w:rPr>
          </w:pPr>
          <w:hyperlink w:anchor="_Toc128477935" w:history="1">
            <w:r w:rsidR="00CA0D47" w:rsidRPr="005575B5">
              <w:rPr>
                <w:rStyle w:val="Hyperlink"/>
                <w:noProof/>
              </w:rPr>
              <w:t>KPI 5 - Regulators are open and transparent in their dealings with regulated entities</w:t>
            </w:r>
            <w:r w:rsidR="00CA0D47">
              <w:rPr>
                <w:noProof/>
                <w:webHidden/>
              </w:rPr>
              <w:tab/>
            </w:r>
            <w:r w:rsidR="00CA0D47">
              <w:rPr>
                <w:noProof/>
                <w:webHidden/>
              </w:rPr>
              <w:fldChar w:fldCharType="begin"/>
            </w:r>
            <w:r w:rsidR="00CA0D47">
              <w:rPr>
                <w:noProof/>
                <w:webHidden/>
              </w:rPr>
              <w:instrText xml:space="preserve"> PAGEREF _Toc128477935 \h </w:instrText>
            </w:r>
            <w:r w:rsidR="00CA0D47">
              <w:rPr>
                <w:noProof/>
                <w:webHidden/>
              </w:rPr>
            </w:r>
            <w:r w:rsidR="00CA0D47">
              <w:rPr>
                <w:noProof/>
                <w:webHidden/>
              </w:rPr>
              <w:fldChar w:fldCharType="separate"/>
            </w:r>
            <w:r w:rsidR="0022543F">
              <w:rPr>
                <w:noProof/>
                <w:webHidden/>
              </w:rPr>
              <w:t>31</w:t>
            </w:r>
            <w:r w:rsidR="00CA0D47">
              <w:rPr>
                <w:noProof/>
                <w:webHidden/>
              </w:rPr>
              <w:fldChar w:fldCharType="end"/>
            </w:r>
          </w:hyperlink>
        </w:p>
        <w:p w14:paraId="5CC1FFB8" w14:textId="7D336493" w:rsidR="00CA0D47" w:rsidRDefault="00916714">
          <w:pPr>
            <w:pStyle w:val="TOC3"/>
            <w:rPr>
              <w:rFonts w:eastAsiaTheme="minorEastAsia"/>
              <w:noProof/>
              <w:color w:val="auto"/>
              <w:szCs w:val="22"/>
              <w:lang w:eastAsia="en-AU"/>
            </w:rPr>
          </w:pPr>
          <w:hyperlink w:anchor="_Toc128477936" w:history="1">
            <w:r w:rsidR="00CA0D47" w:rsidRPr="005575B5">
              <w:rPr>
                <w:rStyle w:val="Hyperlink"/>
                <w:noProof/>
              </w:rPr>
              <w:t>Measure 5.1: Our risk-based frameworks are publicly available in a format which is clear, understandable and accessible</w:t>
            </w:r>
            <w:r w:rsidR="00CA0D47">
              <w:rPr>
                <w:noProof/>
                <w:webHidden/>
              </w:rPr>
              <w:tab/>
            </w:r>
            <w:r w:rsidR="00CA0D47">
              <w:rPr>
                <w:noProof/>
                <w:webHidden/>
              </w:rPr>
              <w:fldChar w:fldCharType="begin"/>
            </w:r>
            <w:r w:rsidR="00CA0D47">
              <w:rPr>
                <w:noProof/>
                <w:webHidden/>
              </w:rPr>
              <w:instrText xml:space="preserve"> PAGEREF _Toc128477936 \h </w:instrText>
            </w:r>
            <w:r w:rsidR="00CA0D47">
              <w:rPr>
                <w:noProof/>
                <w:webHidden/>
              </w:rPr>
            </w:r>
            <w:r w:rsidR="00CA0D47">
              <w:rPr>
                <w:noProof/>
                <w:webHidden/>
              </w:rPr>
              <w:fldChar w:fldCharType="separate"/>
            </w:r>
            <w:r w:rsidR="0022543F">
              <w:rPr>
                <w:noProof/>
                <w:webHidden/>
              </w:rPr>
              <w:t>31</w:t>
            </w:r>
            <w:r w:rsidR="00CA0D47">
              <w:rPr>
                <w:noProof/>
                <w:webHidden/>
              </w:rPr>
              <w:fldChar w:fldCharType="end"/>
            </w:r>
          </w:hyperlink>
        </w:p>
        <w:p w14:paraId="197C0AAA" w14:textId="2AEF1792" w:rsidR="00CA0D47" w:rsidRDefault="00916714">
          <w:pPr>
            <w:pStyle w:val="TOC3"/>
            <w:rPr>
              <w:rFonts w:eastAsiaTheme="minorEastAsia"/>
              <w:noProof/>
              <w:color w:val="auto"/>
              <w:szCs w:val="22"/>
              <w:lang w:eastAsia="en-AU"/>
            </w:rPr>
          </w:pPr>
          <w:hyperlink w:anchor="_Toc128477937" w:history="1">
            <w:r w:rsidR="00CA0D47" w:rsidRPr="005575B5">
              <w:rPr>
                <w:rStyle w:val="Hyperlink"/>
                <w:noProof/>
              </w:rPr>
              <w:t>Measure 5.2: We are open and responsive to requests from regulated entities regarding the operation of the regulatory framework, and approaches implemented by us</w:t>
            </w:r>
            <w:r w:rsidR="00CA0D47">
              <w:rPr>
                <w:noProof/>
                <w:webHidden/>
              </w:rPr>
              <w:tab/>
            </w:r>
            <w:r w:rsidR="00CA0D47">
              <w:rPr>
                <w:noProof/>
                <w:webHidden/>
              </w:rPr>
              <w:fldChar w:fldCharType="begin"/>
            </w:r>
            <w:r w:rsidR="00CA0D47">
              <w:rPr>
                <w:noProof/>
                <w:webHidden/>
              </w:rPr>
              <w:instrText xml:space="preserve"> PAGEREF _Toc128477937 \h </w:instrText>
            </w:r>
            <w:r w:rsidR="00CA0D47">
              <w:rPr>
                <w:noProof/>
                <w:webHidden/>
              </w:rPr>
            </w:r>
            <w:r w:rsidR="00CA0D47">
              <w:rPr>
                <w:noProof/>
                <w:webHidden/>
              </w:rPr>
              <w:fldChar w:fldCharType="separate"/>
            </w:r>
            <w:r w:rsidR="0022543F">
              <w:rPr>
                <w:noProof/>
                <w:webHidden/>
              </w:rPr>
              <w:t>32</w:t>
            </w:r>
            <w:r w:rsidR="00CA0D47">
              <w:rPr>
                <w:noProof/>
                <w:webHidden/>
              </w:rPr>
              <w:fldChar w:fldCharType="end"/>
            </w:r>
          </w:hyperlink>
        </w:p>
        <w:p w14:paraId="46B1E6E9" w14:textId="75D1861E" w:rsidR="00CA0D47" w:rsidRDefault="00916714">
          <w:pPr>
            <w:pStyle w:val="TOC3"/>
            <w:rPr>
              <w:rFonts w:eastAsiaTheme="minorEastAsia"/>
              <w:noProof/>
              <w:color w:val="auto"/>
              <w:szCs w:val="22"/>
              <w:lang w:eastAsia="en-AU"/>
            </w:rPr>
          </w:pPr>
          <w:hyperlink w:anchor="_Toc128477938" w:history="1">
            <w:r w:rsidR="00CA0D47" w:rsidRPr="005575B5">
              <w:rPr>
                <w:rStyle w:val="Hyperlink"/>
                <w:noProof/>
              </w:rPr>
              <w:t>Measure 5.3: Our performance measurement results are published in a timely manner to ensure accountability to the public</w:t>
            </w:r>
            <w:r w:rsidR="00CA0D47">
              <w:rPr>
                <w:noProof/>
                <w:webHidden/>
              </w:rPr>
              <w:tab/>
            </w:r>
            <w:r w:rsidR="00CA0D47">
              <w:rPr>
                <w:noProof/>
                <w:webHidden/>
              </w:rPr>
              <w:fldChar w:fldCharType="begin"/>
            </w:r>
            <w:r w:rsidR="00CA0D47">
              <w:rPr>
                <w:noProof/>
                <w:webHidden/>
              </w:rPr>
              <w:instrText xml:space="preserve"> PAGEREF _Toc128477938 \h </w:instrText>
            </w:r>
            <w:r w:rsidR="00CA0D47">
              <w:rPr>
                <w:noProof/>
                <w:webHidden/>
              </w:rPr>
            </w:r>
            <w:r w:rsidR="00CA0D47">
              <w:rPr>
                <w:noProof/>
                <w:webHidden/>
              </w:rPr>
              <w:fldChar w:fldCharType="separate"/>
            </w:r>
            <w:r w:rsidR="0022543F">
              <w:rPr>
                <w:noProof/>
                <w:webHidden/>
              </w:rPr>
              <w:t>33</w:t>
            </w:r>
            <w:r w:rsidR="00CA0D47">
              <w:rPr>
                <w:noProof/>
                <w:webHidden/>
              </w:rPr>
              <w:fldChar w:fldCharType="end"/>
            </w:r>
          </w:hyperlink>
        </w:p>
        <w:p w14:paraId="31F4599A" w14:textId="65184DF9" w:rsidR="00CA0D47" w:rsidRDefault="00916714">
          <w:pPr>
            <w:pStyle w:val="TOC2"/>
            <w:rPr>
              <w:rFonts w:asciiTheme="minorHAnsi" w:eastAsiaTheme="minorEastAsia" w:hAnsiTheme="minorHAnsi"/>
              <w:noProof/>
              <w:color w:val="auto"/>
              <w:szCs w:val="22"/>
              <w:lang w:eastAsia="en-AU"/>
            </w:rPr>
          </w:pPr>
          <w:hyperlink w:anchor="_Toc128477939" w:history="1">
            <w:r w:rsidR="00CA0D47" w:rsidRPr="005575B5">
              <w:rPr>
                <w:rStyle w:val="Hyperlink"/>
                <w:noProof/>
              </w:rPr>
              <w:t>KPI 6 - Regulators actively contribute to the continuous improvement of regulatory frameworks</w:t>
            </w:r>
            <w:r w:rsidR="00CA0D47">
              <w:rPr>
                <w:noProof/>
                <w:webHidden/>
              </w:rPr>
              <w:tab/>
            </w:r>
            <w:r w:rsidR="00CA0D47">
              <w:rPr>
                <w:noProof/>
                <w:webHidden/>
              </w:rPr>
              <w:fldChar w:fldCharType="begin"/>
            </w:r>
            <w:r w:rsidR="00CA0D47">
              <w:rPr>
                <w:noProof/>
                <w:webHidden/>
              </w:rPr>
              <w:instrText xml:space="preserve"> PAGEREF _Toc128477939 \h </w:instrText>
            </w:r>
            <w:r w:rsidR="00CA0D47">
              <w:rPr>
                <w:noProof/>
                <w:webHidden/>
              </w:rPr>
            </w:r>
            <w:r w:rsidR="00CA0D47">
              <w:rPr>
                <w:noProof/>
                <w:webHidden/>
              </w:rPr>
              <w:fldChar w:fldCharType="separate"/>
            </w:r>
            <w:r w:rsidR="0022543F">
              <w:rPr>
                <w:noProof/>
                <w:webHidden/>
              </w:rPr>
              <w:t>34</w:t>
            </w:r>
            <w:r w:rsidR="00CA0D47">
              <w:rPr>
                <w:noProof/>
                <w:webHidden/>
              </w:rPr>
              <w:fldChar w:fldCharType="end"/>
            </w:r>
          </w:hyperlink>
        </w:p>
        <w:p w14:paraId="061E4470" w14:textId="0CF6DC16" w:rsidR="00CA0D47" w:rsidRDefault="00916714">
          <w:pPr>
            <w:pStyle w:val="TOC3"/>
            <w:rPr>
              <w:rFonts w:eastAsiaTheme="minorEastAsia"/>
              <w:noProof/>
              <w:color w:val="auto"/>
              <w:szCs w:val="22"/>
              <w:lang w:eastAsia="en-AU"/>
            </w:rPr>
          </w:pPr>
          <w:hyperlink w:anchor="_Toc128477940" w:history="1">
            <w:r w:rsidR="00CA0D47" w:rsidRPr="005575B5">
              <w:rPr>
                <w:rStyle w:val="Hyperlink"/>
                <w:noProof/>
              </w:rPr>
              <w:t>Measure 6.1: We establish cooperative and collaborative relationships with stakeholders to promote trust and improve the efficiency and effectiveness of the regulatory framework</w:t>
            </w:r>
            <w:r w:rsidR="00CA0D47">
              <w:rPr>
                <w:noProof/>
                <w:webHidden/>
              </w:rPr>
              <w:tab/>
            </w:r>
            <w:r w:rsidR="00CA0D47">
              <w:rPr>
                <w:noProof/>
                <w:webHidden/>
              </w:rPr>
              <w:fldChar w:fldCharType="begin"/>
            </w:r>
            <w:r w:rsidR="00CA0D47">
              <w:rPr>
                <w:noProof/>
                <w:webHidden/>
              </w:rPr>
              <w:instrText xml:space="preserve"> PAGEREF _Toc128477940 \h </w:instrText>
            </w:r>
            <w:r w:rsidR="00CA0D47">
              <w:rPr>
                <w:noProof/>
                <w:webHidden/>
              </w:rPr>
            </w:r>
            <w:r w:rsidR="00CA0D47">
              <w:rPr>
                <w:noProof/>
                <w:webHidden/>
              </w:rPr>
              <w:fldChar w:fldCharType="separate"/>
            </w:r>
            <w:r w:rsidR="0022543F">
              <w:rPr>
                <w:noProof/>
                <w:webHidden/>
              </w:rPr>
              <w:t>34</w:t>
            </w:r>
            <w:r w:rsidR="00CA0D47">
              <w:rPr>
                <w:noProof/>
                <w:webHidden/>
              </w:rPr>
              <w:fldChar w:fldCharType="end"/>
            </w:r>
          </w:hyperlink>
        </w:p>
        <w:p w14:paraId="523427D8" w14:textId="46723F36" w:rsidR="00CA0D47" w:rsidRDefault="00916714">
          <w:pPr>
            <w:pStyle w:val="TOC3"/>
            <w:rPr>
              <w:rFonts w:eastAsiaTheme="minorEastAsia"/>
              <w:noProof/>
              <w:color w:val="auto"/>
              <w:szCs w:val="22"/>
              <w:lang w:eastAsia="en-AU"/>
            </w:rPr>
          </w:pPr>
          <w:hyperlink w:anchor="_Toc128477941" w:history="1">
            <w:r w:rsidR="00CA0D47" w:rsidRPr="005575B5">
              <w:rPr>
                <w:rStyle w:val="Hyperlink"/>
                <w:noProof/>
              </w:rPr>
              <w:t>Measure 6.2: We engage stakeholders in the development of options to reduce compliance costs. This could include industry self-regulation, changes to the overarching regulatory framework, or other strategies to streamline monitoring and compliance approaches</w:t>
            </w:r>
            <w:r w:rsidR="00CA0D47">
              <w:rPr>
                <w:noProof/>
                <w:webHidden/>
              </w:rPr>
              <w:tab/>
            </w:r>
            <w:r w:rsidR="00CA0D47">
              <w:rPr>
                <w:noProof/>
                <w:webHidden/>
              </w:rPr>
              <w:fldChar w:fldCharType="begin"/>
            </w:r>
            <w:r w:rsidR="00CA0D47">
              <w:rPr>
                <w:noProof/>
                <w:webHidden/>
              </w:rPr>
              <w:instrText xml:space="preserve"> PAGEREF _Toc128477941 \h </w:instrText>
            </w:r>
            <w:r w:rsidR="00CA0D47">
              <w:rPr>
                <w:noProof/>
                <w:webHidden/>
              </w:rPr>
            </w:r>
            <w:r w:rsidR="00CA0D47">
              <w:rPr>
                <w:noProof/>
                <w:webHidden/>
              </w:rPr>
              <w:fldChar w:fldCharType="separate"/>
            </w:r>
            <w:r w:rsidR="0022543F">
              <w:rPr>
                <w:noProof/>
                <w:webHidden/>
              </w:rPr>
              <w:t>35</w:t>
            </w:r>
            <w:r w:rsidR="00CA0D47">
              <w:rPr>
                <w:noProof/>
                <w:webHidden/>
              </w:rPr>
              <w:fldChar w:fldCharType="end"/>
            </w:r>
          </w:hyperlink>
        </w:p>
        <w:p w14:paraId="35E97B49" w14:textId="5C26FDC0" w:rsidR="00CA0D47" w:rsidRDefault="00916714">
          <w:pPr>
            <w:pStyle w:val="TOC3"/>
            <w:rPr>
              <w:rFonts w:eastAsiaTheme="minorEastAsia"/>
              <w:noProof/>
              <w:color w:val="auto"/>
              <w:szCs w:val="22"/>
              <w:lang w:eastAsia="en-AU"/>
            </w:rPr>
          </w:pPr>
          <w:hyperlink w:anchor="_Toc128477942" w:history="1">
            <w:r w:rsidR="00CA0D47" w:rsidRPr="005575B5">
              <w:rPr>
                <w:rStyle w:val="Hyperlink"/>
                <w:noProof/>
              </w:rPr>
              <w:t>Measure 6.3: We regularly share feedback from stakeholders and performance information (including from inspections) with policy departments to improve the operation of the regulatory framework and administrative processes.</w:t>
            </w:r>
            <w:r w:rsidR="00CA0D47">
              <w:rPr>
                <w:noProof/>
                <w:webHidden/>
              </w:rPr>
              <w:tab/>
            </w:r>
            <w:r w:rsidR="00CA0D47">
              <w:rPr>
                <w:noProof/>
                <w:webHidden/>
              </w:rPr>
              <w:fldChar w:fldCharType="begin"/>
            </w:r>
            <w:r w:rsidR="00CA0D47">
              <w:rPr>
                <w:noProof/>
                <w:webHidden/>
              </w:rPr>
              <w:instrText xml:space="preserve"> PAGEREF _Toc128477942 \h </w:instrText>
            </w:r>
            <w:r w:rsidR="00CA0D47">
              <w:rPr>
                <w:noProof/>
                <w:webHidden/>
              </w:rPr>
            </w:r>
            <w:r w:rsidR="00CA0D47">
              <w:rPr>
                <w:noProof/>
                <w:webHidden/>
              </w:rPr>
              <w:fldChar w:fldCharType="separate"/>
            </w:r>
            <w:r w:rsidR="0022543F">
              <w:rPr>
                <w:noProof/>
                <w:webHidden/>
              </w:rPr>
              <w:t>35</w:t>
            </w:r>
            <w:r w:rsidR="00CA0D47">
              <w:rPr>
                <w:noProof/>
                <w:webHidden/>
              </w:rPr>
              <w:fldChar w:fldCharType="end"/>
            </w:r>
          </w:hyperlink>
        </w:p>
        <w:p w14:paraId="557EAB37" w14:textId="04B819E3" w:rsidR="00E6497B" w:rsidRDefault="00E6497B">
          <w:r>
            <w:rPr>
              <w:b/>
              <w:bCs/>
              <w:noProof/>
            </w:rPr>
            <w:fldChar w:fldCharType="end"/>
          </w:r>
        </w:p>
      </w:sdtContent>
    </w:sdt>
    <w:p w14:paraId="2AE77EBB" w14:textId="77777777" w:rsidR="00E6497B" w:rsidRDefault="00E6497B">
      <w:pPr>
        <w:suppressAutoHyphens w:val="0"/>
        <w:spacing w:before="120" w:after="120" w:line="240" w:lineRule="auto"/>
        <w:rPr>
          <w:rFonts w:eastAsiaTheme="majorEastAsia" w:cstheme="minorHAnsi"/>
          <w:color w:val="612C69"/>
          <w:sz w:val="40"/>
          <w:szCs w:val="40"/>
        </w:rPr>
      </w:pPr>
      <w:r>
        <w:rPr>
          <w:rFonts w:cstheme="minorHAnsi"/>
          <w:b/>
        </w:rPr>
        <w:br w:type="page"/>
      </w:r>
    </w:p>
    <w:p w14:paraId="2DF0D241" w14:textId="044374E1" w:rsidR="007C2F74" w:rsidRPr="00870C23" w:rsidRDefault="00A06C26" w:rsidP="00870C23">
      <w:pPr>
        <w:pStyle w:val="Heading1"/>
        <w:spacing w:line="276" w:lineRule="auto"/>
        <w:rPr>
          <w:rFonts w:asciiTheme="minorHAnsi" w:hAnsiTheme="minorHAnsi" w:cstheme="minorHAnsi"/>
          <w:b w:val="0"/>
        </w:rPr>
      </w:pPr>
      <w:bookmarkStart w:id="4" w:name="_Toc128477910"/>
      <w:r w:rsidRPr="00870C23">
        <w:rPr>
          <w:rFonts w:asciiTheme="minorHAnsi" w:hAnsiTheme="minorHAnsi" w:cstheme="minorHAnsi"/>
          <w:b w:val="0"/>
        </w:rPr>
        <w:lastRenderedPageBreak/>
        <w:t xml:space="preserve">About the </w:t>
      </w:r>
      <w:r w:rsidR="00074A33" w:rsidRPr="00870C23">
        <w:rPr>
          <w:rFonts w:asciiTheme="minorHAnsi" w:hAnsiTheme="minorHAnsi" w:cstheme="minorHAnsi"/>
          <w:b w:val="0"/>
        </w:rPr>
        <w:t xml:space="preserve">NDIS </w:t>
      </w:r>
      <w:r w:rsidRPr="00870C23">
        <w:rPr>
          <w:rFonts w:asciiTheme="minorHAnsi" w:hAnsiTheme="minorHAnsi" w:cstheme="minorHAnsi"/>
          <w:b w:val="0"/>
        </w:rPr>
        <w:t>Commission</w:t>
      </w:r>
      <w:bookmarkEnd w:id="4"/>
    </w:p>
    <w:p w14:paraId="0ABEE32E" w14:textId="77777777" w:rsidR="00EA69B7" w:rsidRPr="00EA69B7" w:rsidRDefault="00BA1080" w:rsidP="00870C23">
      <w:pPr>
        <w:spacing w:line="276" w:lineRule="auto"/>
        <w:rPr>
          <w:rFonts w:cstheme="minorHAnsi"/>
          <w:color w:val="auto"/>
          <w:spacing w:val="4"/>
          <w:szCs w:val="22"/>
        </w:rPr>
      </w:pPr>
      <w:r w:rsidRPr="00EA69B7">
        <w:rPr>
          <w:rFonts w:cstheme="minorHAnsi"/>
          <w:color w:val="auto"/>
          <w:spacing w:val="4"/>
          <w:szCs w:val="22"/>
        </w:rPr>
        <w:t xml:space="preserve">The NDIS Quality and Safeguards Commission (NDIS Commission) is a statutory agency established under an amendment to the </w:t>
      </w:r>
      <w:r w:rsidRPr="00EA69B7">
        <w:rPr>
          <w:rFonts w:cstheme="minorHAnsi"/>
          <w:i/>
          <w:color w:val="auto"/>
          <w:spacing w:val="4"/>
          <w:szCs w:val="22"/>
        </w:rPr>
        <w:t>National Disability Insurance Scheme Act 2013</w:t>
      </w:r>
      <w:r w:rsidRPr="00EA69B7">
        <w:rPr>
          <w:rFonts w:cstheme="minorHAnsi"/>
          <w:color w:val="auto"/>
          <w:spacing w:val="4"/>
          <w:szCs w:val="22"/>
        </w:rPr>
        <w:t xml:space="preserve"> (the NDIS Act). </w:t>
      </w:r>
    </w:p>
    <w:p w14:paraId="581E0DD6" w14:textId="77777777" w:rsidR="001A3C00" w:rsidRPr="00EA69B7" w:rsidRDefault="00BA1080" w:rsidP="00870C23">
      <w:pPr>
        <w:spacing w:line="276" w:lineRule="auto"/>
        <w:rPr>
          <w:rFonts w:cstheme="minorHAnsi"/>
          <w:color w:val="auto"/>
          <w:spacing w:val="4"/>
          <w:szCs w:val="22"/>
        </w:rPr>
      </w:pPr>
      <w:r w:rsidRPr="00EA69B7">
        <w:rPr>
          <w:rFonts w:cstheme="minorHAnsi"/>
          <w:color w:val="auto"/>
          <w:spacing w:val="4"/>
          <w:szCs w:val="22"/>
        </w:rPr>
        <w:t>The</w:t>
      </w:r>
      <w:r w:rsidR="00E3647B">
        <w:rPr>
          <w:rFonts w:cstheme="minorHAnsi"/>
          <w:color w:val="auto"/>
          <w:spacing w:val="4"/>
          <w:szCs w:val="22"/>
        </w:rPr>
        <w:t xml:space="preserve"> NDIS</w:t>
      </w:r>
      <w:r w:rsidRPr="00EA69B7">
        <w:rPr>
          <w:rFonts w:cstheme="minorHAnsi"/>
          <w:color w:val="auto"/>
          <w:spacing w:val="4"/>
          <w:szCs w:val="22"/>
        </w:rPr>
        <w:t xml:space="preserve"> Commission’s rollout schedule saw </w:t>
      </w:r>
      <w:r w:rsidR="0023318D">
        <w:rPr>
          <w:rFonts w:cstheme="minorHAnsi"/>
          <w:color w:val="auto"/>
          <w:spacing w:val="4"/>
          <w:szCs w:val="22"/>
        </w:rPr>
        <w:t>it commencing</w:t>
      </w:r>
      <w:r w:rsidR="00E76348" w:rsidRPr="00EA69B7">
        <w:rPr>
          <w:rFonts w:cstheme="minorHAnsi"/>
          <w:color w:val="auto"/>
          <w:spacing w:val="4"/>
          <w:szCs w:val="22"/>
        </w:rPr>
        <w:t xml:space="preserve"> operation</w:t>
      </w:r>
      <w:r w:rsidRPr="00EA69B7">
        <w:rPr>
          <w:rFonts w:cstheme="minorHAnsi"/>
          <w:color w:val="auto"/>
          <w:spacing w:val="4"/>
          <w:szCs w:val="22"/>
        </w:rPr>
        <w:t xml:space="preserve"> in New South Wales and South Australia during </w:t>
      </w:r>
      <w:r w:rsidR="001A3C00" w:rsidRPr="00EA69B7">
        <w:rPr>
          <w:rFonts w:cstheme="minorHAnsi"/>
          <w:color w:val="auto"/>
          <w:spacing w:val="4"/>
          <w:szCs w:val="22"/>
        </w:rPr>
        <w:t>2018–19</w:t>
      </w:r>
      <w:r w:rsidRPr="00EA69B7">
        <w:rPr>
          <w:rFonts w:cstheme="minorHAnsi"/>
          <w:color w:val="auto"/>
          <w:spacing w:val="4"/>
          <w:szCs w:val="22"/>
        </w:rPr>
        <w:t xml:space="preserve">, </w:t>
      </w:r>
      <w:r w:rsidR="00E76348" w:rsidRPr="00EA69B7">
        <w:rPr>
          <w:rFonts w:cstheme="minorHAnsi"/>
          <w:color w:val="auto"/>
          <w:spacing w:val="4"/>
          <w:szCs w:val="22"/>
        </w:rPr>
        <w:t xml:space="preserve">then </w:t>
      </w:r>
      <w:r w:rsidR="00EA69B7" w:rsidRPr="00EA69B7">
        <w:rPr>
          <w:rFonts w:cstheme="minorHAnsi"/>
          <w:color w:val="auto"/>
          <w:spacing w:val="4"/>
          <w:szCs w:val="22"/>
        </w:rPr>
        <w:t>commencing in</w:t>
      </w:r>
      <w:r w:rsidRPr="00EA69B7">
        <w:rPr>
          <w:rFonts w:cstheme="minorHAnsi"/>
          <w:color w:val="auto"/>
          <w:spacing w:val="4"/>
          <w:szCs w:val="22"/>
        </w:rPr>
        <w:t xml:space="preserve"> Victoria, Queensland, Tasmania, the Northern Territory and the Australian Capital Terr</w:t>
      </w:r>
      <w:r w:rsidR="00E76348" w:rsidRPr="00EA69B7">
        <w:rPr>
          <w:rFonts w:cstheme="minorHAnsi"/>
          <w:color w:val="auto"/>
          <w:spacing w:val="4"/>
          <w:szCs w:val="22"/>
        </w:rPr>
        <w:t>itory from 1 July 2019, and finally</w:t>
      </w:r>
      <w:r w:rsidRPr="00EA69B7">
        <w:rPr>
          <w:rFonts w:cstheme="minorHAnsi"/>
          <w:color w:val="auto"/>
          <w:spacing w:val="4"/>
          <w:szCs w:val="22"/>
        </w:rPr>
        <w:t xml:space="preserve"> comm</w:t>
      </w:r>
      <w:r w:rsidR="00964FA1" w:rsidRPr="00EA69B7">
        <w:rPr>
          <w:rFonts w:cstheme="minorHAnsi"/>
          <w:color w:val="auto"/>
          <w:spacing w:val="4"/>
          <w:szCs w:val="22"/>
        </w:rPr>
        <w:t>encing in Western Australia on</w:t>
      </w:r>
      <w:r w:rsidRPr="00EA69B7">
        <w:rPr>
          <w:rFonts w:cstheme="minorHAnsi"/>
          <w:color w:val="auto"/>
          <w:spacing w:val="4"/>
          <w:szCs w:val="22"/>
        </w:rPr>
        <w:t xml:space="preserve"> 1 December 2020.</w:t>
      </w:r>
    </w:p>
    <w:p w14:paraId="1405B871" w14:textId="77777777" w:rsidR="0096396E" w:rsidRPr="00EA69B7" w:rsidRDefault="00E76348" w:rsidP="00870C23">
      <w:pPr>
        <w:spacing w:line="276" w:lineRule="auto"/>
        <w:rPr>
          <w:rFonts w:cstheme="minorHAnsi"/>
          <w:color w:val="auto"/>
          <w:spacing w:val="4"/>
          <w:szCs w:val="22"/>
        </w:rPr>
      </w:pPr>
      <w:r w:rsidRPr="00EA69B7">
        <w:rPr>
          <w:rFonts w:cstheme="minorHAnsi"/>
          <w:color w:val="auto"/>
          <w:spacing w:val="4"/>
          <w:szCs w:val="22"/>
        </w:rPr>
        <w:t xml:space="preserve">The </w:t>
      </w:r>
      <w:r w:rsidR="00E3647B">
        <w:rPr>
          <w:rFonts w:cstheme="minorHAnsi"/>
          <w:color w:val="auto"/>
          <w:spacing w:val="4"/>
          <w:szCs w:val="22"/>
        </w:rPr>
        <w:t xml:space="preserve">NDIS </w:t>
      </w:r>
      <w:r w:rsidRPr="00EA69B7">
        <w:rPr>
          <w:rFonts w:cstheme="minorHAnsi"/>
          <w:color w:val="auto"/>
          <w:spacing w:val="4"/>
          <w:szCs w:val="22"/>
        </w:rPr>
        <w:t xml:space="preserve">Commission delivers </w:t>
      </w:r>
      <w:r w:rsidR="0096396E" w:rsidRPr="00EA69B7">
        <w:rPr>
          <w:rFonts w:cstheme="minorHAnsi"/>
          <w:color w:val="auto"/>
          <w:spacing w:val="4"/>
          <w:szCs w:val="22"/>
        </w:rPr>
        <w:t>functions</w:t>
      </w:r>
      <w:r w:rsidR="00580907" w:rsidRPr="00EA69B7">
        <w:rPr>
          <w:rFonts w:cstheme="minorHAnsi"/>
          <w:color w:val="auto"/>
          <w:spacing w:val="4"/>
          <w:szCs w:val="22"/>
        </w:rPr>
        <w:t xml:space="preserve"> </w:t>
      </w:r>
      <w:r w:rsidR="00D66BC1" w:rsidRPr="00EA69B7">
        <w:rPr>
          <w:rFonts w:cstheme="minorHAnsi"/>
          <w:color w:val="auto"/>
          <w:spacing w:val="4"/>
          <w:szCs w:val="22"/>
        </w:rPr>
        <w:t>vested in our Commissioner by the NDIS Act.</w:t>
      </w:r>
      <w:r w:rsidR="0096396E" w:rsidRPr="00EA69B7">
        <w:rPr>
          <w:rFonts w:cstheme="minorHAnsi"/>
          <w:color w:val="auto"/>
          <w:spacing w:val="4"/>
          <w:szCs w:val="22"/>
        </w:rPr>
        <w:t xml:space="preserve"> These include a variety of activities relating to quality and safeguarding, most notably our core functions of </w:t>
      </w:r>
      <w:r w:rsidR="00EA69B7" w:rsidRPr="00EA69B7">
        <w:rPr>
          <w:rFonts w:cstheme="minorHAnsi"/>
          <w:color w:val="auto"/>
          <w:spacing w:val="4"/>
          <w:szCs w:val="22"/>
        </w:rPr>
        <w:t xml:space="preserve">provider </w:t>
      </w:r>
      <w:r w:rsidR="0096396E" w:rsidRPr="00EA69B7">
        <w:rPr>
          <w:rFonts w:cstheme="minorHAnsi"/>
          <w:color w:val="auto"/>
          <w:spacing w:val="4"/>
          <w:szCs w:val="22"/>
        </w:rPr>
        <w:t>registration, reportable incidents, complaints, and behaviour support.</w:t>
      </w:r>
      <w:r w:rsidR="00D66BC1" w:rsidRPr="00EA69B7">
        <w:rPr>
          <w:rFonts w:cstheme="minorHAnsi"/>
          <w:color w:val="auto"/>
          <w:spacing w:val="4"/>
          <w:szCs w:val="22"/>
        </w:rPr>
        <w:t xml:space="preserve"> We also enga</w:t>
      </w:r>
      <w:r w:rsidRPr="00EA69B7">
        <w:rPr>
          <w:rFonts w:cstheme="minorHAnsi"/>
          <w:color w:val="auto"/>
          <w:spacing w:val="4"/>
          <w:szCs w:val="22"/>
        </w:rPr>
        <w:t>ge in other relevant activities</w:t>
      </w:r>
      <w:r w:rsidR="00D66BC1" w:rsidRPr="00EA69B7">
        <w:rPr>
          <w:rFonts w:cstheme="minorHAnsi"/>
          <w:color w:val="auto"/>
          <w:spacing w:val="4"/>
          <w:szCs w:val="22"/>
        </w:rPr>
        <w:t xml:space="preserve"> including provider regulation, compliance and enforcement, market oversight, partnering with relevant entities, and communications and engagement.</w:t>
      </w:r>
    </w:p>
    <w:p w14:paraId="3A817788" w14:textId="77777777" w:rsidR="0096396E" w:rsidRPr="00EA69B7" w:rsidRDefault="00D66BC1" w:rsidP="00870C23">
      <w:pPr>
        <w:spacing w:line="276" w:lineRule="auto"/>
        <w:rPr>
          <w:rFonts w:cstheme="minorHAnsi"/>
          <w:color w:val="auto"/>
          <w:spacing w:val="4"/>
          <w:szCs w:val="22"/>
        </w:rPr>
      </w:pPr>
      <w:r w:rsidRPr="00EA69B7">
        <w:rPr>
          <w:rFonts w:cstheme="minorHAnsi"/>
          <w:color w:val="auto"/>
          <w:spacing w:val="4"/>
          <w:szCs w:val="22"/>
        </w:rPr>
        <w:t xml:space="preserve">Our compliance and enforcement activities are supported by appropriate </w:t>
      </w:r>
      <w:r w:rsidR="0096396E" w:rsidRPr="00EA69B7">
        <w:rPr>
          <w:rFonts w:cstheme="minorHAnsi"/>
          <w:color w:val="auto"/>
          <w:spacing w:val="4"/>
          <w:szCs w:val="22"/>
        </w:rPr>
        <w:t>powers</w:t>
      </w:r>
      <w:r w:rsidR="00580907" w:rsidRPr="00EA69B7">
        <w:rPr>
          <w:rFonts w:cstheme="minorHAnsi"/>
          <w:color w:val="auto"/>
          <w:spacing w:val="4"/>
          <w:szCs w:val="22"/>
        </w:rPr>
        <w:t xml:space="preserve"> that allow</w:t>
      </w:r>
      <w:r w:rsidR="0096396E" w:rsidRPr="00EA69B7">
        <w:rPr>
          <w:rFonts w:cstheme="minorHAnsi"/>
          <w:color w:val="auto"/>
          <w:spacing w:val="4"/>
          <w:szCs w:val="22"/>
        </w:rPr>
        <w:t xml:space="preserve"> us to investigate compla</w:t>
      </w:r>
      <w:r w:rsidR="009563F1" w:rsidRPr="00EA69B7">
        <w:rPr>
          <w:rFonts w:cstheme="minorHAnsi"/>
          <w:color w:val="auto"/>
          <w:spacing w:val="4"/>
          <w:szCs w:val="22"/>
        </w:rPr>
        <w:t>ints, reports of non-compliance</w:t>
      </w:r>
      <w:r w:rsidR="0096396E" w:rsidRPr="00EA69B7">
        <w:rPr>
          <w:rFonts w:cstheme="minorHAnsi"/>
          <w:color w:val="auto"/>
          <w:spacing w:val="4"/>
          <w:szCs w:val="22"/>
        </w:rPr>
        <w:t xml:space="preserve"> and other apparent breaches, and to impose appropriate sanctions.</w:t>
      </w:r>
    </w:p>
    <w:p w14:paraId="13D363E4" w14:textId="77777777" w:rsidR="00834231" w:rsidRPr="004727E0" w:rsidRDefault="00834231" w:rsidP="00870C23">
      <w:pPr>
        <w:spacing w:line="276" w:lineRule="auto"/>
        <w:rPr>
          <w:rFonts w:cstheme="minorHAnsi"/>
          <w:color w:val="333333"/>
          <w:spacing w:val="4"/>
          <w:szCs w:val="22"/>
        </w:rPr>
      </w:pPr>
      <w:r w:rsidRPr="00EA69B7">
        <w:rPr>
          <w:rFonts w:cstheme="minorHAnsi"/>
          <w:color w:val="auto"/>
          <w:spacing w:val="4"/>
          <w:szCs w:val="22"/>
        </w:rPr>
        <w:t xml:space="preserve">More detailed information about the </w:t>
      </w:r>
      <w:r w:rsidR="00E3647B">
        <w:rPr>
          <w:rFonts w:cstheme="minorHAnsi"/>
          <w:color w:val="auto"/>
          <w:spacing w:val="4"/>
          <w:szCs w:val="22"/>
        </w:rPr>
        <w:t xml:space="preserve">NDIS </w:t>
      </w:r>
      <w:r w:rsidRPr="00EA69B7">
        <w:rPr>
          <w:rFonts w:cstheme="minorHAnsi"/>
          <w:color w:val="auto"/>
          <w:spacing w:val="4"/>
          <w:szCs w:val="22"/>
        </w:rPr>
        <w:t xml:space="preserve">Commission can be found at </w:t>
      </w:r>
      <w:hyperlink r:id="rId25" w:history="1">
        <w:r w:rsidRPr="004727E0">
          <w:rPr>
            <w:rStyle w:val="Hyperlink"/>
            <w:rFonts w:cstheme="minorHAnsi"/>
            <w:spacing w:val="4"/>
            <w:szCs w:val="22"/>
          </w:rPr>
          <w:t>www.ndiscommission.gov.au</w:t>
        </w:r>
      </w:hyperlink>
      <w:r w:rsidR="00870C23" w:rsidRPr="004727E0">
        <w:rPr>
          <w:rFonts w:cstheme="minorHAnsi"/>
          <w:color w:val="333333"/>
          <w:spacing w:val="4"/>
          <w:szCs w:val="22"/>
        </w:rPr>
        <w:t>.</w:t>
      </w:r>
      <w:r w:rsidRPr="004727E0">
        <w:rPr>
          <w:rFonts w:cstheme="minorHAnsi"/>
          <w:color w:val="333333"/>
          <w:spacing w:val="4"/>
          <w:szCs w:val="22"/>
        </w:rPr>
        <w:t xml:space="preserve"> </w:t>
      </w:r>
    </w:p>
    <w:p w14:paraId="2FABE03F" w14:textId="77777777" w:rsidR="00FA198C" w:rsidRPr="00870C23" w:rsidRDefault="00FA198C" w:rsidP="00870C23">
      <w:pPr>
        <w:pStyle w:val="Heading1"/>
        <w:spacing w:line="276" w:lineRule="auto"/>
        <w:rPr>
          <w:rFonts w:asciiTheme="minorHAnsi" w:hAnsiTheme="minorHAnsi" w:cstheme="minorHAnsi"/>
          <w:b w:val="0"/>
        </w:rPr>
      </w:pPr>
      <w:bookmarkStart w:id="5" w:name="_Toc128477911"/>
      <w:r w:rsidRPr="00870C23">
        <w:rPr>
          <w:rFonts w:asciiTheme="minorHAnsi" w:hAnsiTheme="minorHAnsi" w:cstheme="minorHAnsi"/>
          <w:b w:val="0"/>
        </w:rPr>
        <w:t>Regulator Performance Framework</w:t>
      </w:r>
      <w:bookmarkEnd w:id="5"/>
    </w:p>
    <w:p w14:paraId="6FC69020" w14:textId="77777777" w:rsidR="00FA198C" w:rsidRPr="00EA69B7" w:rsidRDefault="00FA198C" w:rsidP="00870C23">
      <w:pPr>
        <w:pStyle w:val="Bullet1"/>
        <w:numPr>
          <w:ilvl w:val="0"/>
          <w:numId w:val="0"/>
        </w:numPr>
        <w:spacing w:line="276" w:lineRule="auto"/>
        <w:rPr>
          <w:rFonts w:cstheme="minorHAnsi"/>
          <w:color w:val="auto"/>
          <w:spacing w:val="4"/>
          <w:szCs w:val="22"/>
        </w:rPr>
      </w:pPr>
      <w:r w:rsidRPr="00EA69B7">
        <w:rPr>
          <w:rFonts w:cstheme="minorHAnsi"/>
          <w:color w:val="auto"/>
          <w:spacing w:val="4"/>
          <w:szCs w:val="22"/>
        </w:rPr>
        <w:t>All regulatory agencies are required to undertake an annual self-assessment against the Regulator Performance Framework (the Framework) as part of the Australian Government’s commitment to reducing unnecessary and inefficient regulation</w:t>
      </w:r>
      <w:r w:rsidR="00D87F7C" w:rsidRPr="00EA69B7">
        <w:rPr>
          <w:rFonts w:cstheme="minorHAnsi"/>
          <w:color w:val="auto"/>
          <w:spacing w:val="4"/>
          <w:szCs w:val="22"/>
        </w:rPr>
        <w:t xml:space="preserve"> while balancing the need to protect the community</w:t>
      </w:r>
      <w:r w:rsidRPr="00EA69B7">
        <w:rPr>
          <w:rFonts w:cstheme="minorHAnsi"/>
          <w:color w:val="auto"/>
          <w:spacing w:val="4"/>
          <w:szCs w:val="22"/>
        </w:rPr>
        <w:t>.</w:t>
      </w:r>
    </w:p>
    <w:p w14:paraId="2F940127" w14:textId="77777777" w:rsidR="00FA198C" w:rsidRPr="00EA69B7" w:rsidRDefault="00FA198C" w:rsidP="00870C23">
      <w:pPr>
        <w:pStyle w:val="Bullet1"/>
        <w:numPr>
          <w:ilvl w:val="0"/>
          <w:numId w:val="0"/>
        </w:numPr>
        <w:spacing w:line="276" w:lineRule="auto"/>
        <w:rPr>
          <w:rFonts w:cstheme="minorHAnsi"/>
          <w:color w:val="auto"/>
          <w:spacing w:val="4"/>
          <w:szCs w:val="22"/>
        </w:rPr>
      </w:pPr>
      <w:r w:rsidRPr="00EA69B7">
        <w:rPr>
          <w:rFonts w:cstheme="minorHAnsi"/>
          <w:color w:val="auto"/>
          <w:spacing w:val="4"/>
          <w:szCs w:val="22"/>
        </w:rPr>
        <w:t xml:space="preserve">The Framework measures the performance of </w:t>
      </w:r>
      <w:r w:rsidR="00FA544B" w:rsidRPr="00EA69B7">
        <w:rPr>
          <w:rFonts w:cstheme="minorHAnsi"/>
          <w:color w:val="auto"/>
          <w:spacing w:val="4"/>
          <w:szCs w:val="22"/>
        </w:rPr>
        <w:t>Australian Government regulators via six key performance indicators (KPIs)</w:t>
      </w:r>
      <w:r w:rsidRPr="00EA69B7">
        <w:rPr>
          <w:rFonts w:cstheme="minorHAnsi"/>
          <w:color w:val="auto"/>
          <w:spacing w:val="4"/>
          <w:szCs w:val="22"/>
        </w:rPr>
        <w:t xml:space="preserve">, giving confidence to businesses and the community that regulators </w:t>
      </w:r>
      <w:r w:rsidR="00824053" w:rsidRPr="00EA69B7">
        <w:rPr>
          <w:rFonts w:cstheme="minorHAnsi"/>
          <w:color w:val="auto"/>
          <w:spacing w:val="4"/>
          <w:szCs w:val="22"/>
        </w:rPr>
        <w:t>are managing</w:t>
      </w:r>
      <w:r w:rsidR="009563F1" w:rsidRPr="00EA69B7">
        <w:rPr>
          <w:rFonts w:cstheme="minorHAnsi"/>
          <w:color w:val="auto"/>
          <w:spacing w:val="4"/>
          <w:szCs w:val="22"/>
        </w:rPr>
        <w:t xml:space="preserve"> risk with the minimum</w:t>
      </w:r>
      <w:r w:rsidRPr="00EA69B7">
        <w:rPr>
          <w:rFonts w:cstheme="minorHAnsi"/>
          <w:color w:val="auto"/>
          <w:spacing w:val="4"/>
          <w:szCs w:val="22"/>
        </w:rPr>
        <w:t xml:space="preserve"> impact necessary to achieve regulatory objectives.</w:t>
      </w:r>
      <w:r w:rsidR="00FA544B" w:rsidRPr="00EA69B7">
        <w:rPr>
          <w:rFonts w:cstheme="minorHAnsi"/>
          <w:color w:val="auto"/>
          <w:spacing w:val="4"/>
          <w:szCs w:val="22"/>
        </w:rPr>
        <w:t xml:space="preserve"> The KPIs are:</w:t>
      </w:r>
    </w:p>
    <w:p w14:paraId="5BFD13CD"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rPr>
        <w:t>r</w:t>
      </w:r>
      <w:r w:rsidR="00FA544B" w:rsidRPr="00EA69B7">
        <w:rPr>
          <w:rFonts w:cstheme="minorHAnsi"/>
          <w:color w:val="auto"/>
          <w:spacing w:val="4"/>
          <w:szCs w:val="22"/>
        </w:rPr>
        <w:t>egulators do not unnecessarily impede the efficient operation of regulated entities</w:t>
      </w:r>
    </w:p>
    <w:p w14:paraId="16ED8920"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c</w:t>
      </w:r>
      <w:r w:rsidR="00FA544B" w:rsidRPr="00EA69B7">
        <w:rPr>
          <w:rFonts w:cstheme="minorHAnsi"/>
          <w:color w:val="auto"/>
          <w:spacing w:val="4"/>
          <w:szCs w:val="22"/>
          <w:lang w:val="en"/>
        </w:rPr>
        <w:t>ommunication with regulated entities i</w:t>
      </w:r>
      <w:r w:rsidRPr="00EA69B7">
        <w:rPr>
          <w:rFonts w:cstheme="minorHAnsi"/>
          <w:color w:val="auto"/>
          <w:spacing w:val="4"/>
          <w:szCs w:val="22"/>
          <w:lang w:val="en"/>
        </w:rPr>
        <w:t>s clear, targeted and effective</w:t>
      </w:r>
    </w:p>
    <w:p w14:paraId="31B24873"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a</w:t>
      </w:r>
      <w:r w:rsidR="00FA544B" w:rsidRPr="00EA69B7">
        <w:rPr>
          <w:rFonts w:cstheme="minorHAnsi"/>
          <w:color w:val="auto"/>
          <w:spacing w:val="4"/>
          <w:szCs w:val="22"/>
          <w:lang w:val="en"/>
        </w:rPr>
        <w:t>ctions undertaken by regulators are proportionate to th</w:t>
      </w:r>
      <w:r w:rsidRPr="00EA69B7">
        <w:rPr>
          <w:rFonts w:cstheme="minorHAnsi"/>
          <w:color w:val="auto"/>
          <w:spacing w:val="4"/>
          <w:szCs w:val="22"/>
          <w:lang w:val="en"/>
        </w:rPr>
        <w:t>e regulatory risk being managed</w:t>
      </w:r>
    </w:p>
    <w:p w14:paraId="1F92239E"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c</w:t>
      </w:r>
      <w:r w:rsidR="00FA544B" w:rsidRPr="00EA69B7">
        <w:rPr>
          <w:rFonts w:cstheme="minorHAnsi"/>
          <w:color w:val="auto"/>
          <w:spacing w:val="4"/>
          <w:szCs w:val="22"/>
          <w:lang w:val="en"/>
        </w:rPr>
        <w:t xml:space="preserve">ompliance and monitoring approaches </w:t>
      </w:r>
      <w:r w:rsidRPr="00EA69B7">
        <w:rPr>
          <w:rFonts w:cstheme="minorHAnsi"/>
          <w:color w:val="auto"/>
          <w:spacing w:val="4"/>
          <w:szCs w:val="22"/>
          <w:lang w:val="en"/>
        </w:rPr>
        <w:t>are streamlined and coordinated</w:t>
      </w:r>
    </w:p>
    <w:p w14:paraId="446D34F2"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r</w:t>
      </w:r>
      <w:r w:rsidR="00FA544B" w:rsidRPr="00EA69B7">
        <w:rPr>
          <w:rFonts w:cstheme="minorHAnsi"/>
          <w:color w:val="auto"/>
          <w:spacing w:val="4"/>
          <w:szCs w:val="22"/>
          <w:lang w:val="en"/>
        </w:rPr>
        <w:t>egulators are open and transparent in their d</w:t>
      </w:r>
      <w:r w:rsidRPr="00EA69B7">
        <w:rPr>
          <w:rFonts w:cstheme="minorHAnsi"/>
          <w:color w:val="auto"/>
          <w:spacing w:val="4"/>
          <w:szCs w:val="22"/>
          <w:lang w:val="en"/>
        </w:rPr>
        <w:t>ealings with regulated entities</w:t>
      </w:r>
    </w:p>
    <w:p w14:paraId="2C950BDF" w14:textId="77777777" w:rsidR="00FA544B" w:rsidRPr="00EA69B7" w:rsidRDefault="004B7BFA" w:rsidP="005C22C3">
      <w:pPr>
        <w:pStyle w:val="Bullet1"/>
        <w:numPr>
          <w:ilvl w:val="0"/>
          <w:numId w:val="22"/>
        </w:numPr>
        <w:spacing w:before="0" w:after="0" w:line="276" w:lineRule="auto"/>
        <w:rPr>
          <w:rFonts w:cstheme="minorHAnsi"/>
          <w:color w:val="auto"/>
          <w:spacing w:val="4"/>
          <w:szCs w:val="22"/>
        </w:rPr>
      </w:pPr>
      <w:r w:rsidRPr="00EA69B7">
        <w:rPr>
          <w:rFonts w:cstheme="minorHAnsi"/>
          <w:color w:val="auto"/>
          <w:spacing w:val="4"/>
          <w:szCs w:val="22"/>
          <w:lang w:val="en"/>
        </w:rPr>
        <w:t>r</w:t>
      </w:r>
      <w:r w:rsidR="00FA544B" w:rsidRPr="00EA69B7">
        <w:rPr>
          <w:rFonts w:cstheme="minorHAnsi"/>
          <w:color w:val="auto"/>
          <w:spacing w:val="4"/>
          <w:szCs w:val="22"/>
          <w:lang w:val="en"/>
        </w:rPr>
        <w:t>egulators actively contribute to the continuous improvement of regulatory frameworks.</w:t>
      </w:r>
    </w:p>
    <w:p w14:paraId="6CF52953" w14:textId="77777777" w:rsidR="00DE0616" w:rsidRPr="00870C23" w:rsidRDefault="00DE22F6" w:rsidP="00870C23">
      <w:pPr>
        <w:pStyle w:val="Heading1"/>
        <w:spacing w:line="276" w:lineRule="auto"/>
        <w:rPr>
          <w:rFonts w:asciiTheme="minorHAnsi" w:hAnsiTheme="minorHAnsi" w:cstheme="minorHAnsi"/>
          <w:b w:val="0"/>
        </w:rPr>
      </w:pPr>
      <w:bookmarkStart w:id="6" w:name="_Toc128477912"/>
      <w:r w:rsidRPr="00870C23">
        <w:rPr>
          <w:rFonts w:asciiTheme="minorHAnsi" w:hAnsiTheme="minorHAnsi" w:cstheme="minorHAnsi"/>
          <w:b w:val="0"/>
        </w:rPr>
        <w:lastRenderedPageBreak/>
        <w:t>Undertaking our se</w:t>
      </w:r>
      <w:r w:rsidR="00DE0616" w:rsidRPr="00870C23">
        <w:rPr>
          <w:rFonts w:asciiTheme="minorHAnsi" w:hAnsiTheme="minorHAnsi" w:cstheme="minorHAnsi"/>
          <w:b w:val="0"/>
        </w:rPr>
        <w:t>lf-assessment against the Framework</w:t>
      </w:r>
      <w:bookmarkEnd w:id="6"/>
    </w:p>
    <w:p w14:paraId="143F41A7" w14:textId="77777777" w:rsidR="00700AFE" w:rsidRPr="005347AD" w:rsidRDefault="00DE0616" w:rsidP="00870C23">
      <w:pPr>
        <w:pStyle w:val="Bullet1"/>
        <w:numPr>
          <w:ilvl w:val="0"/>
          <w:numId w:val="0"/>
        </w:numPr>
        <w:spacing w:line="276" w:lineRule="auto"/>
        <w:rPr>
          <w:rFonts w:cstheme="minorHAnsi"/>
          <w:color w:val="auto"/>
          <w:spacing w:val="4"/>
          <w:szCs w:val="22"/>
        </w:rPr>
      </w:pPr>
      <w:r w:rsidRPr="005347AD">
        <w:rPr>
          <w:rFonts w:cstheme="minorHAnsi"/>
          <w:color w:val="auto"/>
          <w:spacing w:val="4"/>
          <w:szCs w:val="22"/>
        </w:rPr>
        <w:t xml:space="preserve">To support our </w:t>
      </w:r>
      <w:r w:rsidR="00700AFE" w:rsidRPr="005347AD">
        <w:rPr>
          <w:rFonts w:cstheme="minorHAnsi"/>
          <w:color w:val="auto"/>
          <w:spacing w:val="4"/>
          <w:szCs w:val="22"/>
        </w:rPr>
        <w:t>self-assessment</w:t>
      </w:r>
      <w:r w:rsidR="007756AB" w:rsidRPr="005347AD">
        <w:rPr>
          <w:rFonts w:cstheme="minorHAnsi"/>
          <w:color w:val="auto"/>
          <w:spacing w:val="4"/>
          <w:szCs w:val="22"/>
        </w:rPr>
        <w:t xml:space="preserve"> </w:t>
      </w:r>
      <w:r w:rsidRPr="005347AD">
        <w:rPr>
          <w:rFonts w:cstheme="minorHAnsi"/>
          <w:color w:val="auto"/>
          <w:spacing w:val="4"/>
          <w:szCs w:val="22"/>
        </w:rPr>
        <w:t xml:space="preserve">we have developed metrics that detail how we interpret </w:t>
      </w:r>
      <w:r w:rsidR="00700AFE" w:rsidRPr="005347AD">
        <w:rPr>
          <w:rFonts w:cstheme="minorHAnsi"/>
          <w:color w:val="auto"/>
          <w:spacing w:val="4"/>
          <w:szCs w:val="22"/>
        </w:rPr>
        <w:t xml:space="preserve">and report against </w:t>
      </w:r>
      <w:r w:rsidRPr="005347AD">
        <w:rPr>
          <w:rFonts w:cstheme="minorHAnsi"/>
          <w:color w:val="auto"/>
          <w:spacing w:val="4"/>
          <w:szCs w:val="22"/>
        </w:rPr>
        <w:t xml:space="preserve">the </w:t>
      </w:r>
      <w:r w:rsidR="00DE22F6" w:rsidRPr="005347AD">
        <w:rPr>
          <w:rFonts w:cstheme="minorHAnsi"/>
          <w:color w:val="auto"/>
          <w:spacing w:val="4"/>
          <w:szCs w:val="22"/>
        </w:rPr>
        <w:t xml:space="preserve">Framework’s </w:t>
      </w:r>
      <w:r w:rsidRPr="005347AD">
        <w:rPr>
          <w:rFonts w:cstheme="minorHAnsi"/>
          <w:color w:val="auto"/>
          <w:spacing w:val="4"/>
          <w:szCs w:val="22"/>
        </w:rPr>
        <w:t>KPIs and measures</w:t>
      </w:r>
      <w:r w:rsidR="00E84BA1" w:rsidRPr="005347AD">
        <w:rPr>
          <w:rFonts w:cstheme="minorHAnsi"/>
          <w:color w:val="auto"/>
          <w:spacing w:val="4"/>
          <w:szCs w:val="22"/>
        </w:rPr>
        <w:t>.</w:t>
      </w:r>
      <w:r w:rsidR="008B4395">
        <w:rPr>
          <w:rFonts w:cstheme="minorHAnsi"/>
          <w:color w:val="auto"/>
          <w:spacing w:val="4"/>
          <w:szCs w:val="22"/>
        </w:rPr>
        <w:t xml:space="preserve"> </w:t>
      </w:r>
      <w:r w:rsidR="00700AFE" w:rsidRPr="005347AD">
        <w:rPr>
          <w:rFonts w:cstheme="minorHAnsi"/>
          <w:color w:val="auto"/>
          <w:spacing w:val="4"/>
          <w:szCs w:val="22"/>
        </w:rPr>
        <w:t>In undertaking our self-assessment, we have gathered and used evidence from multiple sources including:</w:t>
      </w:r>
    </w:p>
    <w:p w14:paraId="59C657BE" w14:textId="77777777" w:rsidR="00E84BA1" w:rsidRPr="005347AD" w:rsidRDefault="00E84BA1"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feedback from providers and disability industry groups</w:t>
      </w:r>
    </w:p>
    <w:p w14:paraId="2920F715" w14:textId="77777777" w:rsidR="0025529C"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 xml:space="preserve">feedback from </w:t>
      </w:r>
      <w:r w:rsidR="0025529C" w:rsidRPr="005347AD">
        <w:rPr>
          <w:rFonts w:cstheme="minorHAnsi"/>
          <w:color w:val="auto"/>
          <w:spacing w:val="4"/>
          <w:szCs w:val="22"/>
        </w:rPr>
        <w:t>Joint Accreditation System Australia New Zealand (JAS</w:t>
      </w:r>
      <w:r w:rsidR="00824053" w:rsidRPr="005347AD">
        <w:rPr>
          <w:rFonts w:cstheme="minorHAnsi"/>
          <w:color w:val="auto"/>
          <w:spacing w:val="4"/>
          <w:szCs w:val="22"/>
        </w:rPr>
        <w:t>–</w:t>
      </w:r>
      <w:r w:rsidR="0025529C" w:rsidRPr="005347AD">
        <w:rPr>
          <w:rFonts w:cstheme="minorHAnsi"/>
          <w:color w:val="auto"/>
          <w:spacing w:val="4"/>
          <w:szCs w:val="22"/>
        </w:rPr>
        <w:t>ANZ)</w:t>
      </w:r>
    </w:p>
    <w:p w14:paraId="70B3990C" w14:textId="77777777" w:rsidR="007756AB"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 xml:space="preserve">survey responses from registered providers who </w:t>
      </w:r>
      <w:r w:rsidR="00824053" w:rsidRPr="005347AD">
        <w:rPr>
          <w:rFonts w:cstheme="minorHAnsi"/>
          <w:color w:val="auto"/>
          <w:spacing w:val="4"/>
          <w:szCs w:val="22"/>
        </w:rPr>
        <w:t>have</w:t>
      </w:r>
      <w:r w:rsidRPr="005347AD">
        <w:rPr>
          <w:rFonts w:cstheme="minorHAnsi"/>
          <w:color w:val="auto"/>
          <w:spacing w:val="4"/>
          <w:szCs w:val="22"/>
        </w:rPr>
        <w:t xml:space="preserve"> undergone the audit process</w:t>
      </w:r>
    </w:p>
    <w:p w14:paraId="350358F2" w14:textId="77777777" w:rsidR="00700AFE" w:rsidRPr="005347AD" w:rsidRDefault="00700AFE"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market monitoring and oversight</w:t>
      </w:r>
      <w:r w:rsidR="00E84BA1" w:rsidRPr="005347AD">
        <w:rPr>
          <w:rFonts w:cstheme="minorHAnsi"/>
          <w:color w:val="auto"/>
          <w:spacing w:val="4"/>
          <w:szCs w:val="22"/>
        </w:rPr>
        <w:t xml:space="preserve"> activities</w:t>
      </w:r>
    </w:p>
    <w:p w14:paraId="5C7811DB" w14:textId="77777777" w:rsidR="007756AB" w:rsidRPr="005347AD" w:rsidRDefault="007756AB" w:rsidP="005C22C3">
      <w:pPr>
        <w:pStyle w:val="ListParagraph"/>
        <w:numPr>
          <w:ilvl w:val="0"/>
          <w:numId w:val="14"/>
        </w:numPr>
        <w:spacing w:line="276" w:lineRule="auto"/>
        <w:rPr>
          <w:rFonts w:cstheme="minorHAnsi"/>
          <w:color w:val="auto"/>
          <w:spacing w:val="4"/>
          <w:szCs w:val="22"/>
        </w:rPr>
      </w:pPr>
      <w:r w:rsidRPr="005347AD">
        <w:rPr>
          <w:rFonts w:cstheme="minorHAnsi"/>
          <w:color w:val="auto"/>
          <w:spacing w:val="4"/>
          <w:szCs w:val="22"/>
        </w:rPr>
        <w:t>information and advice published on our website</w:t>
      </w:r>
    </w:p>
    <w:p w14:paraId="0551E584" w14:textId="77777777" w:rsidR="00700AFE" w:rsidRPr="005347AD" w:rsidRDefault="00E84BA1" w:rsidP="005C22C3">
      <w:pPr>
        <w:pStyle w:val="ListParagraph"/>
        <w:numPr>
          <w:ilvl w:val="0"/>
          <w:numId w:val="14"/>
        </w:numPr>
        <w:spacing w:line="276" w:lineRule="auto"/>
        <w:rPr>
          <w:rFonts w:cstheme="minorHAnsi"/>
          <w:color w:val="333333"/>
          <w:spacing w:val="4"/>
          <w:szCs w:val="22"/>
        </w:rPr>
      </w:pPr>
      <w:r w:rsidRPr="005347AD">
        <w:rPr>
          <w:rFonts w:cstheme="minorHAnsi"/>
          <w:color w:val="auto"/>
          <w:spacing w:val="4"/>
          <w:szCs w:val="22"/>
        </w:rPr>
        <w:t>community consultation</w:t>
      </w:r>
      <w:r w:rsidR="00A53FB4" w:rsidRPr="005347AD">
        <w:rPr>
          <w:rFonts w:cstheme="minorHAnsi"/>
          <w:color w:val="auto"/>
          <w:spacing w:val="4"/>
          <w:szCs w:val="22"/>
        </w:rPr>
        <w:t>.</w:t>
      </w:r>
      <w:r w:rsidR="009563F1" w:rsidRPr="005347AD">
        <w:rPr>
          <w:rFonts w:cstheme="minorHAnsi"/>
          <w:color w:val="auto"/>
          <w:spacing w:val="4"/>
          <w:szCs w:val="22"/>
        </w:rPr>
        <w:t xml:space="preserve">  </w:t>
      </w:r>
      <w:r w:rsidR="009563F1" w:rsidRPr="005347AD">
        <w:rPr>
          <w:rFonts w:cstheme="minorHAnsi"/>
          <w:color w:val="333333"/>
          <w:spacing w:val="4"/>
          <w:szCs w:val="22"/>
        </w:rPr>
        <w:t xml:space="preserve"> </w:t>
      </w:r>
    </w:p>
    <w:p w14:paraId="31DE9C18" w14:textId="358D2F82" w:rsidR="00D22AED" w:rsidRPr="008D1CD2" w:rsidRDefault="00700AFE" w:rsidP="00870C23">
      <w:pPr>
        <w:pStyle w:val="Bullet1"/>
        <w:numPr>
          <w:ilvl w:val="0"/>
          <w:numId w:val="0"/>
        </w:numPr>
        <w:spacing w:line="276" w:lineRule="auto"/>
        <w:rPr>
          <w:rFonts w:cstheme="minorHAnsi"/>
          <w:color w:val="auto"/>
          <w:spacing w:val="4"/>
          <w:szCs w:val="22"/>
        </w:rPr>
      </w:pPr>
      <w:r w:rsidRPr="008D1CD2">
        <w:rPr>
          <w:rFonts w:cstheme="minorHAnsi"/>
          <w:color w:val="auto"/>
          <w:spacing w:val="4"/>
          <w:szCs w:val="22"/>
        </w:rPr>
        <w:t xml:space="preserve">We provided our draft </w:t>
      </w:r>
      <w:r w:rsidR="00834231" w:rsidRPr="008D1CD2">
        <w:rPr>
          <w:rFonts w:cstheme="minorHAnsi"/>
          <w:color w:val="auto"/>
          <w:spacing w:val="4"/>
          <w:szCs w:val="22"/>
        </w:rPr>
        <w:t>self-assessment</w:t>
      </w:r>
      <w:r w:rsidRPr="008D1CD2">
        <w:rPr>
          <w:rFonts w:cstheme="minorHAnsi"/>
          <w:color w:val="auto"/>
          <w:spacing w:val="4"/>
          <w:szCs w:val="22"/>
        </w:rPr>
        <w:t xml:space="preserve"> to </w:t>
      </w:r>
      <w:r w:rsidR="0018441C" w:rsidRPr="008D1CD2">
        <w:rPr>
          <w:rFonts w:cstheme="minorHAnsi"/>
          <w:color w:val="auto"/>
          <w:spacing w:val="4"/>
          <w:szCs w:val="22"/>
        </w:rPr>
        <w:t xml:space="preserve">a stakeholder consultative mechanism (SCM) </w:t>
      </w:r>
      <w:r w:rsidR="00834231" w:rsidRPr="008D1CD2">
        <w:rPr>
          <w:rFonts w:cstheme="minorHAnsi"/>
          <w:color w:val="auto"/>
          <w:spacing w:val="4"/>
          <w:szCs w:val="22"/>
        </w:rPr>
        <w:t>in the form of a committee composed</w:t>
      </w:r>
      <w:r w:rsidRPr="008D1CD2">
        <w:rPr>
          <w:rFonts w:cstheme="minorHAnsi"/>
          <w:color w:val="auto"/>
          <w:spacing w:val="4"/>
          <w:szCs w:val="22"/>
        </w:rPr>
        <w:t xml:space="preserve"> of industry </w:t>
      </w:r>
      <w:r w:rsidR="00834231" w:rsidRPr="008D1CD2">
        <w:rPr>
          <w:rFonts w:cstheme="minorHAnsi"/>
          <w:color w:val="auto"/>
          <w:spacing w:val="4"/>
          <w:szCs w:val="22"/>
        </w:rPr>
        <w:t>representatives</w:t>
      </w:r>
      <w:r w:rsidR="00563CAE" w:rsidRPr="008D1CD2">
        <w:rPr>
          <w:rFonts w:cstheme="minorHAnsi"/>
          <w:color w:val="auto"/>
          <w:spacing w:val="4"/>
          <w:szCs w:val="22"/>
        </w:rPr>
        <w:t xml:space="preserve">. This Industry Consultative Committee (ICC) provided </w:t>
      </w:r>
      <w:r w:rsidRPr="008D1CD2">
        <w:rPr>
          <w:rFonts w:cstheme="minorHAnsi"/>
          <w:color w:val="auto"/>
          <w:spacing w:val="4"/>
          <w:szCs w:val="22"/>
        </w:rPr>
        <w:t>their review and feedback on our performa</w:t>
      </w:r>
      <w:r w:rsidR="00563CAE" w:rsidRPr="008D1CD2">
        <w:rPr>
          <w:rFonts w:cstheme="minorHAnsi"/>
          <w:color w:val="auto"/>
          <w:spacing w:val="4"/>
          <w:szCs w:val="22"/>
        </w:rPr>
        <w:t>nce during the reporting period. Their comments</w:t>
      </w:r>
      <w:r w:rsidRPr="008D1CD2">
        <w:rPr>
          <w:rFonts w:cstheme="minorHAnsi"/>
          <w:color w:val="auto"/>
          <w:spacing w:val="4"/>
          <w:szCs w:val="22"/>
        </w:rPr>
        <w:t xml:space="preserve"> </w:t>
      </w:r>
      <w:r w:rsidR="00563CAE" w:rsidRPr="008D1CD2">
        <w:rPr>
          <w:rFonts w:cstheme="minorHAnsi"/>
          <w:color w:val="auto"/>
          <w:spacing w:val="4"/>
          <w:szCs w:val="22"/>
        </w:rPr>
        <w:t>contribute to informing</w:t>
      </w:r>
      <w:r w:rsidR="006861B7" w:rsidRPr="008D1CD2">
        <w:rPr>
          <w:rFonts w:cstheme="minorHAnsi"/>
          <w:color w:val="auto"/>
          <w:spacing w:val="4"/>
          <w:szCs w:val="22"/>
        </w:rPr>
        <w:t xml:space="preserve"> </w:t>
      </w:r>
      <w:r w:rsidRPr="008D1CD2">
        <w:rPr>
          <w:rFonts w:cstheme="minorHAnsi"/>
          <w:color w:val="auto"/>
          <w:spacing w:val="4"/>
          <w:szCs w:val="22"/>
        </w:rPr>
        <w:t xml:space="preserve">our continuous improvement </w:t>
      </w:r>
      <w:r w:rsidR="00563CAE" w:rsidRPr="008D1CD2">
        <w:rPr>
          <w:rFonts w:cstheme="minorHAnsi"/>
          <w:color w:val="auto"/>
          <w:spacing w:val="4"/>
          <w:szCs w:val="22"/>
        </w:rPr>
        <w:t>strategy,</w:t>
      </w:r>
      <w:r w:rsidR="005347AD" w:rsidRPr="008D1CD2">
        <w:rPr>
          <w:rFonts w:cstheme="minorHAnsi"/>
          <w:color w:val="auto"/>
          <w:spacing w:val="4"/>
          <w:szCs w:val="22"/>
        </w:rPr>
        <w:t xml:space="preserve"> and</w:t>
      </w:r>
      <w:r w:rsidR="00563CAE" w:rsidRPr="008D1CD2">
        <w:rPr>
          <w:rFonts w:cstheme="minorHAnsi"/>
          <w:color w:val="auto"/>
          <w:spacing w:val="4"/>
          <w:szCs w:val="22"/>
        </w:rPr>
        <w:t xml:space="preserve"> enhancing</w:t>
      </w:r>
      <w:r w:rsidR="006861B7" w:rsidRPr="008D1CD2">
        <w:rPr>
          <w:rFonts w:cstheme="minorHAnsi"/>
          <w:color w:val="auto"/>
          <w:spacing w:val="4"/>
          <w:szCs w:val="22"/>
        </w:rPr>
        <w:t xml:space="preserve"> our</w:t>
      </w:r>
      <w:r w:rsidR="00563CAE" w:rsidRPr="008D1CD2">
        <w:rPr>
          <w:rFonts w:cstheme="minorHAnsi"/>
          <w:color w:val="auto"/>
          <w:spacing w:val="4"/>
          <w:szCs w:val="22"/>
        </w:rPr>
        <w:t xml:space="preserve"> efficiency and our</w:t>
      </w:r>
      <w:r w:rsidR="006861B7" w:rsidRPr="008D1CD2">
        <w:rPr>
          <w:rFonts w:cstheme="minorHAnsi"/>
          <w:color w:val="auto"/>
          <w:spacing w:val="4"/>
          <w:szCs w:val="22"/>
        </w:rPr>
        <w:t xml:space="preserve"> responsiveness to the entities we regulate.</w:t>
      </w:r>
    </w:p>
    <w:p w14:paraId="441725D3" w14:textId="77777777" w:rsidR="00BC7139" w:rsidRDefault="00BC7139">
      <w:pPr>
        <w:suppressAutoHyphens w:val="0"/>
        <w:spacing w:before="120" w:after="120" w:line="240" w:lineRule="auto"/>
        <w:rPr>
          <w:rFonts w:eastAsiaTheme="majorEastAsia" w:cstheme="minorHAnsi"/>
          <w:color w:val="612C69"/>
          <w:sz w:val="40"/>
          <w:szCs w:val="40"/>
        </w:rPr>
      </w:pPr>
      <w:r>
        <w:rPr>
          <w:rFonts w:cstheme="minorHAnsi"/>
          <w:b/>
        </w:rPr>
        <w:br w:type="page"/>
      </w:r>
    </w:p>
    <w:p w14:paraId="4712F914" w14:textId="25144262" w:rsidR="00BC7139" w:rsidRDefault="007B29EA" w:rsidP="00870C23">
      <w:pPr>
        <w:pStyle w:val="Heading1"/>
        <w:spacing w:line="276" w:lineRule="auto"/>
        <w:rPr>
          <w:rFonts w:asciiTheme="minorHAnsi" w:hAnsiTheme="minorHAnsi" w:cstheme="minorHAnsi"/>
          <w:b w:val="0"/>
        </w:rPr>
      </w:pPr>
      <w:bookmarkStart w:id="7" w:name="_Our_regulatory_approach"/>
      <w:bookmarkStart w:id="8" w:name="_Toc128477913"/>
      <w:bookmarkEnd w:id="7"/>
      <w:r w:rsidRPr="00870C23">
        <w:rPr>
          <w:rFonts w:asciiTheme="minorHAnsi" w:hAnsiTheme="minorHAnsi" w:cstheme="minorHAnsi"/>
          <w:b w:val="0"/>
        </w:rPr>
        <w:lastRenderedPageBreak/>
        <w:t xml:space="preserve">Our </w:t>
      </w:r>
      <w:r w:rsidR="00BC7139">
        <w:rPr>
          <w:rFonts w:asciiTheme="minorHAnsi" w:hAnsiTheme="minorHAnsi" w:cstheme="minorHAnsi"/>
          <w:b w:val="0"/>
        </w:rPr>
        <w:t>regulatory approach</w:t>
      </w:r>
      <w:bookmarkEnd w:id="8"/>
    </w:p>
    <w:p w14:paraId="154366F9" w14:textId="0A57E757" w:rsidR="00E34792" w:rsidRDefault="00E34792" w:rsidP="00E34792">
      <w:r>
        <w:t xml:space="preserve">The NDIS Commission prioritises the upholding of the rights of people with disability, </w:t>
      </w:r>
      <w:r w:rsidR="006153AA">
        <w:t xml:space="preserve">and the objects of the NDIS Act, </w:t>
      </w:r>
      <w:r>
        <w:t xml:space="preserve">which sets the tone for our regulatory approach. </w:t>
      </w:r>
    </w:p>
    <w:p w14:paraId="6952B784" w14:textId="573C75C8" w:rsidR="00B032A0" w:rsidRPr="00E34792" w:rsidRDefault="00B032A0" w:rsidP="00E34792">
      <w:r>
        <w:rPr>
          <w:noProof/>
          <w:lang w:eastAsia="en-AU"/>
        </w:rPr>
        <w:drawing>
          <wp:inline distT="0" distB="0" distL="0" distR="0" wp14:anchorId="457F6ACC" wp14:editId="6233D1C6">
            <wp:extent cx="5492750" cy="2859565"/>
            <wp:effectExtent l="0" t="0" r="0" b="0"/>
            <wp:docPr id="6" name="Picture 6" descr="Pyramid diagram showing a range of  actions from the initial response to the strongest action: Education, persuasion, compliance support. Registration, audit, investigation. Compliance notice, enforceable undertaking. Injunction, infringement notice. Civil penalties. Revoke registration. 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pliance pyramid_with text.png"/>
                    <pic:cNvPicPr/>
                  </pic:nvPicPr>
                  <pic:blipFill rotWithShape="1">
                    <a:blip r:embed="rId26">
                      <a:extLst>
                        <a:ext uri="{28A0092B-C50C-407E-A947-70E740481C1C}">
                          <a14:useLocalDpi xmlns:a14="http://schemas.microsoft.com/office/drawing/2010/main" val="0"/>
                        </a:ext>
                      </a:extLst>
                    </a:blip>
                    <a:srcRect l="-11602" t="19603" r="-11348" b="16389"/>
                    <a:stretch/>
                  </pic:blipFill>
                  <pic:spPr bwMode="auto">
                    <a:xfrm>
                      <a:off x="0" y="0"/>
                      <a:ext cx="5509389" cy="2868227"/>
                    </a:xfrm>
                    <a:prstGeom prst="rect">
                      <a:avLst/>
                    </a:prstGeom>
                    <a:ln>
                      <a:noFill/>
                    </a:ln>
                    <a:extLst>
                      <a:ext uri="{53640926-AAD7-44D8-BBD7-CCE9431645EC}">
                        <a14:shadowObscured xmlns:a14="http://schemas.microsoft.com/office/drawing/2010/main"/>
                      </a:ext>
                    </a:extLst>
                  </pic:spPr>
                </pic:pic>
              </a:graphicData>
            </a:graphic>
          </wp:inline>
        </w:drawing>
      </w:r>
    </w:p>
    <w:p w14:paraId="06E08976" w14:textId="42B2B8A9" w:rsidR="00121F5C" w:rsidRPr="00121F5C" w:rsidRDefault="00121F5C" w:rsidP="00121F5C">
      <w:pPr>
        <w:pStyle w:val="Caption"/>
        <w:rPr>
          <w:i/>
        </w:rPr>
      </w:pPr>
      <w:r w:rsidRPr="00121F5C">
        <w:rPr>
          <w:i/>
        </w:rPr>
        <w:t xml:space="preserve">Figure </w:t>
      </w:r>
      <w:r w:rsidRPr="00121F5C">
        <w:rPr>
          <w:i/>
        </w:rPr>
        <w:fldChar w:fldCharType="begin"/>
      </w:r>
      <w:r w:rsidRPr="00121F5C">
        <w:rPr>
          <w:i/>
        </w:rPr>
        <w:instrText xml:space="preserve"> SEQ Figure \* ARABIC </w:instrText>
      </w:r>
      <w:r w:rsidRPr="00121F5C">
        <w:rPr>
          <w:i/>
        </w:rPr>
        <w:fldChar w:fldCharType="separate"/>
      </w:r>
      <w:r w:rsidRPr="00121F5C">
        <w:rPr>
          <w:i/>
          <w:noProof/>
        </w:rPr>
        <w:t>1</w:t>
      </w:r>
      <w:r w:rsidRPr="00121F5C">
        <w:rPr>
          <w:i/>
        </w:rPr>
        <w:fldChar w:fldCharType="end"/>
      </w:r>
      <w:r w:rsidRPr="00121F5C">
        <w:rPr>
          <w:i/>
        </w:rPr>
        <w:t>: Pyramid diagram demonstrating the range of compliance and enforcement actions available to, and undertaken by, the NDIS Commission in accordance with our approach (detailed below).</w:t>
      </w:r>
    </w:p>
    <w:p w14:paraId="08D1653D" w14:textId="4ACD1B7F" w:rsidR="00BC7139" w:rsidRDefault="00E34792" w:rsidP="00CF5641">
      <w:r>
        <w:t>We take</w:t>
      </w:r>
      <w:r w:rsidR="00BC7139" w:rsidRPr="00BC7139">
        <w:t xml:space="preserve"> a responsive and proportionate approach to regulation, </w:t>
      </w:r>
      <w:r w:rsidR="00BC7139">
        <w:t>with the above diagram demonstrating our</w:t>
      </w:r>
      <w:r w:rsidR="00BC7139" w:rsidRPr="00BC7139">
        <w:t xml:space="preserve"> ability to escalate actions if an initial response does not achieve the intended outcome.  </w:t>
      </w:r>
      <w:r>
        <w:t xml:space="preserve">While </w:t>
      </w:r>
      <w:r w:rsidR="00BC7139" w:rsidRPr="00BC7139">
        <w:t>it is open to the NDIS Commission to proceed directly with the s</w:t>
      </w:r>
      <w:r w:rsidR="00BC7139">
        <w:t>trongest actions should the</w:t>
      </w:r>
      <w:r w:rsidR="00BC7139" w:rsidRPr="00BC7139">
        <w:t xml:space="preserve"> case</w:t>
      </w:r>
      <w:r w:rsidR="00BC7139">
        <w:t xml:space="preserve"> </w:t>
      </w:r>
      <w:r w:rsidR="009645E9">
        <w:t xml:space="preserve">require, </w:t>
      </w:r>
      <w:r w:rsidR="009645E9" w:rsidRPr="00BC7139">
        <w:t>the</w:t>
      </w:r>
      <w:r w:rsidR="00BC7139" w:rsidRPr="00BC7139">
        <w:t xml:space="preserve"> primary approach to achieving ongoing compliance and building the capacity of the sector is to educate, advise and encourage NDIS providers and workers to identify and understand their obligations and improve their practice. Measures may include targeted education and outreach activities, engaging with the regulated community at the earliest possible stage, and providing timely information and advice through the NDIS Commission website, social media, and information sessions. </w:t>
      </w:r>
    </w:p>
    <w:p w14:paraId="64259D50" w14:textId="77777777" w:rsidR="00BC7139" w:rsidRDefault="00BC7139" w:rsidP="00CF5641">
      <w:r>
        <w:t xml:space="preserve">Such measures help to: </w:t>
      </w:r>
    </w:p>
    <w:p w14:paraId="12110332" w14:textId="77777777" w:rsidR="00BC7139" w:rsidRDefault="00BC7139" w:rsidP="00E34792">
      <w:pPr>
        <w:pStyle w:val="Bullet1"/>
        <w:spacing w:before="0" w:after="0"/>
      </w:pPr>
      <w:r w:rsidRPr="00BC7139">
        <w:t>raise awareness of the benefits of compliance, and the various measures that will be taken to add</w:t>
      </w:r>
      <w:r>
        <w:t>ress non-compliance</w:t>
      </w:r>
    </w:p>
    <w:p w14:paraId="31B455AE" w14:textId="77777777" w:rsidR="00BC7139" w:rsidRDefault="00BC7139" w:rsidP="00E34792">
      <w:pPr>
        <w:pStyle w:val="Bullet1"/>
        <w:spacing w:before="0" w:after="0"/>
      </w:pPr>
      <w:r w:rsidRPr="00BC7139">
        <w:t>remove barriers to compliance, such as lack of awareness about obligations, confusion with other regulators, or p</w:t>
      </w:r>
      <w:r>
        <w:t xml:space="preserve">articular accessibility needs </w:t>
      </w:r>
    </w:p>
    <w:p w14:paraId="6E47B6BF" w14:textId="77777777" w:rsidR="00BC7139" w:rsidRDefault="00BC7139" w:rsidP="00E34792">
      <w:pPr>
        <w:pStyle w:val="Bullet1"/>
        <w:spacing w:before="0" w:after="0"/>
      </w:pPr>
      <w:r w:rsidRPr="00BC7139">
        <w:t>promote the objects of the Act, Practice Stand</w:t>
      </w:r>
      <w:r>
        <w:t>ards and NDIS Code of Conduct</w:t>
      </w:r>
    </w:p>
    <w:p w14:paraId="503AA29D" w14:textId="77777777" w:rsidR="00BC7139" w:rsidRDefault="00BC7139" w:rsidP="00E34792">
      <w:pPr>
        <w:pStyle w:val="Bullet1"/>
        <w:spacing w:before="0" w:after="0"/>
      </w:pPr>
      <w:r w:rsidRPr="00BC7139">
        <w:t>support a reduc</w:t>
      </w:r>
      <w:r>
        <w:t xml:space="preserve">tion in restrictive practices </w:t>
      </w:r>
    </w:p>
    <w:p w14:paraId="747D4A28" w14:textId="77777777" w:rsidR="00BC7139" w:rsidRDefault="00BC7139" w:rsidP="00E34792">
      <w:pPr>
        <w:pStyle w:val="Bullet1"/>
        <w:spacing w:before="0" w:after="0"/>
      </w:pPr>
      <w:r w:rsidRPr="00BC7139">
        <w:t xml:space="preserve">reduce the risk that people will inadvertently take action that constitutes a breach. </w:t>
      </w:r>
    </w:p>
    <w:p w14:paraId="0592DAAB" w14:textId="77777777" w:rsidR="00BC7139" w:rsidRPr="00BC7139" w:rsidRDefault="00BC7139" w:rsidP="00CF5641">
      <w:pPr>
        <w:pStyle w:val="Bullet1"/>
        <w:numPr>
          <w:ilvl w:val="0"/>
          <w:numId w:val="0"/>
        </w:numPr>
      </w:pPr>
      <w:r w:rsidRPr="00BC7139">
        <w:t>Having provided advice or guidance to achieve compliance and being satisfied a provider has taken timely and satisfactory steps to remedy a breach</w:t>
      </w:r>
      <w:r>
        <w:t xml:space="preserve"> we</w:t>
      </w:r>
      <w:r w:rsidRPr="00BC7139">
        <w:t xml:space="preserve"> may decide to take no further action. If a provider is not making timely progres</w:t>
      </w:r>
      <w:r>
        <w:t xml:space="preserve">s to rectify non-compliance we </w:t>
      </w:r>
      <w:r w:rsidRPr="00BC7139">
        <w:t>will consider what additional action may be required to ensure the provider meets their responsibilities.</w:t>
      </w:r>
    </w:p>
    <w:p w14:paraId="6DDB8897" w14:textId="77777777" w:rsidR="00FA198C" w:rsidRPr="00870C23" w:rsidRDefault="00BC7139" w:rsidP="00870C23">
      <w:pPr>
        <w:pStyle w:val="Heading1"/>
        <w:spacing w:line="276" w:lineRule="auto"/>
        <w:rPr>
          <w:rFonts w:asciiTheme="minorHAnsi" w:hAnsiTheme="minorHAnsi" w:cstheme="minorHAnsi"/>
          <w:b w:val="0"/>
        </w:rPr>
      </w:pPr>
      <w:bookmarkStart w:id="9" w:name="_Toc128477914"/>
      <w:r>
        <w:rPr>
          <w:rFonts w:asciiTheme="minorHAnsi" w:hAnsiTheme="minorHAnsi" w:cstheme="minorHAnsi"/>
          <w:b w:val="0"/>
        </w:rPr>
        <w:lastRenderedPageBreak/>
        <w:t xml:space="preserve">Our </w:t>
      </w:r>
      <w:r w:rsidR="00FA544B">
        <w:rPr>
          <w:rFonts w:asciiTheme="minorHAnsi" w:hAnsiTheme="minorHAnsi" w:cstheme="minorHAnsi"/>
          <w:b w:val="0"/>
        </w:rPr>
        <w:t xml:space="preserve">self-assessment results for </w:t>
      </w:r>
      <w:r w:rsidR="00CB5CE7">
        <w:rPr>
          <w:rFonts w:asciiTheme="minorHAnsi" w:hAnsiTheme="minorHAnsi" w:cstheme="minorHAnsi"/>
          <w:b w:val="0"/>
        </w:rPr>
        <w:t>2020–21</w:t>
      </w:r>
      <w:bookmarkEnd w:id="9"/>
    </w:p>
    <w:p w14:paraId="1A140B15" w14:textId="77777777" w:rsidR="00D8004C" w:rsidRDefault="001068EF" w:rsidP="008A7450">
      <w:pPr>
        <w:spacing w:line="276" w:lineRule="auto"/>
        <w:rPr>
          <w:rFonts w:cstheme="minorHAnsi"/>
          <w:color w:val="auto"/>
          <w:spacing w:val="4"/>
          <w:szCs w:val="22"/>
        </w:rPr>
      </w:pPr>
      <w:r w:rsidRPr="005347AD">
        <w:rPr>
          <w:rFonts w:cstheme="minorHAnsi"/>
          <w:color w:val="auto"/>
          <w:spacing w:val="4"/>
          <w:szCs w:val="22"/>
        </w:rPr>
        <w:t>The criteria</w:t>
      </w:r>
      <w:r w:rsidR="00001EA5" w:rsidRPr="005347AD">
        <w:rPr>
          <w:rFonts w:cstheme="minorHAnsi"/>
          <w:color w:val="auto"/>
          <w:spacing w:val="4"/>
          <w:szCs w:val="22"/>
        </w:rPr>
        <w:t xml:space="preserve"> we</w:t>
      </w:r>
      <w:r w:rsidRPr="005347AD">
        <w:rPr>
          <w:rFonts w:cstheme="minorHAnsi"/>
          <w:color w:val="auto"/>
          <w:spacing w:val="4"/>
          <w:szCs w:val="22"/>
        </w:rPr>
        <w:t xml:space="preserve"> used for </w:t>
      </w:r>
      <w:r w:rsidR="00FA544B" w:rsidRPr="005347AD">
        <w:rPr>
          <w:rFonts w:cstheme="minorHAnsi"/>
          <w:color w:val="auto"/>
          <w:spacing w:val="4"/>
          <w:szCs w:val="22"/>
        </w:rPr>
        <w:t>our 20</w:t>
      </w:r>
      <w:r w:rsidR="00553250">
        <w:rPr>
          <w:rFonts w:cstheme="minorHAnsi"/>
          <w:color w:val="auto"/>
          <w:spacing w:val="4"/>
          <w:szCs w:val="22"/>
        </w:rPr>
        <w:t>20</w:t>
      </w:r>
      <w:r w:rsidR="00824053" w:rsidRPr="005347AD">
        <w:rPr>
          <w:rFonts w:cstheme="minorHAnsi"/>
          <w:color w:val="auto"/>
          <w:spacing w:val="4"/>
          <w:szCs w:val="22"/>
        </w:rPr>
        <w:t>–</w:t>
      </w:r>
      <w:r w:rsidR="00FA544B" w:rsidRPr="005347AD">
        <w:rPr>
          <w:rFonts w:cstheme="minorHAnsi"/>
          <w:color w:val="auto"/>
          <w:spacing w:val="4"/>
          <w:szCs w:val="22"/>
        </w:rPr>
        <w:t>2</w:t>
      </w:r>
      <w:r w:rsidR="00553250">
        <w:rPr>
          <w:rFonts w:cstheme="minorHAnsi"/>
          <w:color w:val="auto"/>
          <w:spacing w:val="4"/>
          <w:szCs w:val="22"/>
        </w:rPr>
        <w:t>1</w:t>
      </w:r>
      <w:r w:rsidR="005347AD">
        <w:rPr>
          <w:rFonts w:cstheme="minorHAnsi"/>
          <w:color w:val="auto"/>
          <w:spacing w:val="4"/>
          <w:szCs w:val="22"/>
        </w:rPr>
        <w:t xml:space="preserve"> self-assessment were </w:t>
      </w:r>
      <w:r w:rsidR="00001EA5" w:rsidRPr="005347AD">
        <w:rPr>
          <w:rFonts w:cstheme="minorHAnsi"/>
          <w:color w:val="auto"/>
          <w:spacing w:val="4"/>
          <w:szCs w:val="22"/>
        </w:rPr>
        <w:t>t</w:t>
      </w:r>
      <w:r w:rsidRPr="005347AD">
        <w:rPr>
          <w:rFonts w:cstheme="minorHAnsi"/>
          <w:color w:val="auto"/>
          <w:spacing w:val="4"/>
          <w:szCs w:val="22"/>
        </w:rPr>
        <w:t xml:space="preserve">he Framework’s </w:t>
      </w:r>
      <w:r w:rsidR="004B7BFA" w:rsidRPr="005347AD">
        <w:rPr>
          <w:rFonts w:cstheme="minorHAnsi"/>
          <w:color w:val="auto"/>
          <w:spacing w:val="4"/>
          <w:szCs w:val="22"/>
        </w:rPr>
        <w:t>six key KPIs</w:t>
      </w:r>
      <w:r w:rsidRPr="005347AD">
        <w:rPr>
          <w:rFonts w:cstheme="minorHAnsi"/>
          <w:color w:val="auto"/>
          <w:spacing w:val="4"/>
          <w:szCs w:val="22"/>
        </w:rPr>
        <w:t xml:space="preserve"> and</w:t>
      </w:r>
      <w:r w:rsidR="007115E1" w:rsidRPr="005347AD">
        <w:rPr>
          <w:rFonts w:cstheme="minorHAnsi"/>
          <w:color w:val="auto"/>
          <w:spacing w:val="4"/>
          <w:szCs w:val="22"/>
        </w:rPr>
        <w:t xml:space="preserve"> 20 </w:t>
      </w:r>
      <w:r w:rsidRPr="005347AD">
        <w:rPr>
          <w:rFonts w:cstheme="minorHAnsi"/>
          <w:color w:val="auto"/>
          <w:spacing w:val="4"/>
          <w:szCs w:val="22"/>
        </w:rPr>
        <w:t>measures of good regulatory performance (performance measures)</w:t>
      </w:r>
      <w:r w:rsidR="005347AD">
        <w:rPr>
          <w:rFonts w:cstheme="minorHAnsi"/>
          <w:color w:val="auto"/>
          <w:spacing w:val="4"/>
          <w:szCs w:val="22"/>
        </w:rPr>
        <w:t xml:space="preserve">, and </w:t>
      </w:r>
      <w:r w:rsidRPr="005347AD">
        <w:rPr>
          <w:rFonts w:cstheme="minorHAnsi"/>
          <w:color w:val="auto"/>
          <w:spacing w:val="4"/>
          <w:szCs w:val="22"/>
        </w:rPr>
        <w:t xml:space="preserve">the </w:t>
      </w:r>
      <w:r w:rsidR="00001EA5" w:rsidRPr="005347AD">
        <w:rPr>
          <w:rFonts w:cstheme="minorHAnsi"/>
          <w:color w:val="auto"/>
          <w:spacing w:val="4"/>
          <w:szCs w:val="22"/>
        </w:rPr>
        <w:t xml:space="preserve">NDIS </w:t>
      </w:r>
      <w:r w:rsidRPr="005347AD">
        <w:rPr>
          <w:rFonts w:cstheme="minorHAnsi"/>
          <w:color w:val="auto"/>
          <w:spacing w:val="4"/>
          <w:szCs w:val="22"/>
        </w:rPr>
        <w:t>Commission</w:t>
      </w:r>
      <w:r w:rsidR="00AE52F4" w:rsidRPr="005347AD">
        <w:rPr>
          <w:rFonts w:cstheme="minorHAnsi"/>
          <w:color w:val="auto"/>
          <w:spacing w:val="4"/>
          <w:szCs w:val="22"/>
        </w:rPr>
        <w:t>’</w:t>
      </w:r>
      <w:r w:rsidRPr="005347AD">
        <w:rPr>
          <w:rFonts w:cstheme="minorHAnsi"/>
          <w:color w:val="auto"/>
          <w:spacing w:val="4"/>
          <w:szCs w:val="22"/>
        </w:rPr>
        <w:t>s</w:t>
      </w:r>
      <w:r w:rsidR="008413D5" w:rsidRPr="005347AD">
        <w:rPr>
          <w:rFonts w:cstheme="minorHAnsi"/>
          <w:color w:val="auto"/>
          <w:spacing w:val="4"/>
          <w:szCs w:val="22"/>
        </w:rPr>
        <w:t xml:space="preserve"> agreed</w:t>
      </w:r>
      <w:r w:rsidRPr="005347AD">
        <w:rPr>
          <w:rFonts w:cstheme="minorHAnsi"/>
          <w:color w:val="auto"/>
          <w:spacing w:val="4"/>
          <w:szCs w:val="22"/>
        </w:rPr>
        <w:t xml:space="preserve"> evidence metrics</w:t>
      </w:r>
      <w:r w:rsidR="00A53FB4" w:rsidRPr="005347AD">
        <w:rPr>
          <w:rFonts w:cstheme="minorHAnsi"/>
          <w:color w:val="auto"/>
          <w:spacing w:val="4"/>
          <w:szCs w:val="22"/>
        </w:rPr>
        <w:t>.</w:t>
      </w:r>
      <w:r w:rsidR="008A7450">
        <w:rPr>
          <w:rFonts w:cstheme="minorHAnsi"/>
          <w:color w:val="auto"/>
          <w:spacing w:val="4"/>
          <w:szCs w:val="22"/>
        </w:rPr>
        <w:t xml:space="preserve"> </w:t>
      </w:r>
      <w:r w:rsidR="00D8004C" w:rsidRPr="005347AD">
        <w:rPr>
          <w:rFonts w:cstheme="minorHAnsi"/>
          <w:color w:val="auto"/>
          <w:spacing w:val="4"/>
          <w:szCs w:val="22"/>
        </w:rPr>
        <w:t>The self-assessment rating</w:t>
      </w:r>
      <w:r w:rsidR="00FB0E97" w:rsidRPr="005347AD">
        <w:rPr>
          <w:rFonts w:cstheme="minorHAnsi"/>
          <w:color w:val="auto"/>
          <w:spacing w:val="4"/>
          <w:szCs w:val="22"/>
        </w:rPr>
        <w:t>s</w:t>
      </w:r>
      <w:r w:rsidR="00D8004C" w:rsidRPr="005347AD">
        <w:rPr>
          <w:rFonts w:cstheme="minorHAnsi"/>
          <w:color w:val="auto"/>
          <w:spacing w:val="4"/>
          <w:szCs w:val="22"/>
        </w:rPr>
        <w:t xml:space="preserve"> </w:t>
      </w:r>
      <w:r w:rsidR="002B64FA" w:rsidRPr="005347AD">
        <w:rPr>
          <w:rFonts w:cstheme="minorHAnsi"/>
          <w:color w:val="auto"/>
          <w:spacing w:val="4"/>
          <w:szCs w:val="22"/>
        </w:rPr>
        <w:t xml:space="preserve">we </w:t>
      </w:r>
      <w:r w:rsidR="005347AD">
        <w:rPr>
          <w:rFonts w:cstheme="minorHAnsi"/>
          <w:color w:val="auto"/>
          <w:spacing w:val="4"/>
          <w:szCs w:val="22"/>
        </w:rPr>
        <w:t>use are</w:t>
      </w:r>
      <w:r w:rsidR="00D8004C" w:rsidRPr="005347AD">
        <w:rPr>
          <w:rFonts w:cstheme="minorHAnsi"/>
          <w:color w:val="auto"/>
          <w:spacing w:val="4"/>
          <w:szCs w:val="22"/>
        </w:rPr>
        <w:t>:</w:t>
      </w:r>
    </w:p>
    <w:tbl>
      <w:tblPr>
        <w:tblStyle w:val="ListTable7Colorful-Accent3"/>
        <w:tblW w:w="0" w:type="auto"/>
        <w:tblBorders>
          <w:top w:val="single" w:sz="4" w:space="0" w:color="612C69"/>
          <w:left w:val="single" w:sz="4" w:space="0" w:color="612C69"/>
          <w:bottom w:val="single" w:sz="4" w:space="0" w:color="612C69"/>
          <w:right w:val="single" w:sz="4" w:space="0" w:color="612C69"/>
          <w:insideH w:val="single" w:sz="4" w:space="0" w:color="612C69"/>
          <w:insideV w:val="single" w:sz="4" w:space="0" w:color="612C69"/>
        </w:tblBorders>
        <w:tblLook w:val="0420" w:firstRow="1" w:lastRow="0" w:firstColumn="0" w:lastColumn="0" w:noHBand="0" w:noVBand="1"/>
        <w:tblDescription w:val="Table shows the three self-assessment ratings used by the NDIS Commission to measure their regulatory performance, and the meanings of those ratings. "/>
      </w:tblPr>
      <w:tblGrid>
        <w:gridCol w:w="2126"/>
        <w:gridCol w:w="6264"/>
        <w:gridCol w:w="936"/>
      </w:tblGrid>
      <w:tr w:rsidR="001645E2" w:rsidRPr="001645E2" w14:paraId="01CC102B" w14:textId="77777777" w:rsidTr="00173653">
        <w:trPr>
          <w:cnfStyle w:val="100000000000" w:firstRow="1" w:lastRow="0" w:firstColumn="0" w:lastColumn="0" w:oddVBand="0" w:evenVBand="0" w:oddHBand="0" w:evenHBand="0" w:firstRowFirstColumn="0" w:firstRowLastColumn="0" w:lastRowFirstColumn="0" w:lastRowLastColumn="0"/>
          <w:cantSplit/>
          <w:trHeight w:val="654"/>
          <w:tblHeader/>
        </w:trPr>
        <w:tc>
          <w:tcPr>
            <w:tcW w:w="0" w:type="auto"/>
            <w:tcBorders>
              <w:top w:val="single" w:sz="2" w:space="0" w:color="612C69"/>
              <w:left w:val="single" w:sz="2" w:space="0" w:color="612C69"/>
              <w:bottom w:val="single" w:sz="2" w:space="0" w:color="FFFFFF" w:themeColor="background1"/>
              <w:right w:val="single" w:sz="2" w:space="0" w:color="612C69"/>
            </w:tcBorders>
            <w:shd w:val="clear" w:color="auto" w:fill="612C69"/>
          </w:tcPr>
          <w:p w14:paraId="4D419FAB" w14:textId="76C910D7" w:rsidR="001645E2" w:rsidRPr="00173653" w:rsidRDefault="00022958" w:rsidP="001645E2">
            <w:pPr>
              <w:pStyle w:val="Bullet1"/>
              <w:numPr>
                <w:ilvl w:val="0"/>
                <w:numId w:val="0"/>
              </w:numPr>
              <w:spacing w:line="276" w:lineRule="auto"/>
              <w:jc w:val="center"/>
              <w:rPr>
                <w:rFonts w:cstheme="minorHAnsi"/>
                <w:b/>
                <w:i w:val="0"/>
                <w:color w:val="FFFFFF" w:themeColor="background1"/>
                <w:szCs w:val="22"/>
              </w:rPr>
            </w:pPr>
            <w:r w:rsidRPr="00173653">
              <w:rPr>
                <w:rFonts w:cstheme="minorHAnsi"/>
                <w:b/>
                <w:i w:val="0"/>
                <w:color w:val="FFFFFF" w:themeColor="background1"/>
                <w:szCs w:val="22"/>
              </w:rPr>
              <w:t>Status</w:t>
            </w:r>
          </w:p>
        </w:tc>
        <w:tc>
          <w:tcPr>
            <w:tcW w:w="0" w:type="auto"/>
            <w:tcBorders>
              <w:top w:val="single" w:sz="2" w:space="0" w:color="612C69"/>
              <w:left w:val="single" w:sz="2" w:space="0" w:color="612C69"/>
              <w:bottom w:val="single" w:sz="2" w:space="0" w:color="FFFFFF" w:themeColor="background1"/>
              <w:right w:val="single" w:sz="2" w:space="0" w:color="612C69"/>
            </w:tcBorders>
            <w:shd w:val="clear" w:color="auto" w:fill="612C69"/>
          </w:tcPr>
          <w:p w14:paraId="69973E3B" w14:textId="1E5364BD" w:rsidR="001645E2" w:rsidRPr="00173653" w:rsidRDefault="00022958" w:rsidP="001645E2">
            <w:pPr>
              <w:pStyle w:val="Bullet1"/>
              <w:numPr>
                <w:ilvl w:val="0"/>
                <w:numId w:val="0"/>
              </w:numPr>
              <w:spacing w:line="276" w:lineRule="auto"/>
              <w:jc w:val="center"/>
              <w:rPr>
                <w:rFonts w:cstheme="minorHAnsi"/>
                <w:b/>
                <w:i w:val="0"/>
                <w:color w:val="FFFFFF" w:themeColor="background1"/>
                <w:szCs w:val="22"/>
              </w:rPr>
            </w:pPr>
            <w:r w:rsidRPr="00173653">
              <w:rPr>
                <w:rFonts w:cstheme="minorHAnsi"/>
                <w:b/>
                <w:i w:val="0"/>
                <w:color w:val="FFFFFF" w:themeColor="background1"/>
                <w:szCs w:val="22"/>
              </w:rPr>
              <w:t>Meaning</w:t>
            </w:r>
          </w:p>
        </w:tc>
        <w:tc>
          <w:tcPr>
            <w:tcW w:w="0" w:type="auto"/>
            <w:tcBorders>
              <w:top w:val="single" w:sz="2" w:space="0" w:color="612C69"/>
              <w:left w:val="single" w:sz="2" w:space="0" w:color="612C69"/>
              <w:bottom w:val="single" w:sz="2" w:space="0" w:color="FFFFFF" w:themeColor="background1"/>
              <w:right w:val="single" w:sz="2" w:space="0" w:color="612C69"/>
            </w:tcBorders>
            <w:shd w:val="clear" w:color="auto" w:fill="612C69"/>
          </w:tcPr>
          <w:p w14:paraId="6A3B58D7" w14:textId="442C21E8" w:rsidR="001645E2" w:rsidRPr="00173653" w:rsidRDefault="00022958" w:rsidP="001645E2">
            <w:pPr>
              <w:pStyle w:val="Bullet1"/>
              <w:numPr>
                <w:ilvl w:val="0"/>
                <w:numId w:val="0"/>
              </w:numPr>
              <w:spacing w:line="276" w:lineRule="auto"/>
              <w:jc w:val="center"/>
              <w:rPr>
                <w:rFonts w:cstheme="minorHAnsi"/>
                <w:b/>
                <w:i w:val="0"/>
                <w:color w:val="FFFFFF" w:themeColor="background1"/>
                <w:szCs w:val="22"/>
              </w:rPr>
            </w:pPr>
            <w:r w:rsidRPr="00173653">
              <w:rPr>
                <w:rFonts w:cstheme="minorHAnsi"/>
                <w:b/>
                <w:i w:val="0"/>
                <w:color w:val="FFFFFF" w:themeColor="background1"/>
                <w:szCs w:val="22"/>
              </w:rPr>
              <w:t>Symbol</w:t>
            </w:r>
          </w:p>
        </w:tc>
      </w:tr>
      <w:tr w:rsidR="008A7450" w:rsidRPr="001645E2" w14:paraId="45441450" w14:textId="77777777" w:rsidTr="00173653">
        <w:trPr>
          <w:cnfStyle w:val="100000000000" w:firstRow="1" w:lastRow="0" w:firstColumn="0" w:lastColumn="0" w:oddVBand="0" w:evenVBand="0" w:oddHBand="0" w:evenHBand="0" w:firstRowFirstColumn="0" w:firstRowLastColumn="0" w:lastRowFirstColumn="0" w:lastRowLastColumn="0"/>
          <w:trHeight w:val="983"/>
          <w:tblHeader/>
        </w:trPr>
        <w:tc>
          <w:tcPr>
            <w:tcW w:w="0" w:type="auto"/>
            <w:tcBorders>
              <w:top w:val="single" w:sz="2" w:space="0" w:color="FFFFFF" w:themeColor="background1"/>
              <w:bottom w:val="single" w:sz="2" w:space="0" w:color="FFFFFF" w:themeColor="background1"/>
              <w:right w:val="single" w:sz="2" w:space="0" w:color="FFFFFF" w:themeColor="background1"/>
            </w:tcBorders>
            <w:shd w:val="clear" w:color="auto" w:fill="612C69"/>
          </w:tcPr>
          <w:p w14:paraId="0DF9F2C8"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rPr>
            </w:pPr>
            <w:r w:rsidRPr="001645E2">
              <w:rPr>
                <w:rFonts w:cstheme="minorHAnsi"/>
                <w:i w:val="0"/>
                <w:color w:val="FFFFFF" w:themeColor="background1"/>
              </w:rPr>
              <w:t>Achieved</w:t>
            </w:r>
          </w:p>
        </w:tc>
        <w:tc>
          <w:tcPr>
            <w:tcW w:w="0" w:type="auto"/>
            <w:tcBorders>
              <w:top w:val="single" w:sz="2" w:space="0" w:color="FFFFFF" w:themeColor="background1"/>
              <w:left w:val="single" w:sz="2" w:space="0" w:color="FFFFFF" w:themeColor="background1"/>
              <w:bottom w:val="none" w:sz="0" w:space="0" w:color="auto"/>
            </w:tcBorders>
            <w:shd w:val="clear" w:color="auto" w:fill="C59BD7" w:themeFill="text2" w:themeFillTint="66"/>
          </w:tcPr>
          <w:p w14:paraId="48E3A771" w14:textId="77777777" w:rsidR="008A7450" w:rsidRPr="005E0E9D" w:rsidRDefault="008A7450" w:rsidP="005316B6">
            <w:pPr>
              <w:pStyle w:val="Bullet1"/>
              <w:numPr>
                <w:ilvl w:val="0"/>
                <w:numId w:val="0"/>
              </w:numPr>
              <w:spacing w:line="276" w:lineRule="auto"/>
              <w:rPr>
                <w:rFonts w:cstheme="minorHAnsi"/>
                <w:i w:val="0"/>
                <w:color w:val="auto"/>
              </w:rPr>
            </w:pPr>
            <w:r w:rsidRPr="005E0E9D">
              <w:rPr>
                <w:rFonts w:cstheme="minorHAnsi"/>
                <w:i w:val="0"/>
                <w:color w:val="auto"/>
                <w:sz w:val="20"/>
              </w:rPr>
              <w:t xml:space="preserve">We have demonstrated a strong performance against </w:t>
            </w:r>
            <w:r w:rsidRPr="005E0E9D">
              <w:rPr>
                <w:rFonts w:cstheme="minorHAnsi"/>
                <w:i w:val="0"/>
                <w:color w:val="auto"/>
                <w:sz w:val="20"/>
                <w:u w:val="single"/>
              </w:rPr>
              <w:t>all</w:t>
            </w:r>
            <w:r w:rsidRPr="005E0E9D">
              <w:rPr>
                <w:rFonts w:cstheme="minorHAnsi"/>
                <w:i w:val="0"/>
                <w:color w:val="auto"/>
                <w:sz w:val="20"/>
              </w:rPr>
              <w:t xml:space="preserve"> performance measures under the KPI</w:t>
            </w:r>
          </w:p>
        </w:tc>
        <w:tc>
          <w:tcPr>
            <w:tcW w:w="0" w:type="auto"/>
            <w:tcBorders>
              <w:top w:val="single" w:sz="2" w:space="0" w:color="FFFFFF" w:themeColor="background1"/>
              <w:bottom w:val="none" w:sz="0" w:space="0" w:color="auto"/>
            </w:tcBorders>
            <w:shd w:val="clear" w:color="auto" w:fill="auto"/>
          </w:tcPr>
          <w:p w14:paraId="609B6A26"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sz w:val="72"/>
                <w:szCs w:val="72"/>
              </w:rPr>
            </w:pPr>
            <w:r w:rsidRPr="001645E2">
              <w:rPr>
                <w:rFonts w:cstheme="minorHAnsi"/>
                <w:i w:val="0"/>
                <w:color w:val="002060"/>
                <w:sz w:val="72"/>
                <w:szCs w:val="72"/>
              </w:rPr>
              <w:sym w:font="Webdings" w:char="F0D5"/>
            </w:r>
          </w:p>
        </w:tc>
      </w:tr>
      <w:tr w:rsidR="008A7450" w:rsidRPr="001645E2" w14:paraId="5B6BB53E" w14:textId="77777777" w:rsidTr="00173653">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2" w:space="0" w:color="FFFFFF" w:themeColor="background1"/>
              <w:bottom w:val="single" w:sz="2" w:space="0" w:color="FFFFFF" w:themeColor="background1"/>
              <w:right w:val="single" w:sz="2" w:space="0" w:color="FFFFFF" w:themeColor="background1"/>
            </w:tcBorders>
            <w:shd w:val="clear" w:color="auto" w:fill="612C69"/>
          </w:tcPr>
          <w:p w14:paraId="5FCC191A"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rPr>
            </w:pPr>
            <w:r w:rsidRPr="001645E2">
              <w:rPr>
                <w:rFonts w:cstheme="minorHAnsi"/>
                <w:i w:val="0"/>
                <w:color w:val="FFFFFF" w:themeColor="background1"/>
              </w:rPr>
              <w:t>Substantially Achieved</w:t>
            </w:r>
          </w:p>
        </w:tc>
        <w:tc>
          <w:tcPr>
            <w:tcW w:w="0" w:type="auto"/>
            <w:tcBorders>
              <w:left w:val="single" w:sz="2" w:space="0" w:color="FFFFFF" w:themeColor="background1"/>
              <w:bottom w:val="none" w:sz="0" w:space="0" w:color="auto"/>
            </w:tcBorders>
            <w:shd w:val="clear" w:color="auto" w:fill="C59BD7" w:themeFill="text2" w:themeFillTint="66"/>
          </w:tcPr>
          <w:p w14:paraId="33EBE4B2" w14:textId="77777777" w:rsidR="008A7450" w:rsidRPr="005E0E9D" w:rsidRDefault="008A7450" w:rsidP="005316B6">
            <w:pPr>
              <w:pStyle w:val="Bullet1"/>
              <w:numPr>
                <w:ilvl w:val="0"/>
                <w:numId w:val="0"/>
              </w:numPr>
              <w:spacing w:line="276" w:lineRule="auto"/>
              <w:rPr>
                <w:rFonts w:cstheme="minorHAnsi"/>
                <w:i w:val="0"/>
                <w:color w:val="auto"/>
              </w:rPr>
            </w:pPr>
            <w:r w:rsidRPr="005E0E9D">
              <w:rPr>
                <w:rFonts w:cstheme="minorHAnsi"/>
                <w:i w:val="0"/>
                <w:color w:val="auto"/>
                <w:sz w:val="20"/>
              </w:rPr>
              <w:t xml:space="preserve">We have demonstrated good performance against </w:t>
            </w:r>
            <w:r w:rsidRPr="005E0E9D">
              <w:rPr>
                <w:rFonts w:cstheme="minorHAnsi"/>
                <w:i w:val="0"/>
                <w:color w:val="auto"/>
                <w:sz w:val="20"/>
                <w:u w:val="single"/>
              </w:rPr>
              <w:t>the majority</w:t>
            </w:r>
            <w:r w:rsidRPr="005E0E9D">
              <w:rPr>
                <w:rFonts w:cstheme="minorHAnsi"/>
                <w:i w:val="0"/>
                <w:color w:val="auto"/>
                <w:sz w:val="20"/>
              </w:rPr>
              <w:t xml:space="preserve"> of performance measures under the KPI</w:t>
            </w:r>
          </w:p>
        </w:tc>
        <w:tc>
          <w:tcPr>
            <w:tcW w:w="0" w:type="auto"/>
            <w:tcBorders>
              <w:bottom w:val="none" w:sz="0" w:space="0" w:color="auto"/>
            </w:tcBorders>
            <w:shd w:val="clear" w:color="auto" w:fill="auto"/>
          </w:tcPr>
          <w:p w14:paraId="7BB149DE"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sz w:val="72"/>
                <w:szCs w:val="72"/>
              </w:rPr>
            </w:pPr>
            <w:r w:rsidRPr="001645E2">
              <w:rPr>
                <w:rFonts w:cstheme="minorHAnsi"/>
                <w:i w:val="0"/>
                <w:color w:val="3E6D3C" w:themeColor="accent4" w:themeShade="BF"/>
                <w:sz w:val="72"/>
                <w:szCs w:val="72"/>
              </w:rPr>
              <w:sym w:font="Webdings" w:char="F0D6"/>
            </w:r>
          </w:p>
        </w:tc>
      </w:tr>
      <w:tr w:rsidR="008A7450" w:rsidRPr="001645E2" w14:paraId="6EB40C8D" w14:textId="77777777" w:rsidTr="00173653">
        <w:trPr>
          <w:cnfStyle w:val="100000000000" w:firstRow="1" w:lastRow="0" w:firstColumn="0" w:lastColumn="0" w:oddVBand="0" w:evenVBand="0" w:oddHBand="0" w:evenHBand="0" w:firstRowFirstColumn="0" w:firstRowLastColumn="0" w:lastRowFirstColumn="0" w:lastRowLastColumn="0"/>
          <w:trHeight w:val="927"/>
          <w:tblHeader/>
        </w:trPr>
        <w:tc>
          <w:tcPr>
            <w:tcW w:w="0" w:type="auto"/>
            <w:tcBorders>
              <w:top w:val="single" w:sz="2" w:space="0" w:color="FFFFFF" w:themeColor="background1"/>
              <w:bottom w:val="none" w:sz="0" w:space="0" w:color="auto"/>
              <w:right w:val="single" w:sz="2" w:space="0" w:color="FFFFFF" w:themeColor="background1"/>
            </w:tcBorders>
            <w:shd w:val="clear" w:color="auto" w:fill="612C69"/>
          </w:tcPr>
          <w:p w14:paraId="4E15056E"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rPr>
            </w:pPr>
            <w:r w:rsidRPr="001645E2">
              <w:rPr>
                <w:rFonts w:cstheme="minorHAnsi"/>
                <w:i w:val="0"/>
                <w:color w:val="FFFFFF" w:themeColor="background1"/>
              </w:rPr>
              <w:t>Achievement Progressing</w:t>
            </w:r>
          </w:p>
        </w:tc>
        <w:tc>
          <w:tcPr>
            <w:tcW w:w="0" w:type="auto"/>
            <w:tcBorders>
              <w:left w:val="single" w:sz="2" w:space="0" w:color="FFFFFF" w:themeColor="background1"/>
              <w:bottom w:val="none" w:sz="0" w:space="0" w:color="auto"/>
            </w:tcBorders>
            <w:shd w:val="clear" w:color="auto" w:fill="C59BD7" w:themeFill="text2" w:themeFillTint="66"/>
          </w:tcPr>
          <w:p w14:paraId="177E3B1C" w14:textId="77777777" w:rsidR="008A7450" w:rsidRPr="005E0E9D" w:rsidRDefault="008A7450" w:rsidP="005316B6">
            <w:pPr>
              <w:pStyle w:val="Bullet1"/>
              <w:numPr>
                <w:ilvl w:val="0"/>
                <w:numId w:val="0"/>
              </w:numPr>
              <w:spacing w:line="276" w:lineRule="auto"/>
              <w:rPr>
                <w:rFonts w:cstheme="minorHAnsi"/>
                <w:i w:val="0"/>
                <w:color w:val="auto"/>
              </w:rPr>
            </w:pPr>
            <w:r w:rsidRPr="005E0E9D">
              <w:rPr>
                <w:rFonts w:cstheme="minorHAnsi"/>
                <w:i w:val="0"/>
                <w:color w:val="auto"/>
                <w:sz w:val="20"/>
              </w:rPr>
              <w:t>We have demonstrated improvable performance against some performance measures under the KPI</w:t>
            </w:r>
          </w:p>
          <w:p w14:paraId="60AE5518" w14:textId="77777777" w:rsidR="008A7450" w:rsidRPr="005E0E9D" w:rsidRDefault="008A7450" w:rsidP="005316B6">
            <w:pPr>
              <w:rPr>
                <w:i w:val="0"/>
                <w:color w:val="auto"/>
              </w:rPr>
            </w:pPr>
          </w:p>
        </w:tc>
        <w:tc>
          <w:tcPr>
            <w:tcW w:w="0" w:type="auto"/>
            <w:tcBorders>
              <w:bottom w:val="none" w:sz="0" w:space="0" w:color="auto"/>
            </w:tcBorders>
            <w:shd w:val="clear" w:color="auto" w:fill="auto"/>
          </w:tcPr>
          <w:p w14:paraId="1B037534" w14:textId="77777777" w:rsidR="008A7450" w:rsidRPr="001645E2" w:rsidRDefault="008A7450" w:rsidP="005316B6">
            <w:pPr>
              <w:pStyle w:val="Bullet1"/>
              <w:numPr>
                <w:ilvl w:val="0"/>
                <w:numId w:val="0"/>
              </w:numPr>
              <w:spacing w:line="276" w:lineRule="auto"/>
              <w:jc w:val="center"/>
              <w:rPr>
                <w:rFonts w:cstheme="minorHAnsi"/>
                <w:i w:val="0"/>
                <w:color w:val="FFFFFF" w:themeColor="background1"/>
                <w:sz w:val="72"/>
                <w:szCs w:val="72"/>
              </w:rPr>
            </w:pPr>
            <w:r w:rsidRPr="001645E2">
              <w:rPr>
                <w:rFonts w:cstheme="minorHAnsi"/>
                <w:i w:val="0"/>
                <w:sz w:val="72"/>
                <w:szCs w:val="72"/>
              </w:rPr>
              <w:sym w:font="Webdings" w:char="F0D7"/>
            </w:r>
          </w:p>
        </w:tc>
      </w:tr>
    </w:tbl>
    <w:p w14:paraId="77AB2474" w14:textId="77777777" w:rsidR="00E6497B" w:rsidRDefault="00E6497B" w:rsidP="004E6214"/>
    <w:p w14:paraId="20473AE0" w14:textId="77777777" w:rsidR="00E6497B" w:rsidRDefault="00E6497B">
      <w:pPr>
        <w:suppressAutoHyphens w:val="0"/>
        <w:spacing w:before="120" w:after="120" w:line="240" w:lineRule="auto"/>
        <w:rPr>
          <w:rFonts w:eastAsiaTheme="majorEastAsia" w:cstheme="minorHAnsi"/>
          <w:color w:val="612C69"/>
          <w:sz w:val="40"/>
          <w:szCs w:val="40"/>
        </w:rPr>
      </w:pPr>
      <w:r>
        <w:rPr>
          <w:rFonts w:cstheme="minorHAnsi"/>
          <w:b/>
        </w:rPr>
        <w:br w:type="page"/>
      </w:r>
    </w:p>
    <w:p w14:paraId="0C527410" w14:textId="7BA2669B" w:rsidR="002B64FA" w:rsidRPr="00870C23" w:rsidRDefault="002B64FA" w:rsidP="00870C23">
      <w:pPr>
        <w:pStyle w:val="Heading1"/>
        <w:spacing w:line="276" w:lineRule="auto"/>
        <w:rPr>
          <w:rFonts w:asciiTheme="minorHAnsi" w:hAnsiTheme="minorHAnsi" w:cstheme="minorHAnsi"/>
          <w:b w:val="0"/>
        </w:rPr>
      </w:pPr>
      <w:bookmarkStart w:id="10" w:name="_Toc128477915"/>
      <w:r w:rsidRPr="00870C23">
        <w:rPr>
          <w:rFonts w:asciiTheme="minorHAnsi" w:hAnsiTheme="minorHAnsi" w:cstheme="minorHAnsi"/>
          <w:b w:val="0"/>
        </w:rPr>
        <w:lastRenderedPageBreak/>
        <w:t xml:space="preserve">Summary </w:t>
      </w:r>
      <w:r w:rsidRPr="00E6497B">
        <w:rPr>
          <w:rFonts w:asciiTheme="minorHAnsi" w:hAnsiTheme="minorHAnsi" w:cstheme="minorHAnsi"/>
          <w:b w:val="0"/>
        </w:rPr>
        <w:t>of</w:t>
      </w:r>
      <w:r w:rsidRPr="00870C23">
        <w:rPr>
          <w:rFonts w:asciiTheme="minorHAnsi" w:hAnsiTheme="minorHAnsi" w:cstheme="minorHAnsi"/>
          <w:b w:val="0"/>
        </w:rPr>
        <w:t xml:space="preserve"> self-assessment results</w:t>
      </w:r>
      <w:r w:rsidR="004B7BFA">
        <w:rPr>
          <w:rFonts w:asciiTheme="minorHAnsi" w:hAnsiTheme="minorHAnsi" w:cstheme="minorHAnsi"/>
          <w:b w:val="0"/>
        </w:rPr>
        <w:t xml:space="preserve"> 20</w:t>
      </w:r>
      <w:r w:rsidR="00F46020">
        <w:rPr>
          <w:rFonts w:asciiTheme="minorHAnsi" w:hAnsiTheme="minorHAnsi" w:cstheme="minorHAnsi"/>
          <w:b w:val="0"/>
        </w:rPr>
        <w:t>20</w:t>
      </w:r>
      <w:r w:rsidR="00824053">
        <w:rPr>
          <w:rFonts w:asciiTheme="minorHAnsi" w:hAnsiTheme="minorHAnsi" w:cstheme="minorHAnsi"/>
          <w:b w:val="0"/>
        </w:rPr>
        <w:softHyphen/>
        <w:t>–</w:t>
      </w:r>
      <w:r w:rsidR="004B7BFA">
        <w:rPr>
          <w:rFonts w:asciiTheme="minorHAnsi" w:hAnsiTheme="minorHAnsi" w:cstheme="minorHAnsi"/>
          <w:b w:val="0"/>
        </w:rPr>
        <w:t>2</w:t>
      </w:r>
      <w:r w:rsidR="00F46020">
        <w:rPr>
          <w:rFonts w:asciiTheme="minorHAnsi" w:hAnsiTheme="minorHAnsi" w:cstheme="minorHAnsi"/>
          <w:b w:val="0"/>
        </w:rPr>
        <w:t>1</w:t>
      </w:r>
      <w:bookmarkEnd w:id="10"/>
    </w:p>
    <w:tbl>
      <w:tblPr>
        <w:tblStyle w:val="GridTable3-Accent4"/>
        <w:tblW w:w="4939" w:type="pct"/>
        <w:tblBorders>
          <w:top w:val="single" w:sz="4" w:space="0" w:color="612C69"/>
          <w:left w:val="single" w:sz="4" w:space="0" w:color="612C69"/>
          <w:bottom w:val="single" w:sz="4" w:space="0" w:color="612C69"/>
          <w:right w:val="single" w:sz="4" w:space="0" w:color="612C69"/>
          <w:insideH w:val="none" w:sz="0" w:space="0" w:color="auto"/>
          <w:insideV w:val="single" w:sz="4" w:space="0" w:color="612C69"/>
        </w:tblBorders>
        <w:tblLayout w:type="fixed"/>
        <w:tblCellMar>
          <w:left w:w="85" w:type="dxa"/>
          <w:right w:w="227" w:type="dxa"/>
        </w:tblCellMar>
        <w:tblLook w:val="0620" w:firstRow="1" w:lastRow="0" w:firstColumn="0" w:lastColumn="0" w:noHBand="1" w:noVBand="1"/>
        <w:tblCaption w:val="Self-assessment ratings given by the Commission for each of the six KPIs"/>
        <w:tblDescription w:val="Table sets out the self-assessment ratings given by the Commission against each of the six Regulator Performance Framework KPIs.  "/>
      </w:tblPr>
      <w:tblGrid>
        <w:gridCol w:w="3616"/>
        <w:gridCol w:w="2785"/>
        <w:gridCol w:w="2809"/>
      </w:tblGrid>
      <w:tr w:rsidR="00181142" w:rsidRPr="00870C23" w14:paraId="465306F8" w14:textId="77777777" w:rsidTr="00173653">
        <w:trPr>
          <w:cnfStyle w:val="100000000000" w:firstRow="1" w:lastRow="0" w:firstColumn="0" w:lastColumn="0" w:oddVBand="0" w:evenVBand="0" w:oddHBand="0" w:evenHBand="0" w:firstRowFirstColumn="0" w:firstRowLastColumn="0" w:lastRowFirstColumn="0" w:lastRowLastColumn="0"/>
          <w:trHeight w:val="20"/>
          <w:tblHeader/>
        </w:trPr>
        <w:tc>
          <w:tcPr>
            <w:tcW w:w="1963" w:type="pct"/>
            <w:tcBorders>
              <w:top w:val="single" w:sz="2" w:space="0" w:color="612C69"/>
              <w:left w:val="single" w:sz="2" w:space="0" w:color="612C69"/>
              <w:bottom w:val="nil"/>
            </w:tcBorders>
            <w:shd w:val="clear" w:color="auto" w:fill="5F2E74" w:themeFill="accent1"/>
          </w:tcPr>
          <w:p w14:paraId="523B4096" w14:textId="77777777" w:rsidR="00553250" w:rsidRPr="00CA0D47" w:rsidRDefault="00553250" w:rsidP="00FA7EC3">
            <w:pPr>
              <w:rPr>
                <w:color w:val="FFFFFF" w:themeColor="background1"/>
              </w:rPr>
            </w:pPr>
            <w:r w:rsidRPr="00CA0D47">
              <w:rPr>
                <w:color w:val="FFFFFF" w:themeColor="background1"/>
              </w:rPr>
              <w:t>Regulator Performance Framework KPI</w:t>
            </w:r>
          </w:p>
        </w:tc>
        <w:tc>
          <w:tcPr>
            <w:tcW w:w="1512" w:type="pct"/>
            <w:tcBorders>
              <w:top w:val="single" w:sz="2" w:space="0" w:color="612C69"/>
              <w:bottom w:val="nil"/>
            </w:tcBorders>
            <w:shd w:val="clear" w:color="auto" w:fill="5F2E74" w:themeFill="accent1"/>
          </w:tcPr>
          <w:p w14:paraId="46298BDD" w14:textId="44B596BC" w:rsidR="00553250" w:rsidRPr="00CA0D47" w:rsidRDefault="007E18B6" w:rsidP="00FA7EC3">
            <w:pPr>
              <w:jc w:val="center"/>
              <w:rPr>
                <w:color w:val="FFFFFF" w:themeColor="background1"/>
              </w:rPr>
            </w:pPr>
            <w:r w:rsidRPr="00CA0D47">
              <w:rPr>
                <w:color w:val="FFFFFF" w:themeColor="background1"/>
              </w:rPr>
              <w:t>(</w:t>
            </w:r>
            <w:r w:rsidR="00553250" w:rsidRPr="00CA0D47">
              <w:rPr>
                <w:color w:val="FFFFFF" w:themeColor="background1"/>
              </w:rPr>
              <w:t>Rating 20</w:t>
            </w:r>
            <w:r w:rsidRPr="00CA0D47">
              <w:rPr>
                <w:color w:val="FFFFFF" w:themeColor="background1"/>
              </w:rPr>
              <w:t>19–20)</w:t>
            </w:r>
          </w:p>
        </w:tc>
        <w:tc>
          <w:tcPr>
            <w:tcW w:w="1526" w:type="pct"/>
            <w:tcBorders>
              <w:top w:val="single" w:sz="2" w:space="0" w:color="612C69"/>
              <w:bottom w:val="nil"/>
            </w:tcBorders>
            <w:shd w:val="clear" w:color="auto" w:fill="5F2E74" w:themeFill="accent1"/>
          </w:tcPr>
          <w:p w14:paraId="42E7812A" w14:textId="2D09F45B" w:rsidR="00553250" w:rsidRPr="00CA0D47" w:rsidRDefault="007E18B6" w:rsidP="00FA7EC3">
            <w:pPr>
              <w:jc w:val="center"/>
              <w:rPr>
                <w:color w:val="FFFFFF" w:themeColor="background1"/>
              </w:rPr>
            </w:pPr>
            <w:r w:rsidRPr="00CA0D47">
              <w:rPr>
                <w:color w:val="FFFFFF" w:themeColor="background1"/>
              </w:rPr>
              <w:t>Rating 2020–21</w:t>
            </w:r>
          </w:p>
        </w:tc>
      </w:tr>
      <w:tr w:rsidR="00181142" w:rsidRPr="00870C23" w14:paraId="466D82D5" w14:textId="77777777" w:rsidTr="00173653">
        <w:trPr>
          <w:trHeight w:val="20"/>
        </w:trPr>
        <w:tc>
          <w:tcPr>
            <w:tcW w:w="1963" w:type="pct"/>
            <w:tcBorders>
              <w:top w:val="nil"/>
              <w:left w:val="single" w:sz="2" w:space="0" w:color="612C69"/>
              <w:bottom w:val="nil"/>
            </w:tcBorders>
          </w:tcPr>
          <w:p w14:paraId="7A3F2258" w14:textId="77777777" w:rsidR="00553250" w:rsidRPr="00E6497B" w:rsidRDefault="00553250" w:rsidP="00E6497B">
            <w:pPr>
              <w:rPr>
                <w:b/>
                <w:color w:val="612C69"/>
              </w:rPr>
            </w:pPr>
            <w:r w:rsidRPr="00E6497B">
              <w:rPr>
                <w:b/>
                <w:color w:val="612C69"/>
              </w:rPr>
              <w:t>KPI 1 - Regulators do not unnecessarily impede the efficient operation of regulated entities</w:t>
            </w:r>
          </w:p>
        </w:tc>
        <w:tc>
          <w:tcPr>
            <w:tcW w:w="1512" w:type="pct"/>
            <w:tcBorders>
              <w:top w:val="nil"/>
              <w:bottom w:val="nil"/>
            </w:tcBorders>
            <w:shd w:val="clear" w:color="auto" w:fill="C59BD7" w:themeFill="text2" w:themeFillTint="66"/>
          </w:tcPr>
          <w:p w14:paraId="63158A65" w14:textId="714591B8" w:rsidR="00553250" w:rsidRPr="00505099" w:rsidRDefault="007E18B6" w:rsidP="00E6497B">
            <w:pPr>
              <w:jc w:val="center"/>
            </w:pPr>
            <w:r w:rsidRPr="00E6497B">
              <w:rPr>
                <w:b/>
                <w:color w:val="FFFFFF" w:themeColor="background1"/>
              </w:rPr>
              <w:t>Rating: Substantially Achieved</w:t>
            </w:r>
            <w:r w:rsidRPr="00505099">
              <w:br/>
            </w:r>
            <w:r w:rsidRPr="00FA590A">
              <w:rPr>
                <w:color w:val="539250" w:themeColor="accent4"/>
                <w:sz w:val="96"/>
                <w:szCs w:val="96"/>
              </w:rPr>
              <w:sym w:font="Webdings" w:char="F0D6"/>
            </w:r>
          </w:p>
        </w:tc>
        <w:tc>
          <w:tcPr>
            <w:tcW w:w="1526" w:type="pct"/>
            <w:tcBorders>
              <w:top w:val="nil"/>
              <w:bottom w:val="nil"/>
            </w:tcBorders>
            <w:shd w:val="clear" w:color="auto" w:fill="auto"/>
          </w:tcPr>
          <w:p w14:paraId="4C6B2B6B" w14:textId="14753CE3" w:rsidR="00553250" w:rsidRPr="00505099" w:rsidRDefault="007E18B6" w:rsidP="00E6497B">
            <w:pPr>
              <w:jc w:val="center"/>
            </w:pPr>
            <w:r w:rsidRPr="00E6497B">
              <w:rPr>
                <w:b/>
                <w:color w:val="612C69"/>
              </w:rPr>
              <w:t>Rating: Achieved</w:t>
            </w:r>
            <w:r w:rsidRPr="00505099">
              <w:br/>
            </w:r>
            <w:r w:rsidRPr="00505099">
              <w:rPr>
                <w:sz w:val="96"/>
                <w:szCs w:val="96"/>
              </w:rPr>
              <w:sym w:font="Webdings" w:char="F0D5"/>
            </w:r>
          </w:p>
        </w:tc>
      </w:tr>
      <w:tr w:rsidR="00181142" w:rsidRPr="00870C23" w14:paraId="34180CD2" w14:textId="77777777" w:rsidTr="00173653">
        <w:trPr>
          <w:trHeight w:val="20"/>
        </w:trPr>
        <w:tc>
          <w:tcPr>
            <w:tcW w:w="1963" w:type="pct"/>
            <w:tcBorders>
              <w:top w:val="nil"/>
              <w:left w:val="single" w:sz="2" w:space="0" w:color="612C69"/>
              <w:bottom w:val="nil"/>
            </w:tcBorders>
          </w:tcPr>
          <w:p w14:paraId="724112D9" w14:textId="13FFC029" w:rsidR="00553250" w:rsidRPr="00E6497B" w:rsidRDefault="00553250" w:rsidP="00E6497B">
            <w:pPr>
              <w:rPr>
                <w:b/>
                <w:color w:val="612C69"/>
              </w:rPr>
            </w:pPr>
            <w:r w:rsidRPr="00E6497B">
              <w:rPr>
                <w:b/>
                <w:color w:val="612C69"/>
              </w:rPr>
              <w:t>KPI 2 - Communication with regulated entities is clear, targeted and effective</w:t>
            </w:r>
          </w:p>
        </w:tc>
        <w:tc>
          <w:tcPr>
            <w:tcW w:w="1512" w:type="pct"/>
            <w:tcBorders>
              <w:top w:val="nil"/>
              <w:bottom w:val="nil"/>
            </w:tcBorders>
            <w:shd w:val="clear" w:color="auto" w:fill="C59BD7" w:themeFill="text2" w:themeFillTint="66"/>
          </w:tcPr>
          <w:p w14:paraId="457CF722" w14:textId="4C7EF185" w:rsidR="00553250" w:rsidRPr="00505099" w:rsidRDefault="00553250" w:rsidP="00E6497B">
            <w:pPr>
              <w:jc w:val="center"/>
            </w:pPr>
            <w:r w:rsidRPr="00E6497B">
              <w:rPr>
                <w:b/>
                <w:color w:val="FFFFFF" w:themeColor="background1"/>
              </w:rPr>
              <w:t>Rating: Achieved</w:t>
            </w:r>
            <w:r w:rsidRPr="00181142">
              <w:br/>
            </w:r>
            <w:r w:rsidRPr="00505099">
              <w:rPr>
                <w:sz w:val="96"/>
                <w:szCs w:val="96"/>
              </w:rPr>
              <w:sym w:font="Webdings" w:char="F0D5"/>
            </w:r>
          </w:p>
        </w:tc>
        <w:tc>
          <w:tcPr>
            <w:tcW w:w="1526" w:type="pct"/>
            <w:tcBorders>
              <w:top w:val="nil"/>
              <w:bottom w:val="nil"/>
            </w:tcBorders>
            <w:shd w:val="clear" w:color="auto" w:fill="auto"/>
          </w:tcPr>
          <w:p w14:paraId="6621A732" w14:textId="71E91528" w:rsidR="00553250" w:rsidRPr="00505099" w:rsidRDefault="00553250" w:rsidP="00E6497B">
            <w:pPr>
              <w:jc w:val="center"/>
            </w:pPr>
            <w:r w:rsidRPr="00E6497B">
              <w:rPr>
                <w:b/>
                <w:color w:val="612C69"/>
              </w:rPr>
              <w:t>Rating: Achieved</w:t>
            </w:r>
            <w:r w:rsidRPr="00505099">
              <w:br/>
            </w:r>
            <w:r w:rsidRPr="00505099">
              <w:rPr>
                <w:sz w:val="96"/>
                <w:szCs w:val="96"/>
              </w:rPr>
              <w:sym w:font="Webdings" w:char="F0D5"/>
            </w:r>
          </w:p>
        </w:tc>
      </w:tr>
      <w:tr w:rsidR="00181142" w:rsidRPr="00870C23" w14:paraId="2E125EDB" w14:textId="77777777" w:rsidTr="00173653">
        <w:trPr>
          <w:trHeight w:val="606"/>
        </w:trPr>
        <w:tc>
          <w:tcPr>
            <w:tcW w:w="1963" w:type="pct"/>
            <w:tcBorders>
              <w:top w:val="nil"/>
              <w:left w:val="single" w:sz="2" w:space="0" w:color="612C69"/>
              <w:bottom w:val="nil"/>
            </w:tcBorders>
          </w:tcPr>
          <w:p w14:paraId="19B09E19" w14:textId="41E1F7FB" w:rsidR="00553250" w:rsidRPr="00E6497B" w:rsidRDefault="00553250" w:rsidP="00E6497B">
            <w:pPr>
              <w:rPr>
                <w:b/>
                <w:color w:val="612C69"/>
              </w:rPr>
            </w:pPr>
            <w:r w:rsidRPr="00E6497B">
              <w:rPr>
                <w:b/>
                <w:color w:val="612C69"/>
              </w:rPr>
              <w:t>KPI 3 - Actions undertaken by regulators are proportionate to the regulatory risk being managed</w:t>
            </w:r>
          </w:p>
        </w:tc>
        <w:tc>
          <w:tcPr>
            <w:tcW w:w="1512" w:type="pct"/>
            <w:tcBorders>
              <w:top w:val="nil"/>
              <w:bottom w:val="nil"/>
            </w:tcBorders>
            <w:shd w:val="clear" w:color="auto" w:fill="C59BD7" w:themeFill="text2" w:themeFillTint="66"/>
          </w:tcPr>
          <w:p w14:paraId="27ADD556" w14:textId="26F2E1E2" w:rsidR="00553250" w:rsidRPr="00505099" w:rsidRDefault="00553250" w:rsidP="00E6497B">
            <w:pPr>
              <w:jc w:val="center"/>
            </w:pPr>
            <w:r w:rsidRPr="00E6497B">
              <w:rPr>
                <w:b/>
                <w:color w:val="FFFFFF" w:themeColor="background1"/>
              </w:rPr>
              <w:t xml:space="preserve">Rating: </w:t>
            </w:r>
            <w:r w:rsidR="007E18B6" w:rsidRPr="00E6497B">
              <w:rPr>
                <w:b/>
                <w:color w:val="FFFFFF" w:themeColor="background1"/>
              </w:rPr>
              <w:t xml:space="preserve">Substantially </w:t>
            </w:r>
            <w:r w:rsidRPr="00E6497B">
              <w:rPr>
                <w:b/>
                <w:color w:val="FFFFFF" w:themeColor="background1"/>
              </w:rPr>
              <w:t>Achieved</w:t>
            </w:r>
            <w:r w:rsidRPr="00E6497B">
              <w:rPr>
                <w:b/>
                <w:color w:val="FFFFFF" w:themeColor="background1"/>
              </w:rPr>
              <w:br/>
            </w:r>
            <w:r w:rsidR="007E18B6" w:rsidRPr="00FA590A">
              <w:rPr>
                <w:color w:val="539250" w:themeColor="accent4"/>
                <w:sz w:val="96"/>
                <w:szCs w:val="96"/>
              </w:rPr>
              <w:sym w:font="Webdings" w:char="F0D6"/>
            </w:r>
          </w:p>
        </w:tc>
        <w:tc>
          <w:tcPr>
            <w:tcW w:w="1526" w:type="pct"/>
            <w:tcBorders>
              <w:top w:val="nil"/>
              <w:bottom w:val="nil"/>
            </w:tcBorders>
            <w:shd w:val="clear" w:color="auto" w:fill="auto"/>
          </w:tcPr>
          <w:p w14:paraId="52DE1D2E" w14:textId="07039FA6" w:rsidR="00553250" w:rsidRPr="00505099" w:rsidRDefault="007E18B6" w:rsidP="00E6497B">
            <w:pPr>
              <w:jc w:val="center"/>
            </w:pPr>
            <w:r w:rsidRPr="00E6497B">
              <w:rPr>
                <w:b/>
                <w:color w:val="612C69"/>
              </w:rPr>
              <w:t>Rating:</w:t>
            </w:r>
            <w:r w:rsidR="00553250" w:rsidRPr="00E6497B">
              <w:rPr>
                <w:b/>
                <w:color w:val="612C69"/>
              </w:rPr>
              <w:t xml:space="preserve"> Achieved</w:t>
            </w:r>
            <w:r w:rsidR="00553250" w:rsidRPr="00505099">
              <w:br/>
            </w:r>
            <w:r w:rsidRPr="00505099">
              <w:rPr>
                <w:sz w:val="96"/>
                <w:szCs w:val="96"/>
              </w:rPr>
              <w:sym w:font="Webdings" w:char="F0D5"/>
            </w:r>
          </w:p>
        </w:tc>
      </w:tr>
      <w:tr w:rsidR="00181142" w:rsidRPr="00870C23" w14:paraId="15901792" w14:textId="77777777" w:rsidTr="00173653">
        <w:trPr>
          <w:trHeight w:val="20"/>
        </w:trPr>
        <w:tc>
          <w:tcPr>
            <w:tcW w:w="1963" w:type="pct"/>
            <w:tcBorders>
              <w:top w:val="nil"/>
              <w:left w:val="single" w:sz="2" w:space="0" w:color="612C69"/>
              <w:bottom w:val="nil"/>
            </w:tcBorders>
          </w:tcPr>
          <w:p w14:paraId="11CDB5AD" w14:textId="0010A375" w:rsidR="00553250" w:rsidRPr="00E6497B" w:rsidRDefault="00553250" w:rsidP="00E6497B">
            <w:pPr>
              <w:rPr>
                <w:b/>
                <w:color w:val="612C69"/>
              </w:rPr>
            </w:pPr>
            <w:r w:rsidRPr="00E6497B">
              <w:rPr>
                <w:b/>
                <w:color w:val="612C69"/>
              </w:rPr>
              <w:t>KPI 4 - Compliance and monitoring approaches are streamlined and coordinated</w:t>
            </w:r>
          </w:p>
        </w:tc>
        <w:tc>
          <w:tcPr>
            <w:tcW w:w="1512" w:type="pct"/>
            <w:tcBorders>
              <w:top w:val="nil"/>
              <w:bottom w:val="nil"/>
            </w:tcBorders>
            <w:shd w:val="clear" w:color="auto" w:fill="C59BD7" w:themeFill="text2" w:themeFillTint="66"/>
          </w:tcPr>
          <w:p w14:paraId="1BBF7794" w14:textId="37A47251" w:rsidR="00553250" w:rsidRPr="00505099" w:rsidRDefault="00553250" w:rsidP="00E6497B">
            <w:pPr>
              <w:jc w:val="center"/>
            </w:pPr>
            <w:r w:rsidRPr="00E6497B">
              <w:rPr>
                <w:b/>
                <w:color w:val="FFFFFF" w:themeColor="background1"/>
              </w:rPr>
              <w:t>Rating: Substantially Achieved</w:t>
            </w:r>
            <w:r w:rsidRPr="00505099">
              <w:br/>
            </w:r>
            <w:r w:rsidRPr="00FA590A">
              <w:rPr>
                <w:color w:val="539250" w:themeColor="accent4"/>
                <w:sz w:val="96"/>
                <w:szCs w:val="96"/>
              </w:rPr>
              <w:sym w:font="Webdings" w:char="F0D6"/>
            </w:r>
          </w:p>
        </w:tc>
        <w:tc>
          <w:tcPr>
            <w:tcW w:w="1526" w:type="pct"/>
            <w:tcBorders>
              <w:top w:val="nil"/>
              <w:bottom w:val="nil"/>
            </w:tcBorders>
            <w:shd w:val="clear" w:color="auto" w:fill="auto"/>
          </w:tcPr>
          <w:p w14:paraId="1B5B386B" w14:textId="63042330" w:rsidR="00553250" w:rsidRPr="00505099" w:rsidRDefault="00553250" w:rsidP="00E6497B">
            <w:pPr>
              <w:jc w:val="center"/>
            </w:pPr>
            <w:r w:rsidRPr="00E6497B">
              <w:rPr>
                <w:b/>
                <w:color w:val="612C69"/>
              </w:rPr>
              <w:t>Rating: Substantially Achieved</w:t>
            </w:r>
            <w:r w:rsidRPr="00E6497B">
              <w:rPr>
                <w:b/>
                <w:color w:val="612C69"/>
              </w:rPr>
              <w:br/>
            </w:r>
            <w:r w:rsidRPr="00FA590A">
              <w:rPr>
                <w:color w:val="539250" w:themeColor="accent4"/>
                <w:sz w:val="96"/>
                <w:szCs w:val="96"/>
              </w:rPr>
              <w:sym w:font="Webdings" w:char="F0D6"/>
            </w:r>
          </w:p>
        </w:tc>
      </w:tr>
      <w:tr w:rsidR="00181142" w:rsidRPr="00870C23" w14:paraId="5FC8E739" w14:textId="77777777" w:rsidTr="00173653">
        <w:trPr>
          <w:trHeight w:val="20"/>
        </w:trPr>
        <w:tc>
          <w:tcPr>
            <w:tcW w:w="1963" w:type="pct"/>
            <w:tcBorders>
              <w:top w:val="nil"/>
              <w:left w:val="single" w:sz="2" w:space="0" w:color="612C69"/>
              <w:bottom w:val="nil"/>
            </w:tcBorders>
          </w:tcPr>
          <w:p w14:paraId="53E50671" w14:textId="5438528B" w:rsidR="00553250" w:rsidRPr="00E6497B" w:rsidRDefault="00553250" w:rsidP="00E6497B">
            <w:pPr>
              <w:rPr>
                <w:b/>
                <w:color w:val="612C69"/>
              </w:rPr>
            </w:pPr>
            <w:r w:rsidRPr="00E6497B">
              <w:rPr>
                <w:b/>
                <w:color w:val="612C69"/>
              </w:rPr>
              <w:t>KPI 5 - Regulators are open and transparent in their dealings with regulated entities</w:t>
            </w:r>
          </w:p>
        </w:tc>
        <w:tc>
          <w:tcPr>
            <w:tcW w:w="1512" w:type="pct"/>
            <w:tcBorders>
              <w:top w:val="nil"/>
              <w:bottom w:val="nil"/>
            </w:tcBorders>
            <w:shd w:val="clear" w:color="auto" w:fill="C59BD7" w:themeFill="text2" w:themeFillTint="66"/>
          </w:tcPr>
          <w:p w14:paraId="1435050E" w14:textId="0A91CDAF" w:rsidR="00553250" w:rsidRPr="00505099" w:rsidRDefault="00553250" w:rsidP="00E6497B">
            <w:pPr>
              <w:jc w:val="center"/>
            </w:pPr>
            <w:r w:rsidRPr="00E6497B">
              <w:rPr>
                <w:b/>
                <w:color w:val="FFFFFF" w:themeColor="background1"/>
              </w:rPr>
              <w:t>Rating: Achieved</w:t>
            </w:r>
            <w:r w:rsidRPr="00505099">
              <w:br/>
            </w:r>
            <w:r w:rsidRPr="00505099">
              <w:rPr>
                <w:sz w:val="96"/>
                <w:szCs w:val="96"/>
              </w:rPr>
              <w:sym w:font="Webdings" w:char="F0D5"/>
            </w:r>
          </w:p>
        </w:tc>
        <w:tc>
          <w:tcPr>
            <w:tcW w:w="1526" w:type="pct"/>
            <w:tcBorders>
              <w:top w:val="nil"/>
              <w:bottom w:val="nil"/>
            </w:tcBorders>
            <w:shd w:val="clear" w:color="auto" w:fill="auto"/>
          </w:tcPr>
          <w:p w14:paraId="510FA20F" w14:textId="204A7952" w:rsidR="00553250" w:rsidRPr="00505099" w:rsidRDefault="00553250" w:rsidP="00E6497B">
            <w:pPr>
              <w:jc w:val="center"/>
            </w:pPr>
            <w:r w:rsidRPr="00E6497B">
              <w:rPr>
                <w:b/>
                <w:color w:val="612C69"/>
              </w:rPr>
              <w:t>Rating: Achieved</w:t>
            </w:r>
            <w:r w:rsidRPr="00E6497B">
              <w:rPr>
                <w:b/>
                <w:color w:val="612C69"/>
              </w:rPr>
              <w:br/>
            </w:r>
            <w:r w:rsidRPr="00505099">
              <w:rPr>
                <w:sz w:val="96"/>
                <w:szCs w:val="96"/>
              </w:rPr>
              <w:sym w:font="Webdings" w:char="F0D5"/>
            </w:r>
          </w:p>
        </w:tc>
      </w:tr>
      <w:tr w:rsidR="00181142" w:rsidRPr="00870C23" w14:paraId="005E41B6" w14:textId="77777777" w:rsidTr="00173653">
        <w:trPr>
          <w:trHeight w:val="20"/>
        </w:trPr>
        <w:tc>
          <w:tcPr>
            <w:tcW w:w="1963" w:type="pct"/>
            <w:tcBorders>
              <w:top w:val="nil"/>
              <w:left w:val="single" w:sz="2" w:space="0" w:color="612C69"/>
              <w:bottom w:val="single" w:sz="4" w:space="0" w:color="612C69"/>
            </w:tcBorders>
          </w:tcPr>
          <w:p w14:paraId="395B6460" w14:textId="1E1E5CDC" w:rsidR="00553250" w:rsidRPr="00E6497B" w:rsidRDefault="00553250" w:rsidP="00E6497B">
            <w:pPr>
              <w:rPr>
                <w:b/>
                <w:color w:val="612C69"/>
              </w:rPr>
            </w:pPr>
            <w:r w:rsidRPr="00E6497B">
              <w:rPr>
                <w:b/>
                <w:color w:val="612C69"/>
              </w:rPr>
              <w:t>KPI 6 - Regulators actively contribute to the continuous improvement of regulatory frameworks</w:t>
            </w:r>
          </w:p>
        </w:tc>
        <w:tc>
          <w:tcPr>
            <w:tcW w:w="1512" w:type="pct"/>
            <w:tcBorders>
              <w:top w:val="nil"/>
              <w:bottom w:val="single" w:sz="4" w:space="0" w:color="612C69"/>
            </w:tcBorders>
            <w:shd w:val="clear" w:color="auto" w:fill="C59BD7" w:themeFill="text2" w:themeFillTint="66"/>
          </w:tcPr>
          <w:p w14:paraId="02269B95" w14:textId="2B5623FB" w:rsidR="00553250" w:rsidRPr="00505099" w:rsidRDefault="00DF35D0" w:rsidP="00E6497B">
            <w:pPr>
              <w:jc w:val="center"/>
            </w:pPr>
            <w:r w:rsidRPr="00E6497B">
              <w:rPr>
                <w:b/>
                <w:color w:val="FFFFFF" w:themeColor="background1"/>
              </w:rPr>
              <w:t>Rating: Substantially Achieved</w:t>
            </w:r>
            <w:r w:rsidRPr="00E6497B">
              <w:rPr>
                <w:b/>
                <w:color w:val="FFFFFF" w:themeColor="background1"/>
              </w:rPr>
              <w:br/>
            </w:r>
            <w:r w:rsidRPr="00FA590A">
              <w:rPr>
                <w:color w:val="539250" w:themeColor="accent4"/>
                <w:sz w:val="96"/>
                <w:szCs w:val="96"/>
              </w:rPr>
              <w:sym w:font="Webdings" w:char="F0D6"/>
            </w:r>
          </w:p>
        </w:tc>
        <w:tc>
          <w:tcPr>
            <w:tcW w:w="1526" w:type="pct"/>
            <w:tcBorders>
              <w:top w:val="nil"/>
              <w:bottom w:val="single" w:sz="4" w:space="0" w:color="612C69"/>
            </w:tcBorders>
            <w:shd w:val="clear" w:color="auto" w:fill="auto"/>
          </w:tcPr>
          <w:p w14:paraId="1E2B5B67" w14:textId="7057B7C3" w:rsidR="00553250" w:rsidRPr="00870C23" w:rsidRDefault="00553250" w:rsidP="00E6497B">
            <w:pPr>
              <w:jc w:val="center"/>
            </w:pPr>
            <w:r w:rsidRPr="00E6497B">
              <w:rPr>
                <w:b/>
                <w:color w:val="612C69"/>
              </w:rPr>
              <w:t>Rating: Substantially Achieved</w:t>
            </w:r>
            <w:r w:rsidRPr="00505099">
              <w:br/>
            </w:r>
            <w:r w:rsidRPr="00FA590A">
              <w:rPr>
                <w:color w:val="539250" w:themeColor="accent4"/>
                <w:sz w:val="96"/>
                <w:szCs w:val="96"/>
              </w:rPr>
              <w:sym w:font="Webdings" w:char="F0D6"/>
            </w:r>
          </w:p>
        </w:tc>
      </w:tr>
    </w:tbl>
    <w:p w14:paraId="3B0B8B94" w14:textId="77777777" w:rsidR="005E1973" w:rsidRPr="00870C23" w:rsidRDefault="005E1973">
      <w:pPr>
        <w:suppressAutoHyphens w:val="0"/>
        <w:spacing w:before="120" w:after="120" w:line="240" w:lineRule="auto"/>
        <w:rPr>
          <w:rFonts w:cstheme="minorHAnsi"/>
          <w:b/>
          <w:color w:val="333333"/>
          <w:spacing w:val="4"/>
          <w:sz w:val="21"/>
          <w:szCs w:val="21"/>
        </w:rPr>
        <w:sectPr w:rsidR="005E1973" w:rsidRPr="00870C23" w:rsidSect="00505099">
          <w:headerReference w:type="first" r:id="rId27"/>
          <w:pgSz w:w="11906" w:h="16838" w:code="9"/>
          <w:pgMar w:top="1440" w:right="1440" w:bottom="1440" w:left="1134" w:header="284" w:footer="397" w:gutter="0"/>
          <w:cols w:space="340"/>
          <w:titlePg/>
          <w:docGrid w:linePitch="360"/>
          <w15:footnoteColumns w:val="1"/>
        </w:sectPr>
      </w:pPr>
    </w:p>
    <w:p w14:paraId="44F689E7" w14:textId="77777777" w:rsidR="00CC72AA" w:rsidRDefault="00CC72AA" w:rsidP="009E7CA0">
      <w:pPr>
        <w:pStyle w:val="Heading1"/>
        <w:spacing w:before="0"/>
        <w:rPr>
          <w:rFonts w:asciiTheme="minorHAnsi" w:hAnsiTheme="minorHAnsi" w:cstheme="minorHAnsi"/>
          <w:b w:val="0"/>
        </w:rPr>
      </w:pPr>
      <w:bookmarkStart w:id="11" w:name="_Toc128477916"/>
      <w:r w:rsidRPr="00870C23">
        <w:rPr>
          <w:rFonts w:asciiTheme="minorHAnsi" w:hAnsiTheme="minorHAnsi" w:cstheme="minorHAnsi"/>
          <w:b w:val="0"/>
        </w:rPr>
        <w:lastRenderedPageBreak/>
        <w:t>Self-assessment results</w:t>
      </w:r>
      <w:r w:rsidR="001275EF">
        <w:rPr>
          <w:rFonts w:asciiTheme="minorHAnsi" w:hAnsiTheme="minorHAnsi" w:cstheme="minorHAnsi"/>
          <w:b w:val="0"/>
        </w:rPr>
        <w:t xml:space="preserve"> 2020-21</w:t>
      </w:r>
      <w:bookmarkEnd w:id="11"/>
    </w:p>
    <w:p w14:paraId="411542AD" w14:textId="77777777" w:rsidR="005C7B90" w:rsidRDefault="009615B1" w:rsidP="00B60E5A">
      <w:pPr>
        <w:pStyle w:val="Heading2"/>
      </w:pPr>
      <w:bookmarkStart w:id="12" w:name="_Toc128477917"/>
      <w:r w:rsidRPr="005C7B90">
        <w:t>KPI 1 - Regulators do not unnecessarily impede the efficient operation of regulated entities</w:t>
      </w:r>
      <w:bookmarkEnd w:id="12"/>
      <w:r w:rsidR="00505099" w:rsidRPr="005C7B90">
        <w:t xml:space="preserve"> </w:t>
      </w:r>
    </w:p>
    <w:p w14:paraId="67ABC5EE" w14:textId="66D5C882" w:rsidR="00093A0C" w:rsidRDefault="00B6158B" w:rsidP="003F02DC">
      <w:pPr>
        <w:suppressAutoHyphens w:val="0"/>
        <w:spacing w:before="0" w:after="120" w:line="276" w:lineRule="auto"/>
        <w:rPr>
          <w:rFonts w:cstheme="minorHAnsi"/>
          <w:i/>
          <w:color w:val="auto"/>
          <w:spacing w:val="4"/>
          <w:sz w:val="24"/>
        </w:rPr>
      </w:pPr>
      <w:r w:rsidRPr="005C7B90">
        <w:rPr>
          <w:rFonts w:cstheme="minorHAnsi"/>
          <w:i/>
          <w:color w:val="auto"/>
          <w:spacing w:val="4"/>
          <w:sz w:val="24"/>
        </w:rPr>
        <w:t>Rating:</w:t>
      </w:r>
    </w:p>
    <w:tbl>
      <w:tblPr>
        <w:tblStyle w:val="TableGrid"/>
        <w:tblW w:w="0" w:type="auto"/>
        <w:tblLook w:val="04A0" w:firstRow="1" w:lastRow="0" w:firstColumn="1" w:lastColumn="0" w:noHBand="0" w:noVBand="1"/>
        <w:tblCaption w:val="Rating Comparison for KPI1"/>
        <w:tblDescription w:val="Comparison of 2019-20 rating to 2020-21"/>
      </w:tblPr>
      <w:tblGrid>
        <w:gridCol w:w="2547"/>
        <w:gridCol w:w="2693"/>
      </w:tblGrid>
      <w:tr w:rsidR="00DC0B23" w:rsidRPr="00E434E0" w14:paraId="00FC2081" w14:textId="77777777" w:rsidTr="00FA7EC3">
        <w:trPr>
          <w:tblHeader/>
        </w:trPr>
        <w:tc>
          <w:tcPr>
            <w:tcW w:w="2547" w:type="dxa"/>
            <w:shd w:val="clear" w:color="auto" w:fill="612C69"/>
            <w:vAlign w:val="center"/>
          </w:tcPr>
          <w:p w14:paraId="6C1B3AC4" w14:textId="1E0CF7F7" w:rsidR="00DC0B23" w:rsidRPr="00FA7EC3" w:rsidRDefault="00DC0B23" w:rsidP="00DC0B23">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6BAA57ED" w14:textId="4CB77A15" w:rsidR="00DC0B23" w:rsidRPr="00FA7EC3" w:rsidRDefault="00DC0B23" w:rsidP="00DC0B23">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DC0B23" w14:paraId="5F1078B4" w14:textId="77777777" w:rsidTr="002E0B88">
        <w:tc>
          <w:tcPr>
            <w:tcW w:w="2547" w:type="dxa"/>
            <w:shd w:val="clear" w:color="auto" w:fill="C59BD7" w:themeFill="text2" w:themeFillTint="66"/>
          </w:tcPr>
          <w:p w14:paraId="23CBE0FF" w14:textId="77777777" w:rsidR="00DC0B23" w:rsidRDefault="00DC0B23" w:rsidP="003F02DC">
            <w:pPr>
              <w:suppressAutoHyphens w:val="0"/>
              <w:spacing w:before="0" w:after="120" w:line="276" w:lineRule="auto"/>
              <w:rPr>
                <w:rFonts w:cstheme="minorHAnsi"/>
                <w:color w:val="auto"/>
                <w:sz w:val="20"/>
                <w:szCs w:val="22"/>
              </w:rPr>
            </w:pPr>
          </w:p>
          <w:p w14:paraId="63779CA6" w14:textId="27CDF8BB" w:rsidR="00DC0B23" w:rsidRDefault="00DC0B23" w:rsidP="00DC0B23">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c>
          <w:tcPr>
            <w:tcW w:w="2693" w:type="dxa"/>
          </w:tcPr>
          <w:p w14:paraId="199F530A" w14:textId="77777777" w:rsidR="00DC0B23" w:rsidRDefault="00DC0B23" w:rsidP="003F02DC">
            <w:pPr>
              <w:suppressAutoHyphens w:val="0"/>
              <w:spacing w:before="0" w:after="120" w:line="276" w:lineRule="auto"/>
              <w:rPr>
                <w:rFonts w:cstheme="minorHAnsi"/>
                <w:sz w:val="20"/>
                <w:szCs w:val="22"/>
              </w:rPr>
            </w:pPr>
          </w:p>
          <w:p w14:paraId="7EC17773" w14:textId="10236D82" w:rsidR="00DC0B23" w:rsidRDefault="00DC0B23" w:rsidP="00DC0B23">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00E434E0" w:rsidRPr="00E434E0">
              <w:rPr>
                <w:rFonts w:cstheme="minorHAnsi"/>
                <w:color w:val="5F2E74" w:themeColor="text2"/>
                <w:sz w:val="96"/>
                <w:szCs w:val="96"/>
              </w:rPr>
              <w:sym w:font="Webdings" w:char="F0D5"/>
            </w:r>
          </w:p>
        </w:tc>
      </w:tr>
    </w:tbl>
    <w:p w14:paraId="54075FE2" w14:textId="014C6D9F" w:rsidR="00093A0C" w:rsidRDefault="00093A0C" w:rsidP="003F02DC">
      <w:pPr>
        <w:suppressAutoHyphens w:val="0"/>
        <w:spacing w:before="0" w:after="120" w:line="276" w:lineRule="auto"/>
        <w:rPr>
          <w:rFonts w:cstheme="minorHAnsi"/>
          <w:color w:val="333333"/>
          <w:spacing w:val="4"/>
          <w:sz w:val="20"/>
        </w:rPr>
      </w:pPr>
    </w:p>
    <w:p w14:paraId="39F637CB" w14:textId="77777777" w:rsidR="00093A0C" w:rsidRPr="00CF5641" w:rsidRDefault="00093A0C" w:rsidP="003F02DC">
      <w:pPr>
        <w:suppressAutoHyphens w:val="0"/>
        <w:spacing w:before="0" w:after="120" w:line="276" w:lineRule="auto"/>
        <w:rPr>
          <w:rFonts w:cstheme="minorHAnsi"/>
          <w:i/>
          <w:color w:val="333333"/>
          <w:spacing w:val="4"/>
          <w:sz w:val="20"/>
          <w:u w:val="single"/>
        </w:rPr>
      </w:pPr>
      <w:r w:rsidRPr="00CF5641">
        <w:rPr>
          <w:rFonts w:cstheme="minorHAnsi"/>
          <w:i/>
          <w:color w:val="333333"/>
          <w:spacing w:val="4"/>
          <w:sz w:val="20"/>
          <w:u w:val="single"/>
        </w:rPr>
        <w:t xml:space="preserve">Summary </w:t>
      </w:r>
    </w:p>
    <w:p w14:paraId="35C746A8" w14:textId="77777777" w:rsidR="009861A4" w:rsidRDefault="00093A0C" w:rsidP="00353D68">
      <w:pPr>
        <w:suppressAutoHyphens w:val="0"/>
        <w:spacing w:before="0" w:after="120" w:line="276" w:lineRule="auto"/>
        <w:rPr>
          <w:rFonts w:cstheme="minorHAnsi"/>
          <w:i/>
          <w:color w:val="333333"/>
          <w:spacing w:val="4"/>
          <w:sz w:val="20"/>
        </w:rPr>
      </w:pPr>
      <w:r>
        <w:rPr>
          <w:rFonts w:cstheme="minorHAnsi"/>
          <w:i/>
          <w:color w:val="333333"/>
          <w:spacing w:val="4"/>
          <w:sz w:val="20"/>
        </w:rPr>
        <w:t>Engagement activities doubled from 2019-20 to 2020-21, and the advent of the NDIS Commission’s National Engagement team, established in October 2020, underlined the agency’s commitment to proactive communications with key stakeholders surrounding important planning and policy measures.</w:t>
      </w:r>
      <w:r w:rsidR="006B4FAD">
        <w:rPr>
          <w:rFonts w:cstheme="minorHAnsi"/>
          <w:i/>
          <w:color w:val="333333"/>
          <w:spacing w:val="4"/>
          <w:sz w:val="20"/>
        </w:rPr>
        <w:t xml:space="preserve"> Pre-emptive engagement with providers and workers specifically showed an aim to assist, not impede, as the national transition to the NDIS Commission was completed and regulatory standards and frameworks, and training, continued to be developed and established.  </w:t>
      </w:r>
    </w:p>
    <w:p w14:paraId="38EE61B0" w14:textId="77777777" w:rsidR="00093A0C" w:rsidRPr="00CF5641" w:rsidRDefault="006B4FAD" w:rsidP="003F02DC">
      <w:pPr>
        <w:suppressAutoHyphens w:val="0"/>
        <w:spacing w:before="0" w:after="120" w:line="276" w:lineRule="auto"/>
        <w:rPr>
          <w:rFonts w:cstheme="minorHAnsi"/>
          <w:i/>
          <w:color w:val="333333"/>
          <w:spacing w:val="4"/>
          <w:sz w:val="20"/>
        </w:rPr>
      </w:pPr>
      <w:r>
        <w:rPr>
          <w:rFonts w:cstheme="minorHAnsi"/>
          <w:i/>
          <w:color w:val="333333"/>
          <w:spacing w:val="4"/>
          <w:sz w:val="20"/>
        </w:rPr>
        <w:t>In particular during the period,</w:t>
      </w:r>
      <w:r w:rsidRPr="006B4FAD">
        <w:rPr>
          <w:rFonts w:cstheme="minorHAnsi"/>
          <w:i/>
          <w:color w:val="333333"/>
          <w:spacing w:val="4"/>
          <w:sz w:val="20"/>
        </w:rPr>
        <w:t xml:space="preserve"> the NDIS Commission utilised feedback from residential aged care providers supporting NDIS participants to inform streamlined approaches to worker screening for employees working across both the NDIS and aged care sectors</w:t>
      </w:r>
      <w:r>
        <w:rPr>
          <w:rFonts w:cstheme="minorHAnsi"/>
          <w:i/>
          <w:color w:val="333333"/>
          <w:spacing w:val="4"/>
          <w:sz w:val="20"/>
        </w:rPr>
        <w:t xml:space="preserve"> and the NDIS registration cycle.</w:t>
      </w:r>
      <w:r w:rsidR="00353D68">
        <w:rPr>
          <w:rFonts w:cstheme="minorHAnsi"/>
          <w:i/>
          <w:color w:val="333333"/>
          <w:spacing w:val="4"/>
          <w:sz w:val="20"/>
        </w:rPr>
        <w:t xml:space="preserve"> Further, the NDIS Commission focused on reducing compliance costs for regulated entities via the</w:t>
      </w:r>
      <w:r w:rsidR="00353D68" w:rsidRPr="00353D68">
        <w:rPr>
          <w:rFonts w:cstheme="minorHAnsi"/>
          <w:i/>
          <w:color w:val="333333"/>
          <w:spacing w:val="4"/>
          <w:sz w:val="20"/>
        </w:rPr>
        <w:t xml:space="preserve"> Support for NDIS Providers </w:t>
      </w:r>
      <w:r w:rsidR="00353D68">
        <w:rPr>
          <w:rFonts w:cstheme="minorHAnsi"/>
          <w:i/>
          <w:color w:val="333333"/>
          <w:spacing w:val="4"/>
          <w:sz w:val="20"/>
        </w:rPr>
        <w:t xml:space="preserve">Grants </w:t>
      </w:r>
      <w:r w:rsidR="00353D68" w:rsidRPr="00353D68">
        <w:rPr>
          <w:rFonts w:cstheme="minorHAnsi"/>
          <w:i/>
          <w:color w:val="333333"/>
          <w:spacing w:val="4"/>
          <w:sz w:val="20"/>
        </w:rPr>
        <w:t xml:space="preserve">Program, </w:t>
      </w:r>
      <w:r w:rsidR="00353D68">
        <w:rPr>
          <w:rFonts w:cstheme="minorHAnsi"/>
          <w:i/>
          <w:color w:val="333333"/>
          <w:spacing w:val="4"/>
          <w:sz w:val="20"/>
        </w:rPr>
        <w:t xml:space="preserve">which the agency administers and which </w:t>
      </w:r>
      <w:r w:rsidR="00353D68" w:rsidRPr="00353D68">
        <w:rPr>
          <w:rFonts w:cstheme="minorHAnsi"/>
          <w:i/>
          <w:color w:val="333333"/>
          <w:spacing w:val="4"/>
          <w:sz w:val="20"/>
        </w:rPr>
        <w:t>funds the development of tools and resources for the benefit of providers, including supporting businesses and individuals to meet quality assurance requirements.</w:t>
      </w:r>
      <w:r w:rsidR="00353D68">
        <w:rPr>
          <w:rFonts w:cstheme="minorHAnsi"/>
          <w:i/>
          <w:color w:val="333333"/>
          <w:spacing w:val="4"/>
          <w:sz w:val="20"/>
        </w:rPr>
        <w:t xml:space="preserve"> </w:t>
      </w:r>
    </w:p>
    <w:p w14:paraId="2C2681CB" w14:textId="77777777" w:rsidR="001275EF" w:rsidRDefault="003251D3" w:rsidP="003251D3">
      <w:pPr>
        <w:pStyle w:val="Heading3"/>
      </w:pPr>
      <w:bookmarkStart w:id="13" w:name="_Toc128477918"/>
      <w:r w:rsidRPr="003251D3">
        <w:t xml:space="preserve">Measure 1.1: </w:t>
      </w:r>
      <w:r w:rsidRPr="00D65DFC">
        <w:t>We demonstrate an understanding of the operating environment of our industry or organisation, or the circumstances of individuals and the current and emerging issues that affect the sector</w:t>
      </w:r>
      <w:bookmarkEnd w:id="13"/>
    </w:p>
    <w:tbl>
      <w:tblPr>
        <w:tblStyle w:val="TableGrid"/>
        <w:tblW w:w="10060" w:type="dxa"/>
        <w:tblLook w:val="04A0" w:firstRow="1" w:lastRow="0" w:firstColumn="1" w:lastColumn="0" w:noHBand="0" w:noVBand="1"/>
        <w:tblDescription w:val="This table details measures and responses in relation to regulatory performance measure 1.1. A summary of all the outcomes against KPI1 is available at the beginning of this section, on page 11."/>
      </w:tblPr>
      <w:tblGrid>
        <w:gridCol w:w="3256"/>
        <w:gridCol w:w="6804"/>
      </w:tblGrid>
      <w:tr w:rsidR="001275EF" w14:paraId="58410367" w14:textId="77777777" w:rsidTr="00FA7EC3">
        <w:trPr>
          <w:cantSplit/>
          <w:tblHeader/>
        </w:trPr>
        <w:tc>
          <w:tcPr>
            <w:tcW w:w="3256" w:type="dxa"/>
            <w:shd w:val="clear" w:color="auto" w:fill="612C69"/>
          </w:tcPr>
          <w:p w14:paraId="39A0880C" w14:textId="77777777" w:rsidR="001275EF" w:rsidRPr="00FA7EC3" w:rsidRDefault="001275EF" w:rsidP="00CF5641">
            <w:pPr>
              <w:rPr>
                <w:color w:val="FFFFFF" w:themeColor="background1"/>
              </w:rPr>
            </w:pPr>
            <w:r w:rsidRPr="00FA7EC3">
              <w:rPr>
                <w:b/>
                <w:color w:val="FFFFFF" w:themeColor="background1"/>
              </w:rPr>
              <w:t>Requirement</w:t>
            </w:r>
          </w:p>
        </w:tc>
        <w:tc>
          <w:tcPr>
            <w:tcW w:w="6804" w:type="dxa"/>
            <w:shd w:val="clear" w:color="auto" w:fill="612C69"/>
          </w:tcPr>
          <w:p w14:paraId="5E90134B" w14:textId="77777777" w:rsidR="001275EF" w:rsidRPr="00FA7EC3" w:rsidRDefault="001275EF" w:rsidP="00CF5641">
            <w:pPr>
              <w:rPr>
                <w:color w:val="FFFFFF" w:themeColor="background1"/>
              </w:rPr>
            </w:pPr>
            <w:r w:rsidRPr="00FA7EC3">
              <w:rPr>
                <w:b/>
                <w:color w:val="FFFFFF" w:themeColor="background1"/>
              </w:rPr>
              <w:t>Response</w:t>
            </w:r>
            <w:r w:rsidRPr="00FA7EC3">
              <w:rPr>
                <w:color w:val="FFFFFF" w:themeColor="background1"/>
              </w:rPr>
              <w:t xml:space="preserve"> </w:t>
            </w:r>
          </w:p>
        </w:tc>
      </w:tr>
      <w:tr w:rsidR="001275EF" w14:paraId="07FA53DC" w14:textId="77777777" w:rsidTr="00316738">
        <w:trPr>
          <w:cantSplit/>
        </w:trPr>
        <w:tc>
          <w:tcPr>
            <w:tcW w:w="3256" w:type="dxa"/>
          </w:tcPr>
          <w:p w14:paraId="512C7A7B" w14:textId="77777777" w:rsidR="001275EF" w:rsidRPr="00CF5641" w:rsidRDefault="001275EF" w:rsidP="00CF5641">
            <w:pPr>
              <w:pStyle w:val="Bullet1"/>
              <w:numPr>
                <w:ilvl w:val="0"/>
                <w:numId w:val="0"/>
              </w:numPr>
              <w:rPr>
                <w:sz w:val="20"/>
              </w:rPr>
            </w:pPr>
            <w:r w:rsidRPr="00CF5641">
              <w:rPr>
                <w:i/>
                <w:sz w:val="20"/>
              </w:rPr>
              <w:t>1.1.1 Completeness and availability of the NDIS Quality and Safeguards Commission</w:t>
            </w:r>
            <w:r w:rsidRPr="00CF5641">
              <w:rPr>
                <w:sz w:val="20"/>
              </w:rPr>
              <w:t xml:space="preserve"> Communications and Engagement Framework</w:t>
            </w:r>
          </w:p>
        </w:tc>
        <w:tc>
          <w:tcPr>
            <w:tcW w:w="6804" w:type="dxa"/>
          </w:tcPr>
          <w:p w14:paraId="343FA06D" w14:textId="3D3D9121" w:rsidR="00B10A52" w:rsidRPr="004D2648" w:rsidRDefault="001275EF" w:rsidP="004D2648">
            <w:pPr>
              <w:pStyle w:val="Bullet1"/>
              <w:rPr>
                <w:sz w:val="20"/>
              </w:rPr>
            </w:pPr>
            <w:r w:rsidRPr="00CF5641">
              <w:rPr>
                <w:sz w:val="20"/>
              </w:rPr>
              <w:t>The 2018–2020 NDIS Quality and Safeguards Commission Engagement Framework is published on the NDIS Commission intranet. This guides the approach taken to communicating with the sector in a structured and considered manner.</w:t>
            </w:r>
          </w:p>
        </w:tc>
      </w:tr>
      <w:tr w:rsidR="001275EF" w14:paraId="70D62FEE" w14:textId="77777777" w:rsidTr="00316738">
        <w:trPr>
          <w:cantSplit/>
        </w:trPr>
        <w:tc>
          <w:tcPr>
            <w:tcW w:w="3256" w:type="dxa"/>
          </w:tcPr>
          <w:p w14:paraId="296FE5BB" w14:textId="77777777" w:rsidR="001275EF" w:rsidRPr="00CF5641" w:rsidRDefault="001275EF" w:rsidP="00CF5641">
            <w:pPr>
              <w:pStyle w:val="Bullet1"/>
              <w:numPr>
                <w:ilvl w:val="0"/>
                <w:numId w:val="0"/>
              </w:numPr>
              <w:rPr>
                <w:i/>
                <w:sz w:val="20"/>
              </w:rPr>
            </w:pPr>
            <w:r w:rsidRPr="00CF5641">
              <w:rPr>
                <w:i/>
                <w:sz w:val="20"/>
              </w:rPr>
              <w:lastRenderedPageBreak/>
              <w:t>1.1.2 Evidence of regular consultations or engagement with stakeholders on policies and procedures</w:t>
            </w:r>
          </w:p>
          <w:p w14:paraId="44CD035C" w14:textId="77777777" w:rsidR="001275EF" w:rsidRPr="00CF5641" w:rsidRDefault="001275EF" w:rsidP="003251D3">
            <w:pPr>
              <w:pStyle w:val="Heading3"/>
              <w:outlineLvl w:val="2"/>
              <w:rPr>
                <w:sz w:val="20"/>
                <w:szCs w:val="20"/>
              </w:rPr>
            </w:pPr>
          </w:p>
        </w:tc>
        <w:tc>
          <w:tcPr>
            <w:tcW w:w="6804" w:type="dxa"/>
          </w:tcPr>
          <w:p w14:paraId="0806C4C1" w14:textId="77777777" w:rsidR="001275EF" w:rsidRPr="00CF5641" w:rsidRDefault="001275EF" w:rsidP="00CF5641">
            <w:pPr>
              <w:pStyle w:val="Bullet1"/>
              <w:rPr>
                <w:sz w:val="20"/>
              </w:rPr>
            </w:pPr>
            <w:r w:rsidRPr="00CF5641">
              <w:rPr>
                <w:sz w:val="20"/>
              </w:rPr>
              <w:t xml:space="preserve">To date, </w:t>
            </w:r>
            <w:r w:rsidR="00327733" w:rsidRPr="00CF5641">
              <w:rPr>
                <w:sz w:val="20"/>
              </w:rPr>
              <w:t xml:space="preserve">we have conducted </w:t>
            </w:r>
            <w:r w:rsidRPr="00CF5641">
              <w:rPr>
                <w:sz w:val="20"/>
              </w:rPr>
              <w:t>more than 1,000 engagement activities</w:t>
            </w:r>
            <w:r w:rsidR="00327733" w:rsidRPr="00CF5641">
              <w:rPr>
                <w:sz w:val="20"/>
              </w:rPr>
              <w:t xml:space="preserve"> </w:t>
            </w:r>
            <w:r w:rsidRPr="00CF5641">
              <w:rPr>
                <w:sz w:val="20"/>
              </w:rPr>
              <w:t>across Australia (online and face-to-face, depending on COVID restrictions), involving approximately 23,600 attendees</w:t>
            </w:r>
            <w:r w:rsidR="007C6422" w:rsidRPr="00CF5641">
              <w:rPr>
                <w:sz w:val="20"/>
              </w:rPr>
              <w:t xml:space="preserve"> –</w:t>
            </w:r>
            <w:r w:rsidRPr="00CF5641">
              <w:rPr>
                <w:sz w:val="20"/>
              </w:rPr>
              <w:t xml:space="preserve"> predominantly NDIS participants, their supporters, representatives and advocates.</w:t>
            </w:r>
          </w:p>
          <w:p w14:paraId="06B6DBE9" w14:textId="7D4368A4" w:rsidR="001275EF" w:rsidRPr="00CF5641" w:rsidRDefault="005E3B43" w:rsidP="00CF5641">
            <w:pPr>
              <w:pStyle w:val="Bullet1"/>
              <w:rPr>
                <w:sz w:val="20"/>
              </w:rPr>
            </w:pPr>
            <w:r>
              <w:rPr>
                <w:sz w:val="20"/>
              </w:rPr>
              <w:t>In October 2020, the</w:t>
            </w:r>
            <w:r w:rsidR="007C6422" w:rsidRPr="00CF5641">
              <w:rPr>
                <w:sz w:val="20"/>
              </w:rPr>
              <w:t xml:space="preserve"> </w:t>
            </w:r>
            <w:r w:rsidR="001275EF" w:rsidRPr="00CF5641">
              <w:rPr>
                <w:sz w:val="20"/>
              </w:rPr>
              <w:t>National Engagement Team</w:t>
            </w:r>
            <w:r w:rsidR="007C6422" w:rsidRPr="00CF5641">
              <w:rPr>
                <w:sz w:val="20"/>
              </w:rPr>
              <w:t xml:space="preserve"> </w:t>
            </w:r>
            <w:r>
              <w:rPr>
                <w:sz w:val="20"/>
              </w:rPr>
              <w:t>was commenced</w:t>
            </w:r>
            <w:r w:rsidR="001275EF" w:rsidRPr="00CF5641">
              <w:rPr>
                <w:sz w:val="20"/>
              </w:rPr>
              <w:t xml:space="preserve"> to proactively reach out directly to NDIS participants, their families and carers, advocat</w:t>
            </w:r>
            <w:r w:rsidR="007C6422" w:rsidRPr="00CF5641">
              <w:rPr>
                <w:sz w:val="20"/>
              </w:rPr>
              <w:t xml:space="preserve">es and representatives. The team </w:t>
            </w:r>
            <w:r w:rsidR="001275EF" w:rsidRPr="00CF5641">
              <w:rPr>
                <w:sz w:val="20"/>
              </w:rPr>
              <w:t>developed the National Engagement Plan 2021 and the Aboriginal and Torres Strait Islander Engagement Plan 2021, which set out priorities and approaches, methods and main messages for engageme</w:t>
            </w:r>
            <w:r w:rsidR="007C6422" w:rsidRPr="00CF5641">
              <w:rPr>
                <w:sz w:val="20"/>
              </w:rPr>
              <w:t>nt with people with disability. C</w:t>
            </w:r>
            <w:r w:rsidR="001275EF" w:rsidRPr="00CF5641">
              <w:rPr>
                <w:sz w:val="20"/>
              </w:rPr>
              <w:t xml:space="preserve">ollaborative working relationships </w:t>
            </w:r>
            <w:r w:rsidR="007C6422" w:rsidRPr="00CF5641">
              <w:rPr>
                <w:sz w:val="20"/>
              </w:rPr>
              <w:t xml:space="preserve">were established </w:t>
            </w:r>
            <w:r w:rsidR="001275EF" w:rsidRPr="00CF5641">
              <w:rPr>
                <w:sz w:val="20"/>
              </w:rPr>
              <w:t>with key repr</w:t>
            </w:r>
            <w:r w:rsidR="007C6422" w:rsidRPr="00CF5641">
              <w:rPr>
                <w:sz w:val="20"/>
              </w:rPr>
              <w:t>esentative and advocacy bodies, and</w:t>
            </w:r>
            <w:r w:rsidR="001275EF" w:rsidRPr="00CF5641">
              <w:rPr>
                <w:sz w:val="20"/>
              </w:rPr>
              <w:t xml:space="preserve"> significant strategic interactions</w:t>
            </w:r>
            <w:r w:rsidR="007C6422" w:rsidRPr="00CF5641">
              <w:rPr>
                <w:sz w:val="20"/>
              </w:rPr>
              <w:t xml:space="preserve"> were conducted</w:t>
            </w:r>
            <w:r w:rsidR="001275EF" w:rsidRPr="00CF5641">
              <w:rPr>
                <w:sz w:val="20"/>
              </w:rPr>
              <w:t xml:space="preserve"> with several branches of the National Disability Insurance Agency (NDIA). </w:t>
            </w:r>
          </w:p>
          <w:p w14:paraId="301F2B2C" w14:textId="77777777" w:rsidR="00E74AF8" w:rsidRPr="00CF5641" w:rsidRDefault="00E74AF8" w:rsidP="00CF5641">
            <w:pPr>
              <w:pStyle w:val="Bullet1"/>
              <w:rPr>
                <w:sz w:val="20"/>
              </w:rPr>
            </w:pPr>
            <w:r w:rsidRPr="00CF5641">
              <w:rPr>
                <w:sz w:val="20"/>
              </w:rPr>
              <w:t xml:space="preserve">We have two consultative committees, representing the disability sector – comprising national organisations representing the interests of people with disability – and the industry, comprising national peak bodies and associations representing the various industries that make up the NDIS market. </w:t>
            </w:r>
            <w:r w:rsidR="00327733" w:rsidRPr="00CF5641">
              <w:rPr>
                <w:sz w:val="20"/>
              </w:rPr>
              <w:t>Each committee</w:t>
            </w:r>
            <w:r w:rsidRPr="00CF5641">
              <w:rPr>
                <w:sz w:val="20"/>
              </w:rPr>
              <w:t xml:space="preserve"> meet</w:t>
            </w:r>
            <w:r w:rsidR="00327733" w:rsidRPr="00CF5641">
              <w:rPr>
                <w:sz w:val="20"/>
              </w:rPr>
              <w:t>s</w:t>
            </w:r>
            <w:r w:rsidRPr="00CF5641">
              <w:rPr>
                <w:sz w:val="20"/>
              </w:rPr>
              <w:t xml:space="preserve"> three times a</w:t>
            </w:r>
            <w:r w:rsidR="00327733" w:rsidRPr="00CF5641">
              <w:rPr>
                <w:sz w:val="20"/>
              </w:rPr>
              <w:t xml:space="preserve"> year, </w:t>
            </w:r>
            <w:r w:rsidRPr="00CF5641">
              <w:rPr>
                <w:sz w:val="20"/>
              </w:rPr>
              <w:t xml:space="preserve">with agendas including a mixture of Commission updates on the progressive implementation and development of functions, and discussion on issues identified by members or Commission executives. </w:t>
            </w:r>
          </w:p>
          <w:p w14:paraId="36C8134C" w14:textId="77777777" w:rsidR="00E74AF8" w:rsidRPr="00555C58" w:rsidRDefault="00E74AF8" w:rsidP="00CF5641">
            <w:pPr>
              <w:pStyle w:val="Bullet1"/>
              <w:rPr>
                <w:sz w:val="20"/>
              </w:rPr>
            </w:pPr>
            <w:r w:rsidRPr="00CF5641">
              <w:rPr>
                <w:sz w:val="20"/>
              </w:rPr>
              <w:t xml:space="preserve">In consultation with relevant Commonwealth agencies and state jurisdictions, we initiate and participate in a rolling program of policy and operational issues. During 2020–21, we instigated initiatives such as a targeted project with the objectives of strengthening supports and protections for people with disability at risk of harm, progressing the development of information disclosure schedules with state/territory and Commonwealth agencies, and providing input into </w:t>
            </w:r>
            <w:hyperlink r:id="rId28" w:history="1">
              <w:r w:rsidRPr="00555C58">
                <w:rPr>
                  <w:rStyle w:val="Hyperlink"/>
                  <w:sz w:val="20"/>
                </w:rPr>
                <w:t>Australia’s Disability Strategy 2021–2031</w:t>
              </w:r>
            </w:hyperlink>
            <w:r w:rsidRPr="00555C58">
              <w:rPr>
                <w:rStyle w:val="Hyperlink"/>
                <w:sz w:val="20"/>
              </w:rPr>
              <w:t>.</w:t>
            </w:r>
          </w:p>
          <w:p w14:paraId="34991C0F" w14:textId="77777777" w:rsidR="001275EF" w:rsidRPr="00CF5641" w:rsidRDefault="00E74AF8" w:rsidP="00067917">
            <w:pPr>
              <w:pStyle w:val="Bullet1"/>
              <w:rPr>
                <w:sz w:val="20"/>
              </w:rPr>
            </w:pPr>
            <w:r w:rsidRPr="00CF5641">
              <w:rPr>
                <w:sz w:val="20"/>
              </w:rPr>
              <w:t>All phases of the NDIS Workforce Capability Framework (WCF) Project were underpinned by solid stakeholder consultation with NDIS participants, providers and workers, peak bodies and advocacy groups, researchers and sector experts, education and training providers, and government representatives. In the first quarter of 2020-21, 92 engagement activities were conducted with 308 stakeholders as part of finalising the development stage. From October 2020 to June 2021, an additional 130 stakeholders from across the disability sector were consulted regarding WCF implementation and the development of a purpose built website to house an interactive version of the WCF.</w:t>
            </w:r>
          </w:p>
        </w:tc>
      </w:tr>
    </w:tbl>
    <w:p w14:paraId="7F0AB335" w14:textId="13D688EF" w:rsidR="00CF5641" w:rsidRDefault="00CF5641">
      <w:pPr>
        <w:suppressAutoHyphens w:val="0"/>
        <w:spacing w:before="120" w:after="120" w:line="240" w:lineRule="auto"/>
        <w:rPr>
          <w:rFonts w:asciiTheme="majorHAnsi" w:eastAsiaTheme="majorEastAsia" w:hAnsiTheme="majorHAnsi" w:cstheme="majorBidi"/>
          <w:b/>
          <w:color w:val="auto"/>
          <w:sz w:val="26"/>
          <w:szCs w:val="24"/>
        </w:rPr>
      </w:pPr>
    </w:p>
    <w:p w14:paraId="5889FC20" w14:textId="77777777" w:rsidR="00327733" w:rsidRDefault="003251D3" w:rsidP="003251D3">
      <w:pPr>
        <w:pStyle w:val="Heading3"/>
      </w:pPr>
      <w:bookmarkStart w:id="14" w:name="_Toc128477919"/>
      <w:r w:rsidRPr="003251D3">
        <w:lastRenderedPageBreak/>
        <w:t xml:space="preserve">Measure 1.2: </w:t>
      </w:r>
      <w:r w:rsidRPr="00D65DFC">
        <w:t>We take actions to minimise the potential for unintended negative impacts of regulatory activities on regulated entities or affected supplier industry or supply chains</w:t>
      </w:r>
      <w:bookmarkEnd w:id="14"/>
    </w:p>
    <w:tbl>
      <w:tblPr>
        <w:tblStyle w:val="TableGrid"/>
        <w:tblW w:w="10060" w:type="dxa"/>
        <w:tblLook w:val="04A0" w:firstRow="1" w:lastRow="0" w:firstColumn="1" w:lastColumn="0" w:noHBand="0" w:noVBand="1"/>
        <w:tblDescription w:val="This table details measures and responses in relation to regulatory performance measure 1.2. "/>
      </w:tblPr>
      <w:tblGrid>
        <w:gridCol w:w="2972"/>
        <w:gridCol w:w="7088"/>
      </w:tblGrid>
      <w:tr w:rsidR="00327733" w14:paraId="4104D7D2" w14:textId="77777777" w:rsidTr="00FA7EC3">
        <w:trPr>
          <w:cantSplit/>
          <w:tblHeader/>
        </w:trPr>
        <w:tc>
          <w:tcPr>
            <w:tcW w:w="2972" w:type="dxa"/>
            <w:shd w:val="clear" w:color="auto" w:fill="612C69"/>
          </w:tcPr>
          <w:p w14:paraId="409A4BD7" w14:textId="77777777" w:rsidR="00327733" w:rsidRPr="00FA7EC3" w:rsidRDefault="00327733" w:rsidP="005351A4">
            <w:pPr>
              <w:rPr>
                <w:b/>
                <w:color w:val="FFFFFF" w:themeColor="background1"/>
              </w:rPr>
            </w:pPr>
            <w:r w:rsidRPr="00FA7EC3">
              <w:rPr>
                <w:b/>
                <w:color w:val="FFFFFF" w:themeColor="background1"/>
              </w:rPr>
              <w:t>Requirement</w:t>
            </w:r>
          </w:p>
        </w:tc>
        <w:tc>
          <w:tcPr>
            <w:tcW w:w="7088" w:type="dxa"/>
            <w:shd w:val="clear" w:color="auto" w:fill="612C69"/>
          </w:tcPr>
          <w:p w14:paraId="7A5C4660" w14:textId="77777777" w:rsidR="00327733" w:rsidRPr="00FA7EC3" w:rsidRDefault="00327733"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327733" w14:paraId="5A2798BB" w14:textId="77777777" w:rsidTr="00316738">
        <w:trPr>
          <w:cantSplit/>
        </w:trPr>
        <w:tc>
          <w:tcPr>
            <w:tcW w:w="2972" w:type="dxa"/>
          </w:tcPr>
          <w:p w14:paraId="71D8725F" w14:textId="77777777" w:rsidR="00327733" w:rsidRPr="00CF5641" w:rsidRDefault="00327733" w:rsidP="005351A4">
            <w:pPr>
              <w:pStyle w:val="Bullet1"/>
              <w:numPr>
                <w:ilvl w:val="0"/>
                <w:numId w:val="0"/>
              </w:numPr>
              <w:rPr>
                <w:sz w:val="20"/>
              </w:rPr>
            </w:pPr>
            <w:r w:rsidRPr="00CF5641">
              <w:rPr>
                <w:bCs/>
                <w:i/>
                <w:sz w:val="20"/>
              </w:rPr>
              <w:t>1.2.1 Documented use of the feedback received from regulated entities, including feedback from existing complaint mechanisms</w:t>
            </w:r>
          </w:p>
        </w:tc>
        <w:tc>
          <w:tcPr>
            <w:tcW w:w="7088" w:type="dxa"/>
          </w:tcPr>
          <w:p w14:paraId="17A8939C" w14:textId="77777777" w:rsidR="00327733" w:rsidRPr="00CF5641" w:rsidRDefault="00327733" w:rsidP="00CF5641">
            <w:pPr>
              <w:pStyle w:val="Bullet1"/>
              <w:rPr>
                <w:sz w:val="20"/>
              </w:rPr>
            </w:pPr>
            <w:r w:rsidRPr="00CF5641">
              <w:rPr>
                <w:sz w:val="20"/>
              </w:rPr>
              <w:t>There was significant engagement throughout 2020-21 with providers, disability industry groups and disability specialists in relation to a number of regulatory activities including:</w:t>
            </w:r>
          </w:p>
          <w:p w14:paraId="39338D22" w14:textId="77777777" w:rsidR="00327733" w:rsidRPr="00CF5641" w:rsidRDefault="00327733" w:rsidP="00042912">
            <w:pPr>
              <w:pStyle w:val="Bullet2"/>
              <w:spacing w:before="40" w:after="40"/>
              <w:rPr>
                <w:sz w:val="20"/>
              </w:rPr>
            </w:pPr>
            <w:r w:rsidRPr="00CF5641">
              <w:rPr>
                <w:sz w:val="20"/>
              </w:rPr>
              <w:t>the transition of residential aged care providers to the regulatory purview of the NDIS Commission</w:t>
            </w:r>
          </w:p>
          <w:p w14:paraId="09BA1371" w14:textId="77777777" w:rsidR="00327733" w:rsidRPr="00CF5641" w:rsidRDefault="00327733" w:rsidP="00042912">
            <w:pPr>
              <w:pStyle w:val="Bullet2"/>
              <w:spacing w:before="40" w:after="40"/>
              <w:rPr>
                <w:sz w:val="20"/>
              </w:rPr>
            </w:pPr>
            <w:r w:rsidRPr="00CF5641">
              <w:rPr>
                <w:sz w:val="20"/>
              </w:rPr>
              <w:t>development of additional NDIS Practice Standards for mealtime management, severe dysphagia, and emergency and disaster management.</w:t>
            </w:r>
          </w:p>
          <w:p w14:paraId="42889178" w14:textId="75AF042E" w:rsidR="00327733" w:rsidRPr="00CF5641" w:rsidRDefault="00327733" w:rsidP="00327733">
            <w:pPr>
              <w:pStyle w:val="Bullet1"/>
              <w:rPr>
                <w:sz w:val="20"/>
              </w:rPr>
            </w:pPr>
            <w:r w:rsidRPr="00CF5641">
              <w:rPr>
                <w:sz w:val="20"/>
              </w:rPr>
              <w:t xml:space="preserve">Negative feedback received from providers regarding the Commission’s </w:t>
            </w:r>
            <w:r w:rsidR="00750AF4">
              <w:rPr>
                <w:sz w:val="20"/>
              </w:rPr>
              <w:t xml:space="preserve">processes and </w:t>
            </w:r>
            <w:r w:rsidRPr="00CF5641">
              <w:rPr>
                <w:sz w:val="20"/>
              </w:rPr>
              <w:t xml:space="preserve">functions was escalated for assessment and action </w:t>
            </w:r>
            <w:r w:rsidR="00750AF4">
              <w:rPr>
                <w:sz w:val="20"/>
              </w:rPr>
              <w:t>where</w:t>
            </w:r>
            <w:r w:rsidRPr="00CF5641">
              <w:rPr>
                <w:sz w:val="20"/>
              </w:rPr>
              <w:t xml:space="preserve"> appropriate.</w:t>
            </w:r>
          </w:p>
          <w:p w14:paraId="0C418402" w14:textId="77777777" w:rsidR="00327733" w:rsidRPr="00CF5641" w:rsidRDefault="00327733" w:rsidP="00CF5641">
            <w:pPr>
              <w:pStyle w:val="Bullet1"/>
              <w:rPr>
                <w:sz w:val="20"/>
              </w:rPr>
            </w:pPr>
            <w:r w:rsidRPr="00CF5641">
              <w:rPr>
                <w:sz w:val="20"/>
              </w:rPr>
              <w:t xml:space="preserve">We implemented a change program to better prioritise and improve responsiveness to complaints to (and about) the Commission. As of the end of </w:t>
            </w:r>
            <w:r w:rsidR="00DA4E63" w:rsidRPr="00CF5641">
              <w:rPr>
                <w:sz w:val="20"/>
              </w:rPr>
              <w:t>2020–21,</w:t>
            </w:r>
            <w:r w:rsidRPr="00CF5641">
              <w:rPr>
                <w:sz w:val="20"/>
              </w:rPr>
              <w:t xml:space="preserve"> </w:t>
            </w:r>
            <w:r w:rsidR="000B7B52" w:rsidRPr="00CF5641">
              <w:rPr>
                <w:sz w:val="20"/>
              </w:rPr>
              <w:t>we</w:t>
            </w:r>
            <w:r w:rsidRPr="00CF5641">
              <w:rPr>
                <w:sz w:val="20"/>
              </w:rPr>
              <w:t xml:space="preserve"> had completed implementing the model and begun work on the development and implementation of a Quality Assurance Framework, which will include a more assertive feedback process for NDIS providers.</w:t>
            </w:r>
          </w:p>
          <w:p w14:paraId="48720B48" w14:textId="77777777" w:rsidR="00327733" w:rsidRPr="00CF5641" w:rsidRDefault="00327733" w:rsidP="00CF5641">
            <w:pPr>
              <w:pStyle w:val="Bullet1"/>
              <w:rPr>
                <w:sz w:val="20"/>
              </w:rPr>
            </w:pPr>
            <w:r w:rsidRPr="00CF5641">
              <w:rPr>
                <w:sz w:val="20"/>
              </w:rPr>
              <w:t>Our Advocacy Fora strengthened our relationships with advocates across Australia, providing</w:t>
            </w:r>
            <w:r w:rsidR="00DA4E63">
              <w:rPr>
                <w:sz w:val="20"/>
              </w:rPr>
              <w:t xml:space="preserve"> us with feedback </w:t>
            </w:r>
            <w:r w:rsidRPr="00CF5641">
              <w:rPr>
                <w:sz w:val="20"/>
              </w:rPr>
              <w:t>about people’s experience with the Commission, a</w:t>
            </w:r>
            <w:r w:rsidR="00466AC2" w:rsidRPr="00CF5641">
              <w:rPr>
                <w:sz w:val="20"/>
              </w:rPr>
              <w:t>nd</w:t>
            </w:r>
            <w:r w:rsidRPr="00CF5641">
              <w:rPr>
                <w:sz w:val="20"/>
              </w:rPr>
              <w:t xml:space="preserve"> quality and safety issues </w:t>
            </w:r>
            <w:r w:rsidR="00DA4E63" w:rsidRPr="00CF5641">
              <w:rPr>
                <w:sz w:val="20"/>
              </w:rPr>
              <w:t>affecting</w:t>
            </w:r>
            <w:r w:rsidRPr="00CF5641">
              <w:rPr>
                <w:sz w:val="20"/>
              </w:rPr>
              <w:t xml:space="preserve"> people with disability. </w:t>
            </w:r>
          </w:p>
        </w:tc>
      </w:tr>
      <w:tr w:rsidR="00327733" w14:paraId="6891B867" w14:textId="77777777" w:rsidTr="00555C58">
        <w:trPr>
          <w:cantSplit/>
          <w:trHeight w:val="2006"/>
        </w:trPr>
        <w:tc>
          <w:tcPr>
            <w:tcW w:w="2972" w:type="dxa"/>
          </w:tcPr>
          <w:p w14:paraId="3C1B1407" w14:textId="77777777" w:rsidR="00892EE8" w:rsidRPr="00CF5641" w:rsidRDefault="00892EE8" w:rsidP="00CF5641">
            <w:pPr>
              <w:pStyle w:val="Bullet1"/>
              <w:numPr>
                <w:ilvl w:val="0"/>
                <w:numId w:val="0"/>
              </w:numPr>
              <w:rPr>
                <w:b/>
                <w:bCs/>
                <w:i/>
                <w:sz w:val="20"/>
              </w:rPr>
            </w:pPr>
            <w:r w:rsidRPr="00CF5641">
              <w:rPr>
                <w:bCs/>
                <w:i/>
                <w:sz w:val="20"/>
              </w:rPr>
              <w:t>1.2.2 An accessible complaint mechanism is maintained</w:t>
            </w:r>
            <w:r w:rsidRPr="00CF5641">
              <w:rPr>
                <w:b/>
                <w:bCs/>
                <w:i/>
                <w:sz w:val="20"/>
                <w:vertAlign w:val="superscript"/>
              </w:rPr>
              <w:footnoteReference w:id="1"/>
            </w:r>
          </w:p>
          <w:p w14:paraId="75DC1F11" w14:textId="77777777" w:rsidR="00327733" w:rsidRPr="00CF5641" w:rsidRDefault="00327733" w:rsidP="005351A4">
            <w:pPr>
              <w:pStyle w:val="Heading3"/>
              <w:outlineLvl w:val="2"/>
              <w:rPr>
                <w:sz w:val="20"/>
                <w:szCs w:val="20"/>
              </w:rPr>
            </w:pPr>
          </w:p>
        </w:tc>
        <w:tc>
          <w:tcPr>
            <w:tcW w:w="7088" w:type="dxa"/>
          </w:tcPr>
          <w:p w14:paraId="18A0B6CE" w14:textId="4C2F7C6E" w:rsidR="00327733" w:rsidRPr="00CF5641" w:rsidRDefault="00892EE8" w:rsidP="00555C58">
            <w:pPr>
              <w:pStyle w:val="Bullet1"/>
              <w:numPr>
                <w:ilvl w:val="0"/>
                <w:numId w:val="0"/>
              </w:numPr>
              <w:spacing w:before="120" w:after="120" w:line="276" w:lineRule="auto"/>
              <w:rPr>
                <w:rFonts w:ascii="Calibri" w:hAnsi="Calibri" w:cs="Calibri"/>
                <w:color w:val="auto"/>
                <w:spacing w:val="4"/>
                <w:sz w:val="20"/>
              </w:rPr>
            </w:pPr>
            <w:r w:rsidRPr="00CF5641">
              <w:rPr>
                <w:sz w:val="20"/>
              </w:rPr>
              <w:t xml:space="preserve">Our accessible </w:t>
            </w:r>
            <w:hyperlink r:id="rId29" w:history="1">
              <w:r w:rsidRPr="00555C58">
                <w:rPr>
                  <w:rStyle w:val="Hyperlink"/>
                  <w:sz w:val="20"/>
                </w:rPr>
                <w:t>feedback and complaints</w:t>
              </w:r>
            </w:hyperlink>
            <w:r w:rsidRPr="00CF5641">
              <w:rPr>
                <w:sz w:val="20"/>
              </w:rPr>
              <w:t xml:space="preserve"> mechanism is maintained on the NDIS Commission’s website</w:t>
            </w:r>
            <w:r w:rsidR="00DA4E63">
              <w:rPr>
                <w:sz w:val="20"/>
              </w:rPr>
              <w:t xml:space="preserve">. It </w:t>
            </w:r>
            <w:r w:rsidRPr="00CF5641">
              <w:rPr>
                <w:sz w:val="20"/>
              </w:rPr>
              <w:t xml:space="preserve">provides several options for an accessible, direct line to the NDIS Commission for providers and participants wanting to inform us of concerns they may have about our decisions or activities, as well as information about their communications and how they will be handled, and a link to our complaints and feedback policy.  </w:t>
            </w:r>
          </w:p>
        </w:tc>
      </w:tr>
    </w:tbl>
    <w:p w14:paraId="395C30C5" w14:textId="77777777" w:rsidR="00F80F25" w:rsidRDefault="00F80F25" w:rsidP="00677B67"/>
    <w:p w14:paraId="20C7B7E1" w14:textId="77777777" w:rsidR="00F80F25" w:rsidRDefault="00F80F25">
      <w:pPr>
        <w:suppressAutoHyphens w:val="0"/>
        <w:spacing w:before="120" w:after="120" w:line="240" w:lineRule="auto"/>
        <w:rPr>
          <w:rFonts w:asciiTheme="majorHAnsi" w:eastAsiaTheme="majorEastAsia" w:hAnsiTheme="majorHAnsi" w:cstheme="majorBidi"/>
          <w:b/>
          <w:color w:val="5F2E74" w:themeColor="text2"/>
          <w:sz w:val="26"/>
          <w:szCs w:val="24"/>
        </w:rPr>
      </w:pPr>
      <w:r>
        <w:br w:type="page"/>
      </w:r>
    </w:p>
    <w:p w14:paraId="28E60310" w14:textId="77777777" w:rsidR="004A3CFC" w:rsidRDefault="003251D3" w:rsidP="003251D3">
      <w:pPr>
        <w:pStyle w:val="Heading3"/>
      </w:pPr>
      <w:bookmarkStart w:id="15" w:name="_Toc128477920"/>
      <w:r w:rsidRPr="003251D3">
        <w:lastRenderedPageBreak/>
        <w:t>Measure 1.3: We implement continuous improvement strategies to reduce the costs of compliance for the entities we regulate</w:t>
      </w:r>
      <w:bookmarkEnd w:id="15"/>
    </w:p>
    <w:tbl>
      <w:tblPr>
        <w:tblStyle w:val="TableGrid"/>
        <w:tblW w:w="10060" w:type="dxa"/>
        <w:tblLook w:val="04A0" w:firstRow="1" w:lastRow="0" w:firstColumn="1" w:lastColumn="0" w:noHBand="0" w:noVBand="1"/>
        <w:tblDescription w:val="This table details measures and responses in relation to regulatory performance measure 1.3. "/>
      </w:tblPr>
      <w:tblGrid>
        <w:gridCol w:w="2972"/>
        <w:gridCol w:w="7088"/>
      </w:tblGrid>
      <w:tr w:rsidR="004A3CFC" w14:paraId="079F50BE" w14:textId="77777777" w:rsidTr="00FA7EC3">
        <w:trPr>
          <w:cantSplit/>
          <w:tblHeader/>
        </w:trPr>
        <w:tc>
          <w:tcPr>
            <w:tcW w:w="2972" w:type="dxa"/>
            <w:shd w:val="clear" w:color="auto" w:fill="612C69"/>
          </w:tcPr>
          <w:p w14:paraId="1B104BDD" w14:textId="77777777" w:rsidR="004A3CFC" w:rsidRPr="00FA7EC3" w:rsidRDefault="004A3CFC" w:rsidP="005351A4">
            <w:pPr>
              <w:rPr>
                <w:b/>
                <w:color w:val="FFFFFF" w:themeColor="background1"/>
              </w:rPr>
            </w:pPr>
            <w:r w:rsidRPr="00FA7EC3">
              <w:rPr>
                <w:b/>
                <w:color w:val="FFFFFF" w:themeColor="background1"/>
              </w:rPr>
              <w:t>Requirement</w:t>
            </w:r>
          </w:p>
        </w:tc>
        <w:tc>
          <w:tcPr>
            <w:tcW w:w="7088" w:type="dxa"/>
            <w:shd w:val="clear" w:color="auto" w:fill="612C69"/>
          </w:tcPr>
          <w:p w14:paraId="5B3B28F6" w14:textId="77777777" w:rsidR="004A3CFC" w:rsidRPr="00FA7EC3" w:rsidRDefault="004A3CFC"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4A3CFC" w14:paraId="613EC882" w14:textId="77777777" w:rsidTr="00316738">
        <w:trPr>
          <w:cantSplit/>
        </w:trPr>
        <w:tc>
          <w:tcPr>
            <w:tcW w:w="2972" w:type="dxa"/>
          </w:tcPr>
          <w:p w14:paraId="05E947AB" w14:textId="77777777" w:rsidR="004A3CFC" w:rsidRPr="00CF5641" w:rsidRDefault="004A3CFC" w:rsidP="00CF5641">
            <w:pPr>
              <w:pStyle w:val="Bullet1"/>
              <w:numPr>
                <w:ilvl w:val="0"/>
                <w:numId w:val="0"/>
              </w:numPr>
              <w:rPr>
                <w:bCs/>
                <w:i/>
                <w:sz w:val="20"/>
              </w:rPr>
            </w:pPr>
            <w:r w:rsidRPr="00CF5641">
              <w:rPr>
                <w:bCs/>
                <w:i/>
                <w:sz w:val="20"/>
              </w:rPr>
              <w:t>1.3.1 Feedback from regulated entities is used to identify improvement opportunities</w:t>
            </w:r>
          </w:p>
          <w:p w14:paraId="616F18E7" w14:textId="77777777" w:rsidR="004A3CFC" w:rsidRPr="00CF5641" w:rsidRDefault="004A3CFC" w:rsidP="004A3CFC">
            <w:pPr>
              <w:pStyle w:val="Bullet1"/>
              <w:numPr>
                <w:ilvl w:val="0"/>
                <w:numId w:val="0"/>
              </w:numPr>
              <w:rPr>
                <w:sz w:val="20"/>
              </w:rPr>
            </w:pPr>
          </w:p>
        </w:tc>
        <w:tc>
          <w:tcPr>
            <w:tcW w:w="7088" w:type="dxa"/>
          </w:tcPr>
          <w:p w14:paraId="7E1B2F14" w14:textId="77777777" w:rsidR="004A3CFC" w:rsidRPr="00CF5641" w:rsidRDefault="00855796" w:rsidP="004A3CFC">
            <w:pPr>
              <w:pStyle w:val="Bullet1"/>
              <w:rPr>
                <w:sz w:val="20"/>
              </w:rPr>
            </w:pPr>
            <w:r w:rsidRPr="00CF5641">
              <w:rPr>
                <w:sz w:val="20"/>
              </w:rPr>
              <w:t>Extensive</w:t>
            </w:r>
            <w:r w:rsidR="004A3CFC" w:rsidRPr="00CF5641">
              <w:rPr>
                <w:sz w:val="20"/>
              </w:rPr>
              <w:t xml:space="preserve"> consultation with various stakeholder groups assisted and informed the transition of residential aged care providers supporting NDIS participants to the regulatory purview of the NDIS Commission</w:t>
            </w:r>
            <w:r w:rsidRPr="00CF5641">
              <w:rPr>
                <w:sz w:val="20"/>
              </w:rPr>
              <w:t>.</w:t>
            </w:r>
          </w:p>
          <w:p w14:paraId="73EA184F" w14:textId="77777777" w:rsidR="004A3CFC" w:rsidRPr="00CF5641" w:rsidRDefault="00F80F25" w:rsidP="004A3CFC">
            <w:pPr>
              <w:pStyle w:val="Bullet1"/>
              <w:rPr>
                <w:sz w:val="20"/>
              </w:rPr>
            </w:pPr>
            <w:r>
              <w:rPr>
                <w:sz w:val="20"/>
              </w:rPr>
              <w:t>We used f</w:t>
            </w:r>
            <w:r w:rsidR="004A3CFC" w:rsidRPr="00CF5641">
              <w:rPr>
                <w:sz w:val="20"/>
              </w:rPr>
              <w:t>eedback from residential aged care providers supporting NDIS participants to inform streamlined approaches to worker screening for employees working across both the NDIS and aged care sectors and the NDIS registration cycle. Engagement with the Department of Health and the Aged Care Quality and Safety Commission was essential to achieving these initiatives’ outcomes</w:t>
            </w:r>
            <w:r w:rsidR="00855796" w:rsidRPr="00CF5641">
              <w:rPr>
                <w:sz w:val="20"/>
              </w:rPr>
              <w:t>. The changes were</w:t>
            </w:r>
            <w:r w:rsidR="004A3CFC" w:rsidRPr="00CF5641">
              <w:rPr>
                <w:sz w:val="20"/>
              </w:rPr>
              <w:t xml:space="preserve"> proportionate to the level of sector risk and align</w:t>
            </w:r>
            <w:r w:rsidR="00855796" w:rsidRPr="00CF5641">
              <w:rPr>
                <w:sz w:val="20"/>
              </w:rPr>
              <w:t>ed</w:t>
            </w:r>
            <w:r w:rsidR="004A3CFC" w:rsidRPr="00CF5641">
              <w:rPr>
                <w:sz w:val="20"/>
              </w:rPr>
              <w:t xml:space="preserve"> with the Australian Government’s broader commitment to reduce regulatory burden across the care and support sector. </w:t>
            </w:r>
          </w:p>
          <w:p w14:paraId="76B38D40" w14:textId="77777777" w:rsidR="004A3CFC" w:rsidRPr="00CF5641" w:rsidRDefault="004A3CFC" w:rsidP="00CF5641">
            <w:pPr>
              <w:pStyle w:val="Bullet1"/>
              <w:rPr>
                <w:sz w:val="20"/>
              </w:rPr>
            </w:pPr>
            <w:r w:rsidRPr="00CF5641">
              <w:rPr>
                <w:sz w:val="20"/>
              </w:rPr>
              <w:t>Changes were made to the NDIS Practice Standards in relation to mealtime management, severe dysphagia, and emergency and disaster management, following engagement with registered providers, disability industry grou</w:t>
            </w:r>
            <w:r w:rsidR="00CF5641">
              <w:rPr>
                <w:sz w:val="20"/>
              </w:rPr>
              <w:t xml:space="preserve">ps and disability specialists. </w:t>
            </w:r>
          </w:p>
        </w:tc>
      </w:tr>
      <w:tr w:rsidR="004A3CFC" w14:paraId="6B02393A" w14:textId="77777777" w:rsidTr="00316738">
        <w:trPr>
          <w:cantSplit/>
        </w:trPr>
        <w:tc>
          <w:tcPr>
            <w:tcW w:w="2972" w:type="dxa"/>
          </w:tcPr>
          <w:p w14:paraId="409F1199" w14:textId="77777777" w:rsidR="00855796" w:rsidRPr="00042912" w:rsidRDefault="00855796" w:rsidP="00CF5641">
            <w:pPr>
              <w:pStyle w:val="Bullet1"/>
              <w:numPr>
                <w:ilvl w:val="0"/>
                <w:numId w:val="0"/>
              </w:numPr>
              <w:rPr>
                <w:bCs/>
                <w:i/>
                <w:sz w:val="20"/>
              </w:rPr>
            </w:pPr>
            <w:r w:rsidRPr="00042912">
              <w:rPr>
                <w:bCs/>
                <w:i/>
                <w:sz w:val="20"/>
              </w:rPr>
              <w:t>1.3.2 Documented evidence of how the NDIS Commission responds to complaints made to the Ombudsman about the NDIS Commission</w:t>
            </w:r>
          </w:p>
          <w:p w14:paraId="3172E36A" w14:textId="77777777" w:rsidR="004A3CFC" w:rsidRPr="00042912" w:rsidRDefault="004A3CFC" w:rsidP="005351A4">
            <w:pPr>
              <w:pStyle w:val="Bullet1"/>
              <w:numPr>
                <w:ilvl w:val="0"/>
                <w:numId w:val="0"/>
              </w:numPr>
              <w:rPr>
                <w:b/>
                <w:bCs/>
                <w:i/>
                <w:sz w:val="20"/>
              </w:rPr>
            </w:pPr>
          </w:p>
          <w:p w14:paraId="1F8B2244" w14:textId="77777777" w:rsidR="004A3CFC" w:rsidRPr="00042912" w:rsidRDefault="004A3CFC" w:rsidP="005351A4">
            <w:pPr>
              <w:pStyle w:val="Heading3"/>
              <w:outlineLvl w:val="2"/>
              <w:rPr>
                <w:sz w:val="20"/>
                <w:szCs w:val="20"/>
              </w:rPr>
            </w:pPr>
          </w:p>
        </w:tc>
        <w:tc>
          <w:tcPr>
            <w:tcW w:w="7088" w:type="dxa"/>
          </w:tcPr>
          <w:p w14:paraId="37AE4C7E" w14:textId="10534EB0" w:rsidR="00855796" w:rsidRPr="00F80F25" w:rsidRDefault="00855796" w:rsidP="00F80F25">
            <w:pPr>
              <w:pStyle w:val="Bullet1"/>
              <w:rPr>
                <w:sz w:val="20"/>
              </w:rPr>
            </w:pPr>
            <w:r w:rsidRPr="00042912">
              <w:rPr>
                <w:sz w:val="20"/>
              </w:rPr>
              <w:t>We respond to all complaints about the Commission that the Commonwealth Ombudsman receives in accordance with our</w:t>
            </w:r>
            <w:hyperlink r:id="rId30" w:anchor="paragraph-id-2555" w:history="1">
              <w:r w:rsidRPr="00042912">
                <w:rPr>
                  <w:sz w:val="20"/>
                </w:rPr>
                <w:t xml:space="preserve"> </w:t>
              </w:r>
              <w:r w:rsidRPr="00555C58">
                <w:rPr>
                  <w:rStyle w:val="Hyperlink"/>
                  <w:sz w:val="20"/>
                </w:rPr>
                <w:t>complaints and feedback policy</w:t>
              </w:r>
            </w:hyperlink>
            <w:r w:rsidRPr="00042912">
              <w:rPr>
                <w:sz w:val="20"/>
              </w:rPr>
              <w:t xml:space="preserve">. </w:t>
            </w:r>
            <w:r w:rsidRPr="00F80F25">
              <w:rPr>
                <w:sz w:val="20"/>
              </w:rPr>
              <w:t>During 2020–21, the Commonwealth Ombudsman’s office finalised 19 complaints after making preliminary inquiries of the NDIS Commission</w:t>
            </w:r>
            <w:r w:rsidR="00F80F25">
              <w:rPr>
                <w:sz w:val="20"/>
              </w:rPr>
              <w:t xml:space="preserve">, and </w:t>
            </w:r>
            <w:r w:rsidRPr="00F80F25">
              <w:rPr>
                <w:sz w:val="20"/>
              </w:rPr>
              <w:t xml:space="preserve">finalised three investigations without proceeding to formal findings and recommendations. The Ombudsman was generally satisfied with our explanation of any relevant action taken, or with further action the NDIS Commission proposed to take to address concerns raised.   </w:t>
            </w:r>
          </w:p>
          <w:p w14:paraId="34B943AF" w14:textId="77777777" w:rsidR="00855796" w:rsidRPr="00042912" w:rsidRDefault="00855796" w:rsidP="00CF5641">
            <w:pPr>
              <w:pStyle w:val="Bullet1"/>
              <w:rPr>
                <w:sz w:val="20"/>
              </w:rPr>
            </w:pPr>
            <w:r w:rsidRPr="00042912">
              <w:rPr>
                <w:sz w:val="20"/>
              </w:rPr>
              <w:t xml:space="preserve">Numbers or issue trends raised in complaints received by the Commonwealth Ombudsman about the NDIS Commission are an agenda item at quarterly liaison meetings held between the Commonwealth Ombudsman and the NDIS Commission’s Complaints Commissioner.  </w:t>
            </w:r>
          </w:p>
          <w:p w14:paraId="4266561C" w14:textId="77777777" w:rsidR="004A3CFC" w:rsidRPr="00042912" w:rsidRDefault="004A3CFC" w:rsidP="00CF5641">
            <w:pPr>
              <w:spacing w:before="0" w:after="0" w:line="276" w:lineRule="auto"/>
              <w:rPr>
                <w:rFonts w:ascii="Calibri" w:hAnsi="Calibri" w:cs="Calibri"/>
                <w:color w:val="auto"/>
                <w:spacing w:val="4"/>
                <w:sz w:val="20"/>
              </w:rPr>
            </w:pPr>
          </w:p>
        </w:tc>
      </w:tr>
      <w:tr w:rsidR="000B7B52" w14:paraId="02AA5147" w14:textId="77777777" w:rsidTr="00316738">
        <w:trPr>
          <w:cantSplit/>
        </w:trPr>
        <w:tc>
          <w:tcPr>
            <w:tcW w:w="2972" w:type="dxa"/>
          </w:tcPr>
          <w:p w14:paraId="4F5A43BB" w14:textId="77777777" w:rsidR="000B7B52" w:rsidRPr="00E34792" w:rsidRDefault="000B7B52" w:rsidP="00CF5641">
            <w:pPr>
              <w:pStyle w:val="Bullet1"/>
              <w:numPr>
                <w:ilvl w:val="0"/>
                <w:numId w:val="0"/>
              </w:numPr>
              <w:rPr>
                <w:bCs/>
                <w:i/>
                <w:sz w:val="20"/>
              </w:rPr>
            </w:pPr>
            <w:r w:rsidRPr="00E34792">
              <w:rPr>
                <w:bCs/>
                <w:i/>
                <w:sz w:val="20"/>
              </w:rPr>
              <w:t>1.3.3 Policies and procedures include consideration of reducing compliance costs</w:t>
            </w:r>
          </w:p>
          <w:p w14:paraId="54E538DF" w14:textId="77777777" w:rsidR="000B7B52" w:rsidRPr="00E34792" w:rsidRDefault="000B7B52" w:rsidP="00855796">
            <w:pPr>
              <w:pStyle w:val="Bullet1"/>
              <w:numPr>
                <w:ilvl w:val="0"/>
                <w:numId w:val="0"/>
              </w:numPr>
              <w:rPr>
                <w:bCs/>
                <w:i/>
                <w:sz w:val="20"/>
              </w:rPr>
            </w:pPr>
          </w:p>
        </w:tc>
        <w:tc>
          <w:tcPr>
            <w:tcW w:w="7088" w:type="dxa"/>
          </w:tcPr>
          <w:p w14:paraId="78C397FA" w14:textId="77777777" w:rsidR="000B7B52" w:rsidRPr="00E34792" w:rsidRDefault="000B7B52" w:rsidP="00214C0A">
            <w:pPr>
              <w:pStyle w:val="Bullet1"/>
              <w:rPr>
                <w:rFonts w:cstheme="minorHAnsi"/>
                <w:sz w:val="20"/>
              </w:rPr>
            </w:pPr>
            <w:r w:rsidRPr="00E34792">
              <w:rPr>
                <w:sz w:val="20"/>
              </w:rPr>
              <w:t>In 2020–21</w:t>
            </w:r>
            <w:r w:rsidR="00214C0A" w:rsidRPr="00E34792">
              <w:rPr>
                <w:sz w:val="20"/>
              </w:rPr>
              <w:t>,</w:t>
            </w:r>
            <w:r w:rsidRPr="00E34792">
              <w:rPr>
                <w:sz w:val="20"/>
              </w:rPr>
              <w:t xml:space="preserve"> </w:t>
            </w:r>
            <w:r w:rsidR="009C6D33" w:rsidRPr="00E34792">
              <w:rPr>
                <w:sz w:val="20"/>
              </w:rPr>
              <w:t>we</w:t>
            </w:r>
            <w:r w:rsidRPr="00E34792">
              <w:rPr>
                <w:sz w:val="20"/>
              </w:rPr>
              <w:t xml:space="preserve"> awarded $3.498 million in grants </w:t>
            </w:r>
            <w:r w:rsidR="009C6D33" w:rsidRPr="00E34792">
              <w:rPr>
                <w:sz w:val="20"/>
              </w:rPr>
              <w:t xml:space="preserve">via the Support for NDIS Providers Program, </w:t>
            </w:r>
            <w:r w:rsidRPr="00E34792">
              <w:rPr>
                <w:sz w:val="20"/>
              </w:rPr>
              <w:t>to projects supporting national information and education initiatives</w:t>
            </w:r>
            <w:r w:rsidR="009C6D33" w:rsidRPr="00E34792">
              <w:rPr>
                <w:sz w:val="20"/>
              </w:rPr>
              <w:t xml:space="preserve"> for NDIS providers</w:t>
            </w:r>
            <w:r w:rsidRPr="00E34792">
              <w:rPr>
                <w:sz w:val="20"/>
              </w:rPr>
              <w:t>. The</w:t>
            </w:r>
            <w:r w:rsidR="009C6D33" w:rsidRPr="00E34792">
              <w:rPr>
                <w:sz w:val="20"/>
              </w:rPr>
              <w:t xml:space="preserve"> Commission administers the program to develop tools and resources for the benefit of providers, including supporting businesses and individuals to meet quality assurance requirements.</w:t>
            </w:r>
          </w:p>
        </w:tc>
      </w:tr>
    </w:tbl>
    <w:p w14:paraId="5AFCC338" w14:textId="77777777" w:rsidR="00514F18" w:rsidRPr="0086146A" w:rsidRDefault="00514F18" w:rsidP="00CA5D22">
      <w:pPr>
        <w:tabs>
          <w:tab w:val="left" w:pos="4384"/>
        </w:tabs>
        <w:spacing w:before="0" w:after="0" w:line="276" w:lineRule="auto"/>
        <w:rPr>
          <w:rFonts w:cstheme="minorHAnsi"/>
          <w:i/>
          <w:color w:val="auto"/>
          <w:spacing w:val="4"/>
          <w:sz w:val="20"/>
        </w:rPr>
      </w:pPr>
    </w:p>
    <w:p w14:paraId="2DDA1E8D" w14:textId="77777777" w:rsidR="003251D3" w:rsidRPr="003251D3" w:rsidRDefault="003251D3" w:rsidP="003251D3">
      <w:pPr>
        <w:pStyle w:val="Heading2"/>
      </w:pPr>
      <w:bookmarkStart w:id="16" w:name="_Toc128477921"/>
      <w:r w:rsidRPr="003251D3">
        <w:lastRenderedPageBreak/>
        <w:t>KPI 2 - Communication with regulated entities is clear, targeted and effective</w:t>
      </w:r>
      <w:bookmarkEnd w:id="16"/>
    </w:p>
    <w:p w14:paraId="7DB121AF" w14:textId="05E1EFEC" w:rsidR="00AF6407" w:rsidRPr="001645E2" w:rsidRDefault="003251D3" w:rsidP="00870C23">
      <w:pPr>
        <w:suppressAutoHyphens w:val="0"/>
        <w:spacing w:before="0" w:after="120" w:line="276" w:lineRule="auto"/>
        <w:rPr>
          <w:rFonts w:cstheme="minorHAnsi"/>
          <w:i/>
          <w:color w:val="auto"/>
          <w:spacing w:val="4"/>
          <w:sz w:val="24"/>
        </w:rPr>
      </w:pPr>
      <w:r w:rsidRPr="00820CF3">
        <w:rPr>
          <w:rFonts w:cstheme="minorHAnsi"/>
          <w:i/>
          <w:color w:val="auto"/>
          <w:spacing w:val="4"/>
          <w:sz w:val="24"/>
        </w:rPr>
        <w:t>Rating:</w:t>
      </w:r>
    </w:p>
    <w:tbl>
      <w:tblPr>
        <w:tblStyle w:val="TableGrid"/>
        <w:tblW w:w="0" w:type="auto"/>
        <w:tblLook w:val="04A0" w:firstRow="1" w:lastRow="0" w:firstColumn="1" w:lastColumn="0" w:noHBand="0" w:noVBand="1"/>
        <w:tblCaption w:val="Comparison Rating KPI2"/>
        <w:tblDescription w:val="Comparison of 2019-20 rating to 2020-21"/>
      </w:tblPr>
      <w:tblGrid>
        <w:gridCol w:w="2547"/>
        <w:gridCol w:w="2693"/>
      </w:tblGrid>
      <w:tr w:rsidR="001645E2" w:rsidRPr="00E434E0" w14:paraId="7CAE30F9" w14:textId="77777777" w:rsidTr="00FA7EC3">
        <w:trPr>
          <w:tblHeader/>
        </w:trPr>
        <w:tc>
          <w:tcPr>
            <w:tcW w:w="2547" w:type="dxa"/>
            <w:shd w:val="clear" w:color="auto" w:fill="612C69"/>
            <w:vAlign w:val="center"/>
          </w:tcPr>
          <w:p w14:paraId="2391BE96"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294950D1"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1645E2" w14:paraId="6ED83769" w14:textId="77777777" w:rsidTr="001645E2">
        <w:tc>
          <w:tcPr>
            <w:tcW w:w="2547" w:type="dxa"/>
            <w:shd w:val="clear" w:color="auto" w:fill="C59BD7" w:themeFill="text2" w:themeFillTint="66"/>
          </w:tcPr>
          <w:p w14:paraId="4199B280" w14:textId="77777777" w:rsidR="001645E2" w:rsidRDefault="001645E2" w:rsidP="00E54F09">
            <w:pPr>
              <w:suppressAutoHyphens w:val="0"/>
              <w:spacing w:before="0" w:after="120" w:line="276" w:lineRule="auto"/>
              <w:rPr>
                <w:rFonts w:cstheme="minorHAnsi"/>
                <w:color w:val="auto"/>
                <w:sz w:val="20"/>
                <w:szCs w:val="22"/>
              </w:rPr>
            </w:pPr>
          </w:p>
          <w:p w14:paraId="40619DA9" w14:textId="43B39CBC" w:rsidR="001645E2" w:rsidRDefault="001645E2" w:rsidP="00E54F09">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Pr="00E434E0">
              <w:rPr>
                <w:rFonts w:cstheme="minorHAnsi"/>
                <w:color w:val="5F2E74" w:themeColor="text2"/>
                <w:sz w:val="96"/>
                <w:szCs w:val="96"/>
              </w:rPr>
              <w:sym w:font="Webdings" w:char="F0D5"/>
            </w:r>
          </w:p>
        </w:tc>
        <w:tc>
          <w:tcPr>
            <w:tcW w:w="2693" w:type="dxa"/>
          </w:tcPr>
          <w:p w14:paraId="7BEA28F8" w14:textId="77777777" w:rsidR="001645E2" w:rsidRDefault="001645E2" w:rsidP="00E54F09">
            <w:pPr>
              <w:suppressAutoHyphens w:val="0"/>
              <w:spacing w:before="0" w:after="120" w:line="276" w:lineRule="auto"/>
              <w:rPr>
                <w:rFonts w:cstheme="minorHAnsi"/>
                <w:sz w:val="20"/>
                <w:szCs w:val="22"/>
              </w:rPr>
            </w:pPr>
          </w:p>
          <w:p w14:paraId="6132A45C" w14:textId="77777777" w:rsidR="001645E2" w:rsidRDefault="001645E2" w:rsidP="00E54F09">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Pr="00E434E0">
              <w:rPr>
                <w:rFonts w:cstheme="minorHAnsi"/>
                <w:color w:val="5F2E74" w:themeColor="text2"/>
                <w:sz w:val="96"/>
                <w:szCs w:val="96"/>
              </w:rPr>
              <w:sym w:font="Webdings" w:char="F0D5"/>
            </w:r>
          </w:p>
        </w:tc>
      </w:tr>
    </w:tbl>
    <w:p w14:paraId="490BF03F" w14:textId="77777777" w:rsidR="001645E2" w:rsidRDefault="001645E2" w:rsidP="00870C23">
      <w:pPr>
        <w:suppressAutoHyphens w:val="0"/>
        <w:spacing w:before="0" w:after="120" w:line="276" w:lineRule="auto"/>
        <w:rPr>
          <w:rFonts w:cstheme="minorHAnsi"/>
          <w:color w:val="auto"/>
          <w:spacing w:val="4"/>
          <w:sz w:val="20"/>
        </w:rPr>
      </w:pPr>
    </w:p>
    <w:p w14:paraId="0F663894" w14:textId="77777777" w:rsidR="00AF6407" w:rsidRPr="00214C0A" w:rsidRDefault="00AF6407" w:rsidP="00AF6407">
      <w:pPr>
        <w:suppressAutoHyphens w:val="0"/>
        <w:spacing w:before="0" w:after="120" w:line="276" w:lineRule="auto"/>
        <w:rPr>
          <w:rFonts w:cstheme="minorHAnsi"/>
          <w:i/>
          <w:color w:val="333333"/>
          <w:spacing w:val="4"/>
          <w:sz w:val="20"/>
          <w:u w:val="single"/>
        </w:rPr>
      </w:pPr>
      <w:r w:rsidRPr="00214C0A">
        <w:rPr>
          <w:rFonts w:cstheme="minorHAnsi"/>
          <w:i/>
          <w:color w:val="333333"/>
          <w:spacing w:val="4"/>
          <w:sz w:val="20"/>
          <w:u w:val="single"/>
        </w:rPr>
        <w:t xml:space="preserve">Summary </w:t>
      </w:r>
    </w:p>
    <w:p w14:paraId="5F953EEF" w14:textId="77777777" w:rsidR="003F788A" w:rsidRDefault="00AF6407" w:rsidP="005316B6">
      <w:pPr>
        <w:suppressAutoHyphens w:val="0"/>
        <w:spacing w:before="0" w:after="120" w:line="276" w:lineRule="auto"/>
        <w:rPr>
          <w:rFonts w:cstheme="minorHAnsi"/>
          <w:i/>
          <w:color w:val="auto"/>
          <w:spacing w:val="4"/>
          <w:sz w:val="20"/>
        </w:rPr>
      </w:pPr>
      <w:r>
        <w:rPr>
          <w:rFonts w:cstheme="minorHAnsi"/>
          <w:i/>
          <w:color w:val="auto"/>
          <w:spacing w:val="4"/>
          <w:sz w:val="20"/>
        </w:rPr>
        <w:t>Throughout 2020-21, the NDIS Commission continued its provision of quality, timely internal and external communications to the benefit of all stakeholders, including regulated entities. Resources surrounding</w:t>
      </w:r>
      <w:r w:rsidR="00CB16D1">
        <w:rPr>
          <w:rFonts w:cstheme="minorHAnsi"/>
          <w:i/>
          <w:color w:val="auto"/>
          <w:spacing w:val="4"/>
          <w:sz w:val="20"/>
        </w:rPr>
        <w:t xml:space="preserve"> NDIS provider and worker guidance, including</w:t>
      </w:r>
      <w:r w:rsidR="00087143">
        <w:rPr>
          <w:rFonts w:cstheme="minorHAnsi"/>
          <w:i/>
          <w:color w:val="auto"/>
          <w:spacing w:val="4"/>
          <w:sz w:val="20"/>
        </w:rPr>
        <w:t xml:space="preserve"> </w:t>
      </w:r>
      <w:r>
        <w:rPr>
          <w:rFonts w:cstheme="minorHAnsi"/>
          <w:i/>
          <w:color w:val="auto"/>
          <w:spacing w:val="4"/>
          <w:sz w:val="20"/>
        </w:rPr>
        <w:t xml:space="preserve"> COVID-19 updates and related procedural/operational information </w:t>
      </w:r>
      <w:r w:rsidR="005316B6">
        <w:rPr>
          <w:rFonts w:cstheme="minorHAnsi"/>
          <w:i/>
          <w:color w:val="auto"/>
          <w:spacing w:val="4"/>
          <w:sz w:val="20"/>
        </w:rPr>
        <w:t>were provided via letters, emails, newsletters, social media</w:t>
      </w:r>
      <w:r w:rsidR="00CB16D1">
        <w:rPr>
          <w:rFonts w:cstheme="minorHAnsi"/>
          <w:i/>
          <w:color w:val="auto"/>
          <w:spacing w:val="4"/>
          <w:sz w:val="20"/>
        </w:rPr>
        <w:t>,</w:t>
      </w:r>
      <w:r w:rsidR="005316B6">
        <w:rPr>
          <w:rFonts w:cstheme="minorHAnsi"/>
          <w:i/>
          <w:color w:val="auto"/>
          <w:spacing w:val="4"/>
          <w:sz w:val="20"/>
        </w:rPr>
        <w:t xml:space="preserve"> </w:t>
      </w:r>
      <w:r w:rsidR="00CB16D1">
        <w:rPr>
          <w:rFonts w:cstheme="minorHAnsi"/>
          <w:i/>
          <w:color w:val="auto"/>
          <w:spacing w:val="4"/>
          <w:sz w:val="20"/>
        </w:rPr>
        <w:t xml:space="preserve">eLearning modules for NDIS workers on broad and targeted topics, </w:t>
      </w:r>
      <w:r w:rsidR="005316B6">
        <w:rPr>
          <w:rFonts w:cstheme="minorHAnsi"/>
          <w:i/>
          <w:color w:val="auto"/>
          <w:spacing w:val="4"/>
          <w:sz w:val="20"/>
        </w:rPr>
        <w:t xml:space="preserve">and on our website. The Commission also printed and distributed </w:t>
      </w:r>
      <w:r w:rsidR="005316B6" w:rsidRPr="005316B6">
        <w:rPr>
          <w:rFonts w:cstheme="minorHAnsi"/>
          <w:i/>
          <w:color w:val="auto"/>
          <w:spacing w:val="4"/>
          <w:sz w:val="20"/>
        </w:rPr>
        <w:t>3</w:t>
      </w:r>
      <w:r w:rsidR="005316B6" w:rsidRPr="00CF5641">
        <w:rPr>
          <w:rFonts w:ascii="Calibri" w:hAnsi="Calibri" w:cs="Calibri"/>
          <w:i/>
          <w:color w:val="auto"/>
          <w:spacing w:val="4"/>
          <w:sz w:val="20"/>
        </w:rPr>
        <w:t>,020 provider information packs</w:t>
      </w:r>
      <w:r>
        <w:rPr>
          <w:rFonts w:cstheme="minorHAnsi"/>
          <w:i/>
          <w:color w:val="auto"/>
          <w:spacing w:val="4"/>
          <w:sz w:val="20"/>
        </w:rPr>
        <w:t xml:space="preserve"> </w:t>
      </w:r>
      <w:r w:rsidR="005316B6">
        <w:rPr>
          <w:rFonts w:cstheme="minorHAnsi"/>
          <w:i/>
          <w:color w:val="auto"/>
          <w:spacing w:val="4"/>
          <w:sz w:val="20"/>
        </w:rPr>
        <w:t xml:space="preserve">over the year and made fact sheets available that addressed complaints and incident management, reportable incidents, and resolution guidance. </w:t>
      </w:r>
    </w:p>
    <w:p w14:paraId="7B9C475D" w14:textId="77777777" w:rsidR="005316B6" w:rsidRPr="00CF5641" w:rsidRDefault="005316B6" w:rsidP="005316B6">
      <w:pPr>
        <w:suppressAutoHyphens w:val="0"/>
        <w:spacing w:before="0" w:after="120" w:line="276" w:lineRule="auto"/>
        <w:rPr>
          <w:rFonts w:cstheme="minorHAnsi"/>
          <w:color w:val="auto"/>
          <w:spacing w:val="4"/>
          <w:sz w:val="20"/>
        </w:rPr>
      </w:pPr>
      <w:r>
        <w:rPr>
          <w:rFonts w:cstheme="minorHAnsi"/>
          <w:i/>
          <w:color w:val="auto"/>
          <w:spacing w:val="4"/>
          <w:sz w:val="20"/>
        </w:rPr>
        <w:t>Our</w:t>
      </w:r>
      <w:r w:rsidRPr="005316B6">
        <w:rPr>
          <w:rFonts w:cstheme="minorHAnsi"/>
          <w:i/>
          <w:color w:val="auto"/>
          <w:spacing w:val="4"/>
          <w:sz w:val="20"/>
        </w:rPr>
        <w:t xml:space="preserve"> regu</w:t>
      </w:r>
      <w:r w:rsidR="003F788A">
        <w:rPr>
          <w:rFonts w:cstheme="minorHAnsi"/>
          <w:i/>
          <w:color w:val="auto"/>
          <w:spacing w:val="4"/>
          <w:sz w:val="20"/>
        </w:rPr>
        <w:t xml:space="preserve">latory decisions </w:t>
      </w:r>
      <w:r w:rsidRPr="005316B6">
        <w:rPr>
          <w:rFonts w:cstheme="minorHAnsi"/>
          <w:i/>
          <w:color w:val="auto"/>
          <w:spacing w:val="4"/>
          <w:sz w:val="20"/>
        </w:rPr>
        <w:t>regarding provider applications fo</w:t>
      </w:r>
      <w:r w:rsidR="003F788A">
        <w:rPr>
          <w:rFonts w:cstheme="minorHAnsi"/>
          <w:i/>
          <w:color w:val="auto"/>
          <w:spacing w:val="4"/>
          <w:sz w:val="20"/>
        </w:rPr>
        <w:t>r registration and variation were</w:t>
      </w:r>
      <w:r w:rsidRPr="005316B6">
        <w:rPr>
          <w:rFonts w:cstheme="minorHAnsi"/>
          <w:i/>
          <w:color w:val="auto"/>
          <w:spacing w:val="4"/>
          <w:sz w:val="20"/>
        </w:rPr>
        <w:t xml:space="preserve"> communicated</w:t>
      </w:r>
      <w:r w:rsidR="003F788A">
        <w:rPr>
          <w:rFonts w:cstheme="minorHAnsi"/>
          <w:i/>
          <w:color w:val="auto"/>
          <w:spacing w:val="4"/>
          <w:sz w:val="20"/>
        </w:rPr>
        <w:t xml:space="preserve"> clearly</w:t>
      </w:r>
      <w:r w:rsidRPr="005316B6">
        <w:rPr>
          <w:rFonts w:cstheme="minorHAnsi"/>
          <w:i/>
          <w:color w:val="auto"/>
          <w:spacing w:val="4"/>
          <w:sz w:val="20"/>
        </w:rPr>
        <w:t xml:space="preserve"> vi</w:t>
      </w:r>
      <w:r w:rsidR="003F788A">
        <w:rPr>
          <w:rFonts w:cstheme="minorHAnsi"/>
          <w:i/>
          <w:color w:val="auto"/>
          <w:spacing w:val="4"/>
          <w:sz w:val="20"/>
        </w:rPr>
        <w:t>a a written notice of reasons. For further transparency, t</w:t>
      </w:r>
      <w:r w:rsidRPr="005316B6">
        <w:rPr>
          <w:rFonts w:cstheme="minorHAnsi"/>
          <w:i/>
          <w:color w:val="auto"/>
          <w:spacing w:val="4"/>
          <w:sz w:val="20"/>
        </w:rPr>
        <w:t>he NDIS Commissioner publishes the NDIS Provider Register and compliance and enforcement actions on the NDIS Commission website, in accordance with the National Disability Insurance Scheme (Provider Registration and Practice Standards) Rule 2018</w:t>
      </w:r>
      <w:r w:rsidR="003F788A">
        <w:rPr>
          <w:rFonts w:cstheme="minorHAnsi"/>
          <w:i/>
          <w:color w:val="auto"/>
          <w:spacing w:val="4"/>
          <w:sz w:val="20"/>
        </w:rPr>
        <w:t xml:space="preserve">. </w:t>
      </w:r>
      <w:r w:rsidRPr="005316B6">
        <w:rPr>
          <w:rFonts w:cstheme="minorHAnsi"/>
          <w:i/>
          <w:color w:val="auto"/>
          <w:spacing w:val="4"/>
          <w:sz w:val="20"/>
        </w:rPr>
        <w:t>The NDIS Provider Register is regularly updated by the NDIS Commission and includes reference to its last update.</w:t>
      </w:r>
    </w:p>
    <w:p w14:paraId="356AB43F" w14:textId="74ADA64B" w:rsidR="00050C46" w:rsidRDefault="003251D3" w:rsidP="003251D3">
      <w:pPr>
        <w:pStyle w:val="Heading3"/>
      </w:pPr>
      <w:bookmarkStart w:id="17" w:name="_Toc128477922"/>
      <w:r w:rsidRPr="00870C23">
        <w:t>Measure 2.1: We provide guidance and information that is up to date, clear accessible and concise through media appropriate to the target audience</w:t>
      </w:r>
      <w:bookmarkEnd w:id="17"/>
    </w:p>
    <w:tbl>
      <w:tblPr>
        <w:tblStyle w:val="TableGrid"/>
        <w:tblW w:w="9776" w:type="dxa"/>
        <w:tblLook w:val="04A0" w:firstRow="1" w:lastRow="0" w:firstColumn="1" w:lastColumn="0" w:noHBand="0" w:noVBand="1"/>
        <w:tblDescription w:val="This table details measures and responses in relation to regulatory performance measure 2.1. A summary of all the outcomes against KPI2 is available at the beginning of this section, on page 15."/>
      </w:tblPr>
      <w:tblGrid>
        <w:gridCol w:w="2972"/>
        <w:gridCol w:w="6804"/>
      </w:tblGrid>
      <w:tr w:rsidR="00050C46" w14:paraId="0351C230" w14:textId="77777777" w:rsidTr="00FA7EC3">
        <w:trPr>
          <w:cantSplit/>
          <w:tblHeader/>
        </w:trPr>
        <w:tc>
          <w:tcPr>
            <w:tcW w:w="2972" w:type="dxa"/>
            <w:shd w:val="clear" w:color="auto" w:fill="612C69"/>
          </w:tcPr>
          <w:p w14:paraId="5991994C" w14:textId="77777777" w:rsidR="00050C46" w:rsidRPr="00FA7EC3" w:rsidRDefault="00050C46" w:rsidP="005351A4">
            <w:pPr>
              <w:rPr>
                <w:b/>
                <w:color w:val="FFFFFF" w:themeColor="background1"/>
              </w:rPr>
            </w:pPr>
            <w:r w:rsidRPr="00FA7EC3">
              <w:rPr>
                <w:b/>
                <w:color w:val="FFFFFF" w:themeColor="background1"/>
              </w:rPr>
              <w:t>Requirement</w:t>
            </w:r>
          </w:p>
        </w:tc>
        <w:tc>
          <w:tcPr>
            <w:tcW w:w="6804" w:type="dxa"/>
            <w:shd w:val="clear" w:color="auto" w:fill="612C69"/>
          </w:tcPr>
          <w:p w14:paraId="41B2CC3B" w14:textId="77777777" w:rsidR="00050C46" w:rsidRPr="00FA7EC3" w:rsidRDefault="00050C46"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050C46" w14:paraId="49EA0488" w14:textId="77777777" w:rsidTr="00BC6E49">
        <w:trPr>
          <w:cantSplit/>
        </w:trPr>
        <w:tc>
          <w:tcPr>
            <w:tcW w:w="2972" w:type="dxa"/>
          </w:tcPr>
          <w:p w14:paraId="72935B3D" w14:textId="77777777" w:rsidR="00050C46" w:rsidRPr="00042912" w:rsidRDefault="00050C46" w:rsidP="005351A4">
            <w:pPr>
              <w:pStyle w:val="Bullet1"/>
              <w:numPr>
                <w:ilvl w:val="0"/>
                <w:numId w:val="0"/>
              </w:numPr>
              <w:rPr>
                <w:sz w:val="20"/>
              </w:rPr>
            </w:pPr>
            <w:r w:rsidRPr="00042912">
              <w:rPr>
                <w:bCs/>
                <w:i/>
                <w:sz w:val="20"/>
              </w:rPr>
              <w:t xml:space="preserve">2.1.1 Percentage of published / produced guidance materials that complies with government accessibility standards </w:t>
            </w:r>
          </w:p>
        </w:tc>
        <w:tc>
          <w:tcPr>
            <w:tcW w:w="6804" w:type="dxa"/>
          </w:tcPr>
          <w:p w14:paraId="1A202F06" w14:textId="77777777" w:rsidR="00050C46" w:rsidRPr="00042912" w:rsidRDefault="00D12887" w:rsidP="00050C46">
            <w:pPr>
              <w:pStyle w:val="Bullet1"/>
              <w:numPr>
                <w:ilvl w:val="0"/>
                <w:numId w:val="16"/>
              </w:numPr>
              <w:rPr>
                <w:b/>
                <w:bCs/>
                <w:sz w:val="20"/>
              </w:rPr>
            </w:pPr>
            <w:r w:rsidRPr="00042912">
              <w:rPr>
                <w:sz w:val="20"/>
              </w:rPr>
              <w:t>We aim</w:t>
            </w:r>
            <w:r w:rsidR="00050C46" w:rsidRPr="00042912">
              <w:rPr>
                <w:sz w:val="20"/>
              </w:rPr>
              <w:t xml:space="preserve"> to achieve 100% accessibility; noting that due to the urgency of certain circumstances, on occasion an accessible version of a resource may follow shortly after publishing rather than immediately appearing alongside the published document. </w:t>
            </w:r>
          </w:p>
          <w:p w14:paraId="5FB8A6F6" w14:textId="77777777" w:rsidR="00050C46" w:rsidRPr="00042912" w:rsidRDefault="00050C46" w:rsidP="00050C46">
            <w:pPr>
              <w:pStyle w:val="Bullet1"/>
              <w:numPr>
                <w:ilvl w:val="0"/>
                <w:numId w:val="0"/>
              </w:numPr>
              <w:rPr>
                <w:sz w:val="20"/>
              </w:rPr>
            </w:pPr>
          </w:p>
        </w:tc>
      </w:tr>
      <w:tr w:rsidR="00050C46" w14:paraId="1A4358EA" w14:textId="77777777" w:rsidTr="00BC6E49">
        <w:trPr>
          <w:cantSplit/>
        </w:trPr>
        <w:tc>
          <w:tcPr>
            <w:tcW w:w="2972" w:type="dxa"/>
          </w:tcPr>
          <w:p w14:paraId="31BCB517" w14:textId="77777777" w:rsidR="00050C46" w:rsidRPr="00042912" w:rsidRDefault="00050C46" w:rsidP="00CF5641">
            <w:pPr>
              <w:pStyle w:val="Bullet1"/>
              <w:numPr>
                <w:ilvl w:val="0"/>
                <w:numId w:val="0"/>
              </w:numPr>
              <w:rPr>
                <w:b/>
                <w:i/>
                <w:sz w:val="20"/>
              </w:rPr>
            </w:pPr>
            <w:r w:rsidRPr="00042912">
              <w:rPr>
                <w:i/>
                <w:sz w:val="20"/>
              </w:rPr>
              <w:lastRenderedPageBreak/>
              <w:t>2.1.2 Education materials, engagement activities are provided to inform the sector of changes via a variety of channels</w:t>
            </w:r>
          </w:p>
        </w:tc>
        <w:tc>
          <w:tcPr>
            <w:tcW w:w="6804" w:type="dxa"/>
          </w:tcPr>
          <w:p w14:paraId="2F7C0B79" w14:textId="77777777" w:rsidR="00050C46" w:rsidRPr="00042912" w:rsidRDefault="00D12887" w:rsidP="00D12887">
            <w:pPr>
              <w:pStyle w:val="Bullet1"/>
              <w:rPr>
                <w:sz w:val="20"/>
              </w:rPr>
            </w:pPr>
            <w:r w:rsidRPr="00042912">
              <w:rPr>
                <w:sz w:val="20"/>
              </w:rPr>
              <w:t>We</w:t>
            </w:r>
            <w:r w:rsidR="00050C46" w:rsidRPr="00042912">
              <w:rPr>
                <w:sz w:val="20"/>
              </w:rPr>
              <w:t xml:space="preserve"> developed an internal education framework (available on the Commission’s intranet) to guide staff in relation to the educational resources we produce and the activities we undertake. </w:t>
            </w:r>
          </w:p>
          <w:p w14:paraId="44D0EBCF" w14:textId="68A50DDE" w:rsidR="00050C46" w:rsidRPr="00042912" w:rsidRDefault="00050C46" w:rsidP="00D12887">
            <w:pPr>
              <w:pStyle w:val="Bullet1"/>
              <w:rPr>
                <w:sz w:val="20"/>
              </w:rPr>
            </w:pPr>
            <w:r w:rsidRPr="00042912">
              <w:rPr>
                <w:sz w:val="20"/>
              </w:rPr>
              <w:t>A range of accessible information is also available on the NDIS Commission website for providers, people with disability, advocates, peak bodies and the general public</w:t>
            </w:r>
            <w:r w:rsidR="00DA4E63">
              <w:rPr>
                <w:sz w:val="20"/>
              </w:rPr>
              <w:t>,</w:t>
            </w:r>
            <w:r w:rsidRPr="00042912">
              <w:rPr>
                <w:sz w:val="20"/>
              </w:rPr>
              <w:t xml:space="preserve"> to support interested and invested parties’ knowledge and u</w:t>
            </w:r>
            <w:r w:rsidR="00D12887" w:rsidRPr="00042912">
              <w:rPr>
                <w:sz w:val="20"/>
              </w:rPr>
              <w:t>n</w:t>
            </w:r>
            <w:r w:rsidRPr="00042912">
              <w:rPr>
                <w:sz w:val="20"/>
              </w:rPr>
              <w:t xml:space="preserve">derstanding of the NDIS Commission's role and functions, </w:t>
            </w:r>
            <w:r w:rsidR="00D12887" w:rsidRPr="00042912">
              <w:rPr>
                <w:sz w:val="20"/>
              </w:rPr>
              <w:t xml:space="preserve">including </w:t>
            </w:r>
            <w:r w:rsidR="00844E96" w:rsidRPr="00042912">
              <w:rPr>
                <w:sz w:val="20"/>
              </w:rPr>
              <w:t>informing</w:t>
            </w:r>
            <w:r w:rsidR="00D12887" w:rsidRPr="00042912">
              <w:rPr>
                <w:sz w:val="20"/>
              </w:rPr>
              <w:t xml:space="preserve"> of changes that affect our stakeholders. </w:t>
            </w:r>
          </w:p>
          <w:p w14:paraId="1DF34FA6" w14:textId="77777777" w:rsidR="00050C46" w:rsidRPr="00042912" w:rsidRDefault="00050C46" w:rsidP="00CF5641">
            <w:pPr>
              <w:pStyle w:val="Bullet1"/>
              <w:rPr>
                <w:sz w:val="20"/>
              </w:rPr>
            </w:pPr>
            <w:r w:rsidRPr="00042912">
              <w:rPr>
                <w:sz w:val="20"/>
              </w:rPr>
              <w:t>A wide range of information and resources relating to COVID-19, separate to those</w:t>
            </w:r>
            <w:r w:rsidR="00D12887" w:rsidRPr="00042912">
              <w:rPr>
                <w:sz w:val="20"/>
              </w:rPr>
              <w:t xml:space="preserve"> included on the website, were</w:t>
            </w:r>
            <w:r w:rsidRPr="00042912">
              <w:rPr>
                <w:sz w:val="20"/>
              </w:rPr>
              <w:t xml:space="preserve"> made available throughout 2020–21. These included</w:t>
            </w:r>
            <w:r w:rsidR="00D12887" w:rsidRPr="00042912">
              <w:rPr>
                <w:sz w:val="20"/>
              </w:rPr>
              <w:t xml:space="preserve"> </w:t>
            </w:r>
            <w:r w:rsidRPr="00042912">
              <w:rPr>
                <w:sz w:val="20"/>
              </w:rPr>
              <w:t xml:space="preserve">provider alerts, provider and participant newsletters, provider and participant information packs, fact sheets, and social media posts. </w:t>
            </w:r>
          </w:p>
        </w:tc>
      </w:tr>
    </w:tbl>
    <w:p w14:paraId="15B0E173" w14:textId="2E86261E" w:rsidR="0004571B" w:rsidRPr="0004571B" w:rsidRDefault="003251D3" w:rsidP="008A085C">
      <w:pPr>
        <w:pStyle w:val="Heading3"/>
      </w:pPr>
      <w:bookmarkStart w:id="18" w:name="_Toc128477923"/>
      <w:r w:rsidRPr="00870C23">
        <w:t>Measure 2.2: We consider the impact on regulated entities and engage with industry groups and representatives of the affected stakeholders before changing policies, practices or service standards</w:t>
      </w:r>
      <w:bookmarkEnd w:id="18"/>
    </w:p>
    <w:tbl>
      <w:tblPr>
        <w:tblStyle w:val="TableGrid"/>
        <w:tblW w:w="9776" w:type="dxa"/>
        <w:tblLook w:val="04A0" w:firstRow="1" w:lastRow="0" w:firstColumn="1" w:lastColumn="0" w:noHBand="0" w:noVBand="1"/>
        <w:tblDescription w:val="This table details measures and responses in relation to regulatory performance measure 2.2. "/>
      </w:tblPr>
      <w:tblGrid>
        <w:gridCol w:w="2972"/>
        <w:gridCol w:w="6804"/>
      </w:tblGrid>
      <w:tr w:rsidR="007763E6" w14:paraId="6A3A9B84" w14:textId="77777777" w:rsidTr="00FA7EC3">
        <w:trPr>
          <w:cantSplit/>
          <w:tblHeader/>
        </w:trPr>
        <w:tc>
          <w:tcPr>
            <w:tcW w:w="2972" w:type="dxa"/>
            <w:shd w:val="clear" w:color="auto" w:fill="612C69"/>
          </w:tcPr>
          <w:p w14:paraId="3DC5AE94" w14:textId="77777777" w:rsidR="007763E6" w:rsidRPr="00FA7EC3" w:rsidRDefault="007763E6" w:rsidP="005351A4">
            <w:pPr>
              <w:rPr>
                <w:b/>
                <w:color w:val="FFFFFF" w:themeColor="background1"/>
              </w:rPr>
            </w:pPr>
            <w:r w:rsidRPr="00FA7EC3">
              <w:rPr>
                <w:b/>
                <w:color w:val="FFFFFF" w:themeColor="background1"/>
              </w:rPr>
              <w:t>Requirement</w:t>
            </w:r>
          </w:p>
        </w:tc>
        <w:tc>
          <w:tcPr>
            <w:tcW w:w="6804" w:type="dxa"/>
            <w:shd w:val="clear" w:color="auto" w:fill="612C69"/>
          </w:tcPr>
          <w:p w14:paraId="63C72746" w14:textId="77777777" w:rsidR="007763E6" w:rsidRPr="00FA7EC3" w:rsidRDefault="007763E6"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7763E6" w14:paraId="304DD6AA" w14:textId="77777777" w:rsidTr="003715E4">
        <w:trPr>
          <w:cantSplit/>
        </w:trPr>
        <w:tc>
          <w:tcPr>
            <w:tcW w:w="2972" w:type="dxa"/>
          </w:tcPr>
          <w:p w14:paraId="656D1727" w14:textId="77777777" w:rsidR="007763E6" w:rsidRPr="00042912" w:rsidRDefault="007763E6" w:rsidP="00CF5641">
            <w:pPr>
              <w:pStyle w:val="Bullet1"/>
              <w:numPr>
                <w:ilvl w:val="0"/>
                <w:numId w:val="0"/>
              </w:numPr>
              <w:rPr>
                <w:bCs/>
                <w:i/>
                <w:sz w:val="20"/>
              </w:rPr>
            </w:pPr>
            <w:r w:rsidRPr="00042912">
              <w:rPr>
                <w:bCs/>
                <w:i/>
                <w:sz w:val="20"/>
              </w:rPr>
              <w:t>2.2.1 Sector stakeholders are consulted on proposed regulatory policy changes through formal and informal mechanisms</w:t>
            </w:r>
          </w:p>
          <w:p w14:paraId="251E2B34" w14:textId="77777777" w:rsidR="007763E6" w:rsidRPr="00042912" w:rsidRDefault="007763E6" w:rsidP="007763E6">
            <w:pPr>
              <w:pStyle w:val="Bullet1"/>
              <w:numPr>
                <w:ilvl w:val="0"/>
                <w:numId w:val="0"/>
              </w:numPr>
              <w:rPr>
                <w:sz w:val="20"/>
              </w:rPr>
            </w:pPr>
          </w:p>
        </w:tc>
        <w:tc>
          <w:tcPr>
            <w:tcW w:w="6804" w:type="dxa"/>
          </w:tcPr>
          <w:p w14:paraId="116C4349" w14:textId="77777777" w:rsidR="007763E6" w:rsidRPr="00042912" w:rsidRDefault="007763E6" w:rsidP="00CF5641">
            <w:pPr>
              <w:pStyle w:val="Bullet1"/>
              <w:rPr>
                <w:sz w:val="20"/>
              </w:rPr>
            </w:pPr>
            <w:r w:rsidRPr="00042912">
              <w:rPr>
                <w:sz w:val="20"/>
              </w:rPr>
              <w:t xml:space="preserve">In 2020–21 </w:t>
            </w:r>
            <w:r w:rsidR="005261C7" w:rsidRPr="00042912">
              <w:rPr>
                <w:sz w:val="20"/>
              </w:rPr>
              <w:t>we</w:t>
            </w:r>
            <w:r w:rsidRPr="00042912">
              <w:rPr>
                <w:sz w:val="20"/>
              </w:rPr>
              <w:t xml:space="preserve"> continued to consult with stakeholders through formal mechanisms such as: </w:t>
            </w:r>
          </w:p>
          <w:p w14:paraId="015DEF63" w14:textId="77777777" w:rsidR="007763E6" w:rsidRPr="00042912" w:rsidRDefault="007763E6" w:rsidP="00042912">
            <w:pPr>
              <w:pStyle w:val="Bullet2"/>
              <w:spacing w:before="40" w:after="40"/>
              <w:rPr>
                <w:sz w:val="20"/>
              </w:rPr>
            </w:pPr>
            <w:r w:rsidRPr="00042912">
              <w:rPr>
                <w:sz w:val="20"/>
              </w:rPr>
              <w:t>inter-jurisdictional governance groups</w:t>
            </w:r>
          </w:p>
          <w:p w14:paraId="0BB54E5C" w14:textId="77777777" w:rsidR="007763E6" w:rsidRPr="00042912" w:rsidRDefault="007763E6" w:rsidP="00042912">
            <w:pPr>
              <w:pStyle w:val="Bullet2"/>
              <w:spacing w:before="40" w:after="40"/>
              <w:rPr>
                <w:sz w:val="20"/>
              </w:rPr>
            </w:pPr>
            <w:r w:rsidRPr="00042912">
              <w:rPr>
                <w:sz w:val="20"/>
              </w:rPr>
              <w:t>Disability Ministers meeting</w:t>
            </w:r>
          </w:p>
          <w:p w14:paraId="458BC509" w14:textId="77777777" w:rsidR="007763E6" w:rsidRPr="00042912" w:rsidRDefault="007763E6" w:rsidP="00042912">
            <w:pPr>
              <w:pStyle w:val="Bullet2"/>
              <w:spacing w:before="40" w:after="40"/>
              <w:rPr>
                <w:sz w:val="20"/>
              </w:rPr>
            </w:pPr>
            <w:r w:rsidRPr="00042912">
              <w:rPr>
                <w:sz w:val="20"/>
              </w:rPr>
              <w:t>Deputy Department Heads meeting</w:t>
            </w:r>
          </w:p>
          <w:p w14:paraId="1E12D6A8" w14:textId="77777777" w:rsidR="007763E6" w:rsidRPr="00042912" w:rsidRDefault="007763E6" w:rsidP="00042912">
            <w:pPr>
              <w:pStyle w:val="Bullet2"/>
              <w:spacing w:before="40" w:after="40"/>
              <w:rPr>
                <w:sz w:val="20"/>
              </w:rPr>
            </w:pPr>
            <w:r w:rsidRPr="00042912">
              <w:rPr>
                <w:sz w:val="20"/>
              </w:rPr>
              <w:t>inter-jurisdictional sub-committees and working groups</w:t>
            </w:r>
          </w:p>
          <w:p w14:paraId="53C1A7DF" w14:textId="77777777" w:rsidR="007763E6" w:rsidRPr="00042912" w:rsidRDefault="007763E6" w:rsidP="00042912">
            <w:pPr>
              <w:pStyle w:val="Bullet2"/>
              <w:spacing w:before="40" w:after="40"/>
              <w:rPr>
                <w:sz w:val="20"/>
              </w:rPr>
            </w:pPr>
            <w:r w:rsidRPr="00042912">
              <w:rPr>
                <w:sz w:val="20"/>
              </w:rPr>
              <w:t>the Commonwealth Action Working Group (Australia’s Disability Strategy)</w:t>
            </w:r>
          </w:p>
          <w:p w14:paraId="475202BC" w14:textId="77777777" w:rsidR="007763E6" w:rsidRPr="00042912" w:rsidRDefault="007763E6" w:rsidP="00042912">
            <w:pPr>
              <w:pStyle w:val="Bullet2"/>
              <w:spacing w:before="40" w:after="40"/>
              <w:rPr>
                <w:sz w:val="20"/>
              </w:rPr>
            </w:pPr>
            <w:r w:rsidRPr="00042912">
              <w:rPr>
                <w:sz w:val="20"/>
              </w:rPr>
              <w:t>Strengthening Supports for Participants at Risk (led by the Department of Social Services)</w:t>
            </w:r>
          </w:p>
          <w:p w14:paraId="303FAF47" w14:textId="77777777" w:rsidR="007763E6" w:rsidRPr="00042912" w:rsidRDefault="007763E6" w:rsidP="00042912">
            <w:pPr>
              <w:pStyle w:val="Bullet2"/>
              <w:spacing w:before="40" w:after="40"/>
              <w:rPr>
                <w:sz w:val="20"/>
              </w:rPr>
            </w:pPr>
            <w:r w:rsidRPr="00042912">
              <w:rPr>
                <w:sz w:val="20"/>
              </w:rPr>
              <w:t>portfolio governance committees</w:t>
            </w:r>
          </w:p>
          <w:p w14:paraId="16340D7D" w14:textId="77777777" w:rsidR="007763E6" w:rsidRPr="00042912" w:rsidRDefault="007763E6" w:rsidP="00042912">
            <w:pPr>
              <w:pStyle w:val="Bullet2"/>
              <w:spacing w:before="40" w:after="40"/>
              <w:rPr>
                <w:sz w:val="20"/>
              </w:rPr>
            </w:pPr>
            <w:r w:rsidRPr="00042912">
              <w:rPr>
                <w:sz w:val="20"/>
              </w:rPr>
              <w:t xml:space="preserve">NDIA Operational Protocol Working Groups. </w:t>
            </w:r>
          </w:p>
          <w:p w14:paraId="65F62DF4" w14:textId="77777777" w:rsidR="007763E6" w:rsidRPr="00042912" w:rsidRDefault="005261C7" w:rsidP="00D25B7E">
            <w:pPr>
              <w:pStyle w:val="Bullet1"/>
              <w:rPr>
                <w:sz w:val="20"/>
              </w:rPr>
            </w:pPr>
            <w:r w:rsidRPr="00042912">
              <w:rPr>
                <w:sz w:val="20"/>
              </w:rPr>
              <w:t>We continued to consult through more informal mechanisms via our engagement, communications and feedback processes and initiatives</w:t>
            </w:r>
            <w:r w:rsidR="00DA4E63">
              <w:rPr>
                <w:sz w:val="20"/>
              </w:rPr>
              <w:t xml:space="preserve"> –</w:t>
            </w:r>
            <w:r w:rsidRPr="00042912">
              <w:rPr>
                <w:sz w:val="20"/>
              </w:rPr>
              <w:t xml:space="preserve"> as detailed previously in this document.</w:t>
            </w:r>
          </w:p>
        </w:tc>
      </w:tr>
    </w:tbl>
    <w:p w14:paraId="3263BB75" w14:textId="295BBEE3" w:rsidR="0004571B" w:rsidRDefault="0004571B">
      <w:pPr>
        <w:suppressAutoHyphens w:val="0"/>
        <w:spacing w:before="120" w:after="120" w:line="240" w:lineRule="auto"/>
        <w:rPr>
          <w:rFonts w:asciiTheme="majorHAnsi" w:eastAsiaTheme="majorEastAsia" w:hAnsiTheme="majorHAnsi" w:cstheme="majorBidi"/>
          <w:b/>
          <w:color w:val="5F2E74" w:themeColor="text2"/>
          <w:sz w:val="26"/>
          <w:szCs w:val="24"/>
        </w:rPr>
      </w:pPr>
      <w:r>
        <w:br w:type="page"/>
      </w:r>
    </w:p>
    <w:p w14:paraId="371B58E9" w14:textId="77777777" w:rsidR="00D25B7E" w:rsidRDefault="003251D3" w:rsidP="00042912">
      <w:pPr>
        <w:pStyle w:val="Heading3"/>
      </w:pPr>
      <w:bookmarkStart w:id="19" w:name="_Toc128477924"/>
      <w:r w:rsidRPr="00870C23">
        <w:lastRenderedPageBreak/>
        <w:t>Measure 2.3: Our decisions and advice are provided in a timely manner, clearly articulating expectations and the underlying reasons for our decisions</w:t>
      </w:r>
      <w:bookmarkEnd w:id="19"/>
    </w:p>
    <w:tbl>
      <w:tblPr>
        <w:tblStyle w:val="TableGrid"/>
        <w:tblW w:w="10060" w:type="dxa"/>
        <w:tblLook w:val="04A0" w:firstRow="1" w:lastRow="0" w:firstColumn="1" w:lastColumn="0" w:noHBand="0" w:noVBand="1"/>
        <w:tblDescription w:val="This table details measures and responses in relation to regulatory performance measure 2.3. "/>
      </w:tblPr>
      <w:tblGrid>
        <w:gridCol w:w="2972"/>
        <w:gridCol w:w="7088"/>
      </w:tblGrid>
      <w:tr w:rsidR="00D25B7E" w14:paraId="39E636CD" w14:textId="77777777" w:rsidTr="00FA7EC3">
        <w:trPr>
          <w:cantSplit/>
          <w:tblHeader/>
        </w:trPr>
        <w:tc>
          <w:tcPr>
            <w:tcW w:w="2972" w:type="dxa"/>
            <w:shd w:val="clear" w:color="auto" w:fill="612C69"/>
          </w:tcPr>
          <w:p w14:paraId="2F2EC194" w14:textId="77777777" w:rsidR="00D25B7E" w:rsidRPr="00FA7EC3" w:rsidRDefault="00D25B7E" w:rsidP="005351A4">
            <w:pPr>
              <w:rPr>
                <w:b/>
                <w:color w:val="FFFFFF" w:themeColor="background1"/>
              </w:rPr>
            </w:pPr>
            <w:r w:rsidRPr="00FA7EC3">
              <w:rPr>
                <w:b/>
                <w:color w:val="FFFFFF" w:themeColor="background1"/>
              </w:rPr>
              <w:t>Requirement</w:t>
            </w:r>
          </w:p>
        </w:tc>
        <w:tc>
          <w:tcPr>
            <w:tcW w:w="7088" w:type="dxa"/>
            <w:shd w:val="clear" w:color="auto" w:fill="612C69"/>
          </w:tcPr>
          <w:p w14:paraId="2FC529ED" w14:textId="77777777" w:rsidR="00D25B7E" w:rsidRPr="00FA7EC3" w:rsidRDefault="00D25B7E"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D25B7E" w14:paraId="2E773ADC" w14:textId="77777777" w:rsidTr="003715E4">
        <w:trPr>
          <w:cantSplit/>
        </w:trPr>
        <w:tc>
          <w:tcPr>
            <w:tcW w:w="2972" w:type="dxa"/>
          </w:tcPr>
          <w:p w14:paraId="4FD117CF" w14:textId="77777777" w:rsidR="00D25B7E" w:rsidRPr="00042912" w:rsidRDefault="00D25B7E" w:rsidP="005351A4">
            <w:pPr>
              <w:pStyle w:val="Bullet1"/>
              <w:numPr>
                <w:ilvl w:val="0"/>
                <w:numId w:val="0"/>
              </w:numPr>
              <w:rPr>
                <w:i/>
                <w:sz w:val="20"/>
              </w:rPr>
            </w:pPr>
            <w:r w:rsidRPr="00042912">
              <w:rPr>
                <w:i/>
                <w:sz w:val="20"/>
              </w:rPr>
              <w:t>2.3.1 Percentage of registration decisions and suitability assessments of practitioners processed within benchmarked timeframes</w:t>
            </w:r>
          </w:p>
        </w:tc>
        <w:tc>
          <w:tcPr>
            <w:tcW w:w="7088" w:type="dxa"/>
          </w:tcPr>
          <w:p w14:paraId="238B4907" w14:textId="77777777" w:rsidR="00D25B7E" w:rsidRPr="00042912" w:rsidRDefault="00D25B7E" w:rsidP="00D25B7E">
            <w:pPr>
              <w:pStyle w:val="Bullet1"/>
              <w:rPr>
                <w:sz w:val="20"/>
              </w:rPr>
            </w:pPr>
            <w:r w:rsidRPr="00042912">
              <w:rPr>
                <w:sz w:val="20"/>
              </w:rPr>
              <w:t xml:space="preserve">During 2020–21, there was an increase in registration processing times, mainly due to a substantial increase in the volume of applications received, alongside a high volume of applications for variations to existing registrations. On 1 December 2021, 1,672 registered NDIS providers from Western Australia transitioned to the NDIS Commission. On the same date, 627 residential aged care providers delivering NDIS services and supports to NDIS participants across all states and territories also transitioned to the NDIS Commission.  </w:t>
            </w:r>
          </w:p>
          <w:p w14:paraId="317D4971" w14:textId="173D610A" w:rsidR="00D25B7E" w:rsidRPr="00042912" w:rsidRDefault="00D25B7E" w:rsidP="00D9090B">
            <w:pPr>
              <w:pStyle w:val="Bullet1"/>
              <w:rPr>
                <w:sz w:val="20"/>
              </w:rPr>
            </w:pPr>
            <w:r w:rsidRPr="00042912">
              <w:rPr>
                <w:sz w:val="20"/>
              </w:rPr>
              <w:t xml:space="preserve">Over 2020–21, </w:t>
            </w:r>
            <w:r w:rsidR="00D9090B">
              <w:rPr>
                <w:sz w:val="20"/>
              </w:rPr>
              <w:t xml:space="preserve">we did not meet our KPI for completion of </w:t>
            </w:r>
            <w:r w:rsidRPr="00042912">
              <w:rPr>
                <w:sz w:val="20"/>
              </w:rPr>
              <w:t>80% of registration applications</w:t>
            </w:r>
            <w:r w:rsidR="00D9090B">
              <w:rPr>
                <w:sz w:val="20"/>
              </w:rPr>
              <w:t xml:space="preserve"> within 90 days</w:t>
            </w:r>
            <w:r w:rsidRPr="00042912">
              <w:rPr>
                <w:sz w:val="20"/>
              </w:rPr>
              <w:t>.</w:t>
            </w:r>
            <w:r w:rsidR="00D9090B">
              <w:rPr>
                <w:sz w:val="20"/>
              </w:rPr>
              <w:t xml:space="preserve"> Achievement of this goal remained out of reach this year due to a focus on backlog management in relation to the aged matters mentioned in the point above, and inadequate resourcing that remained unaddressed after the budget uplift.</w:t>
            </w:r>
          </w:p>
        </w:tc>
      </w:tr>
      <w:tr w:rsidR="00D25B7E" w14:paraId="0AFBF21E" w14:textId="77777777" w:rsidTr="003715E4">
        <w:trPr>
          <w:cantSplit/>
        </w:trPr>
        <w:tc>
          <w:tcPr>
            <w:tcW w:w="2972" w:type="dxa"/>
          </w:tcPr>
          <w:p w14:paraId="2F19D65A" w14:textId="77777777" w:rsidR="00D25B7E" w:rsidRPr="00042912" w:rsidRDefault="00D25B7E" w:rsidP="00CF5641">
            <w:pPr>
              <w:pStyle w:val="Bullet1"/>
              <w:numPr>
                <w:ilvl w:val="0"/>
                <w:numId w:val="0"/>
              </w:numPr>
              <w:rPr>
                <w:bCs/>
                <w:i/>
                <w:sz w:val="20"/>
              </w:rPr>
            </w:pPr>
            <w:r w:rsidRPr="00042912">
              <w:rPr>
                <w:bCs/>
                <w:i/>
                <w:sz w:val="20"/>
              </w:rPr>
              <w:t>2.3.2 All regulatory decisions are supported with reasons for decision and where applicable information on review or appeal mechanisms</w:t>
            </w:r>
          </w:p>
          <w:p w14:paraId="0D40F8AA" w14:textId="77777777" w:rsidR="00D25B7E" w:rsidRPr="00042912" w:rsidRDefault="00D25B7E" w:rsidP="005351A4">
            <w:pPr>
              <w:pStyle w:val="Bullet1"/>
              <w:numPr>
                <w:ilvl w:val="0"/>
                <w:numId w:val="0"/>
              </w:numPr>
              <w:rPr>
                <w:i/>
                <w:sz w:val="20"/>
              </w:rPr>
            </w:pPr>
          </w:p>
        </w:tc>
        <w:tc>
          <w:tcPr>
            <w:tcW w:w="7088" w:type="dxa"/>
          </w:tcPr>
          <w:p w14:paraId="10904D8E" w14:textId="4F3DA2AD" w:rsidR="00D25B7E" w:rsidRPr="009E7303" w:rsidRDefault="00911C42" w:rsidP="009E7303">
            <w:pPr>
              <w:pStyle w:val="Bullet1"/>
              <w:rPr>
                <w:sz w:val="20"/>
              </w:rPr>
            </w:pPr>
            <w:r>
              <w:rPr>
                <w:sz w:val="20"/>
              </w:rPr>
              <w:t xml:space="preserve">The Commission has a legal requirement to provide reasons for several decisions under the Act involving the use of compliance and/or enforcements powers, and it is our practice to do so in other cases. </w:t>
            </w:r>
            <w:r w:rsidR="00D25B7E" w:rsidRPr="00042912">
              <w:rPr>
                <w:sz w:val="20"/>
              </w:rPr>
              <w:t>We are transparent with all of our regulatory decisions. All decisions regarding provider applications for registration and variation are communicated via a written notice of re</w:t>
            </w:r>
            <w:r w:rsidR="00DC63C0" w:rsidRPr="00042912">
              <w:rPr>
                <w:sz w:val="20"/>
              </w:rPr>
              <w:t>asons for the decision, and</w:t>
            </w:r>
            <w:r w:rsidR="00D25B7E" w:rsidRPr="00042912">
              <w:rPr>
                <w:sz w:val="20"/>
              </w:rPr>
              <w:t xml:space="preserve"> include </w:t>
            </w:r>
            <w:r w:rsidR="009E7303">
              <w:rPr>
                <w:sz w:val="20"/>
              </w:rPr>
              <w:t>review rights where applicable.</w:t>
            </w:r>
          </w:p>
        </w:tc>
      </w:tr>
    </w:tbl>
    <w:p w14:paraId="7E841ED8" w14:textId="77777777" w:rsidR="003251D3" w:rsidRDefault="003251D3" w:rsidP="003251D3">
      <w:pPr>
        <w:pStyle w:val="Heading3"/>
      </w:pPr>
      <w:bookmarkStart w:id="20" w:name="_Toc128477925"/>
      <w:r w:rsidRPr="00870C23">
        <w:t>Measure 2.4: Our advice is consistent and supports predictable outcomes</w:t>
      </w:r>
      <w:bookmarkEnd w:id="20"/>
    </w:p>
    <w:tbl>
      <w:tblPr>
        <w:tblStyle w:val="TableGrid"/>
        <w:tblW w:w="10060" w:type="dxa"/>
        <w:tblLook w:val="04A0" w:firstRow="1" w:lastRow="0" w:firstColumn="1" w:lastColumn="0" w:noHBand="0" w:noVBand="1"/>
        <w:tblDescription w:val="This table details measures and responses in relation to regulatory performance measure 2.4. "/>
      </w:tblPr>
      <w:tblGrid>
        <w:gridCol w:w="2972"/>
        <w:gridCol w:w="7088"/>
      </w:tblGrid>
      <w:tr w:rsidR="00DC63C0" w14:paraId="54E60009" w14:textId="77777777" w:rsidTr="00FA7EC3">
        <w:trPr>
          <w:cantSplit/>
          <w:tblHeader/>
        </w:trPr>
        <w:tc>
          <w:tcPr>
            <w:tcW w:w="2972" w:type="dxa"/>
            <w:shd w:val="clear" w:color="auto" w:fill="612C69"/>
          </w:tcPr>
          <w:p w14:paraId="2DA03C48" w14:textId="77777777" w:rsidR="00DC63C0" w:rsidRPr="00FA7EC3" w:rsidRDefault="00DC63C0" w:rsidP="005351A4">
            <w:pPr>
              <w:rPr>
                <w:b/>
                <w:color w:val="FFFFFF" w:themeColor="background1"/>
              </w:rPr>
            </w:pPr>
            <w:r w:rsidRPr="00FA7EC3">
              <w:rPr>
                <w:b/>
                <w:color w:val="FFFFFF" w:themeColor="background1"/>
              </w:rPr>
              <w:t>Requirement</w:t>
            </w:r>
          </w:p>
        </w:tc>
        <w:tc>
          <w:tcPr>
            <w:tcW w:w="7088" w:type="dxa"/>
            <w:shd w:val="clear" w:color="auto" w:fill="612C69"/>
          </w:tcPr>
          <w:p w14:paraId="77355AB6" w14:textId="77777777" w:rsidR="00DC63C0" w:rsidRPr="00FA7EC3" w:rsidRDefault="00DC63C0"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DC63C0" w14:paraId="20C1AB06" w14:textId="77777777" w:rsidTr="003715E4">
        <w:trPr>
          <w:cantSplit/>
        </w:trPr>
        <w:tc>
          <w:tcPr>
            <w:tcW w:w="2972" w:type="dxa"/>
          </w:tcPr>
          <w:p w14:paraId="169C464B" w14:textId="77777777" w:rsidR="006E2E47" w:rsidRPr="00042912" w:rsidRDefault="006E2E47" w:rsidP="00CF5641">
            <w:pPr>
              <w:pStyle w:val="Bullet1"/>
              <w:numPr>
                <w:ilvl w:val="0"/>
                <w:numId w:val="0"/>
              </w:numPr>
              <w:rPr>
                <w:bCs/>
                <w:i/>
                <w:sz w:val="20"/>
              </w:rPr>
            </w:pPr>
            <w:r w:rsidRPr="00042912">
              <w:rPr>
                <w:bCs/>
                <w:i/>
                <w:sz w:val="20"/>
              </w:rPr>
              <w:t>2.4.1 Standard operating procedures for decision making are used by staff</w:t>
            </w:r>
          </w:p>
          <w:p w14:paraId="044169BE" w14:textId="77777777" w:rsidR="00DC63C0" w:rsidRPr="00042912" w:rsidRDefault="00DC63C0" w:rsidP="006E2E47">
            <w:pPr>
              <w:pStyle w:val="Bullet1"/>
              <w:numPr>
                <w:ilvl w:val="0"/>
                <w:numId w:val="0"/>
              </w:numPr>
              <w:rPr>
                <w:i/>
                <w:sz w:val="20"/>
              </w:rPr>
            </w:pPr>
          </w:p>
        </w:tc>
        <w:tc>
          <w:tcPr>
            <w:tcW w:w="7088" w:type="dxa"/>
          </w:tcPr>
          <w:p w14:paraId="5C823DDE" w14:textId="77777777" w:rsidR="006E2E47" w:rsidRPr="00042912" w:rsidRDefault="006E2E47" w:rsidP="00CF5641">
            <w:pPr>
              <w:pStyle w:val="Bullet1"/>
              <w:rPr>
                <w:sz w:val="20"/>
              </w:rPr>
            </w:pPr>
            <w:r w:rsidRPr="00042912">
              <w:rPr>
                <w:sz w:val="20"/>
              </w:rPr>
              <w:t xml:space="preserve">The NDIS Commission Operational Guidance Manual is published on the NDIS Commission’s </w:t>
            </w:r>
            <w:r w:rsidR="00E4373E" w:rsidRPr="00042912">
              <w:rPr>
                <w:sz w:val="20"/>
              </w:rPr>
              <w:t>intranet and</w:t>
            </w:r>
            <w:r w:rsidRPr="00042912">
              <w:rPr>
                <w:sz w:val="20"/>
              </w:rPr>
              <w:t xml:space="preserve"> is a live document that outlines how we operate as an integrated regulator. It represents the top level of operational guidance that cascades down to our Operational Guides and Detailed Process Blueprints, which position each operational function within our operating model. Below that sit our Standard Operating Procedures, which support our staff to deliver in their day-to-day roles.</w:t>
            </w:r>
          </w:p>
          <w:p w14:paraId="0B8C4F0F" w14:textId="77777777" w:rsidR="00DC63C0" w:rsidRPr="00042912" w:rsidRDefault="006E2E47" w:rsidP="006E2E47">
            <w:pPr>
              <w:pStyle w:val="Bullet1"/>
              <w:rPr>
                <w:sz w:val="20"/>
              </w:rPr>
            </w:pPr>
            <w:r w:rsidRPr="00042912">
              <w:rPr>
                <w:sz w:val="20"/>
              </w:rPr>
              <w:t xml:space="preserve">Detailed templates, forms and guidance material are available to assist staff in their decision-making across an array of internal and outward-facing processes. </w:t>
            </w:r>
          </w:p>
        </w:tc>
      </w:tr>
      <w:tr w:rsidR="00DC63C0" w14:paraId="2B2633CA" w14:textId="77777777" w:rsidTr="003715E4">
        <w:trPr>
          <w:cantSplit/>
        </w:trPr>
        <w:tc>
          <w:tcPr>
            <w:tcW w:w="2972" w:type="dxa"/>
          </w:tcPr>
          <w:p w14:paraId="40CABDFA" w14:textId="77777777" w:rsidR="006E2E47" w:rsidRPr="00042912" w:rsidRDefault="006E2E47" w:rsidP="00CF5641">
            <w:pPr>
              <w:pStyle w:val="Bullet1"/>
              <w:numPr>
                <w:ilvl w:val="0"/>
                <w:numId w:val="0"/>
              </w:numPr>
              <w:rPr>
                <w:bCs/>
                <w:i/>
                <w:sz w:val="20"/>
              </w:rPr>
            </w:pPr>
            <w:r w:rsidRPr="00042912">
              <w:rPr>
                <w:bCs/>
                <w:i/>
                <w:sz w:val="20"/>
              </w:rPr>
              <w:lastRenderedPageBreak/>
              <w:t>2.4.2 Third parties engaged in the regulatory model are provided with consistent direction on activities</w:t>
            </w:r>
          </w:p>
          <w:p w14:paraId="3CE6ED85" w14:textId="77777777" w:rsidR="00DC63C0" w:rsidRPr="00042912" w:rsidRDefault="00DC63C0" w:rsidP="005351A4">
            <w:pPr>
              <w:pStyle w:val="Bullet1"/>
              <w:numPr>
                <w:ilvl w:val="0"/>
                <w:numId w:val="0"/>
              </w:numPr>
              <w:rPr>
                <w:bCs/>
                <w:i/>
                <w:sz w:val="20"/>
              </w:rPr>
            </w:pPr>
          </w:p>
          <w:p w14:paraId="0232EF05" w14:textId="77777777" w:rsidR="00DC63C0" w:rsidRPr="00042912" w:rsidRDefault="00DC63C0" w:rsidP="005351A4">
            <w:pPr>
              <w:pStyle w:val="Bullet1"/>
              <w:numPr>
                <w:ilvl w:val="0"/>
                <w:numId w:val="0"/>
              </w:numPr>
              <w:rPr>
                <w:i/>
                <w:sz w:val="20"/>
              </w:rPr>
            </w:pPr>
          </w:p>
        </w:tc>
        <w:tc>
          <w:tcPr>
            <w:tcW w:w="7088" w:type="dxa"/>
          </w:tcPr>
          <w:p w14:paraId="15BC630F" w14:textId="77777777" w:rsidR="006E2E47" w:rsidRPr="00042912" w:rsidRDefault="006E2E47" w:rsidP="00CF5641">
            <w:pPr>
              <w:pStyle w:val="Bullet1"/>
              <w:rPr>
                <w:sz w:val="20"/>
              </w:rPr>
            </w:pPr>
            <w:r w:rsidRPr="00042912">
              <w:rPr>
                <w:sz w:val="20"/>
              </w:rPr>
              <w:t xml:space="preserve">The NDIS Act and Rules require a provider, who is applying for registration as a provider, to be assessed by a third-party approved quality auditor as meeting established quality standards. </w:t>
            </w:r>
          </w:p>
          <w:p w14:paraId="7730EDF8" w14:textId="77777777" w:rsidR="00DC63C0" w:rsidRPr="003E2932" w:rsidRDefault="006E2E47" w:rsidP="003E2932">
            <w:pPr>
              <w:pStyle w:val="Bullet1"/>
              <w:rPr>
                <w:sz w:val="20"/>
              </w:rPr>
            </w:pPr>
            <w:r w:rsidRPr="00042912">
              <w:rPr>
                <w:sz w:val="20"/>
              </w:rPr>
              <w:t xml:space="preserve">To be approved by the NDIS Commissioner as a quality auditor for the NDIS, audit bodies are accredited by the Joint Accreditation Scheme Australia and New Zealand (JAS-ANZ) and individual assessors must complete training provided by the NDIS Commission.   The NDIS Commission provides guidance for auditors through the </w:t>
            </w:r>
            <w:r w:rsidRPr="00042912">
              <w:rPr>
                <w:i/>
                <w:sz w:val="20"/>
              </w:rPr>
              <w:t xml:space="preserve">National Disability Insurance Scheme (Approved Quality Auditors Scheme) Guidelines 2018 </w:t>
            </w:r>
            <w:r w:rsidRPr="00042912">
              <w:rPr>
                <w:sz w:val="20"/>
              </w:rPr>
              <w:t>(AQA Guidelines), and provides training for individual auditors to d</w:t>
            </w:r>
            <w:r w:rsidR="003E2932">
              <w:rPr>
                <w:sz w:val="20"/>
              </w:rPr>
              <w:t>rive consistency in the market.</w:t>
            </w:r>
          </w:p>
        </w:tc>
      </w:tr>
      <w:tr w:rsidR="006E2E47" w14:paraId="077F74D6" w14:textId="77777777" w:rsidTr="003715E4">
        <w:trPr>
          <w:cantSplit/>
        </w:trPr>
        <w:tc>
          <w:tcPr>
            <w:tcW w:w="2972" w:type="dxa"/>
          </w:tcPr>
          <w:p w14:paraId="739D870D" w14:textId="77777777" w:rsidR="006E2E47" w:rsidRPr="00042912" w:rsidRDefault="006E2E47" w:rsidP="00CF5641">
            <w:pPr>
              <w:pStyle w:val="Bullet1"/>
              <w:numPr>
                <w:ilvl w:val="0"/>
                <w:numId w:val="0"/>
              </w:numPr>
              <w:rPr>
                <w:bCs/>
                <w:i/>
                <w:sz w:val="20"/>
              </w:rPr>
            </w:pPr>
            <w:r w:rsidRPr="00042912">
              <w:rPr>
                <w:bCs/>
                <w:i/>
                <w:sz w:val="20"/>
              </w:rPr>
              <w:t>2.4.3 Best practice guides and training available publicly</w:t>
            </w:r>
          </w:p>
          <w:p w14:paraId="7D52E02D" w14:textId="77777777" w:rsidR="006E2E47" w:rsidRPr="00042912" w:rsidRDefault="006E2E47" w:rsidP="006E2E47">
            <w:pPr>
              <w:pStyle w:val="Bullet1"/>
              <w:numPr>
                <w:ilvl w:val="0"/>
                <w:numId w:val="0"/>
              </w:numPr>
              <w:rPr>
                <w:bCs/>
                <w:i/>
                <w:sz w:val="20"/>
              </w:rPr>
            </w:pPr>
          </w:p>
        </w:tc>
        <w:tc>
          <w:tcPr>
            <w:tcW w:w="7088" w:type="dxa"/>
          </w:tcPr>
          <w:p w14:paraId="6F6F1242" w14:textId="05EF0C0A" w:rsidR="006E2E47" w:rsidRPr="003E2932" w:rsidRDefault="00B43C31" w:rsidP="003E2932">
            <w:pPr>
              <w:pStyle w:val="Bullet1"/>
              <w:rPr>
                <w:sz w:val="20"/>
              </w:rPr>
            </w:pPr>
            <w:r w:rsidRPr="003E2932">
              <w:rPr>
                <w:sz w:val="20"/>
              </w:rPr>
              <w:t xml:space="preserve">We </w:t>
            </w:r>
            <w:r w:rsidR="006E2E47" w:rsidRPr="003E2932">
              <w:rPr>
                <w:sz w:val="20"/>
              </w:rPr>
              <w:t xml:space="preserve">provide best-practice </w:t>
            </w:r>
            <w:r w:rsidR="00471D50">
              <w:rPr>
                <w:sz w:val="20"/>
              </w:rPr>
              <w:t>guides, training, and educational content throughout the year</w:t>
            </w:r>
            <w:r w:rsidR="006E2E47" w:rsidRPr="003E2932">
              <w:rPr>
                <w:sz w:val="20"/>
              </w:rPr>
              <w:t>, with guidance materials including examples of good and poor practice. We also deliver targeted education campaigns designed to build the capability of providers and behaviour support practitioners in identified focus areas.</w:t>
            </w:r>
          </w:p>
          <w:p w14:paraId="131C6E2F" w14:textId="77777777" w:rsidR="006E2E47" w:rsidRPr="00042912" w:rsidRDefault="006E2E47" w:rsidP="00CF5641">
            <w:pPr>
              <w:pStyle w:val="Bullet1"/>
              <w:rPr>
                <w:sz w:val="20"/>
              </w:rPr>
            </w:pPr>
            <w:r w:rsidRPr="00042912">
              <w:rPr>
                <w:sz w:val="20"/>
              </w:rPr>
              <w:t>Significant guidance and training durin</w:t>
            </w:r>
            <w:r w:rsidR="00042912">
              <w:rPr>
                <w:sz w:val="20"/>
              </w:rPr>
              <w:t xml:space="preserve">g the 2020–21 period included: </w:t>
            </w:r>
          </w:p>
          <w:p w14:paraId="44BBAC75" w14:textId="77777777" w:rsidR="006E2E47" w:rsidRPr="00042912" w:rsidRDefault="006E2E47" w:rsidP="00042912">
            <w:pPr>
              <w:pStyle w:val="Bullet2"/>
              <w:spacing w:before="40" w:after="40"/>
              <w:rPr>
                <w:sz w:val="20"/>
              </w:rPr>
            </w:pPr>
            <w:r w:rsidRPr="00042912">
              <w:rPr>
                <w:sz w:val="20"/>
              </w:rPr>
              <w:t>the Worker Orientation Module – Quality, Safety and You</w:t>
            </w:r>
          </w:p>
          <w:p w14:paraId="6ED3E4DC" w14:textId="77777777" w:rsidR="006E2E47" w:rsidRPr="00042912" w:rsidRDefault="006E2E47" w:rsidP="00042912">
            <w:pPr>
              <w:pStyle w:val="Bullet2"/>
              <w:spacing w:before="40" w:after="40"/>
              <w:rPr>
                <w:sz w:val="20"/>
              </w:rPr>
            </w:pPr>
            <w:r w:rsidRPr="00042912">
              <w:rPr>
                <w:sz w:val="20"/>
              </w:rPr>
              <w:t>five practice alerts published to support providers in identifying and reducing risks associated with the avoidable deaths of NDIS participants, developed in response to related research undertaken by Professor Julian Trollor and Dr Carmela Salomon into physical and pharmacological contributors</w:t>
            </w:r>
          </w:p>
          <w:p w14:paraId="51FFBC63" w14:textId="77777777" w:rsidR="006E2E47" w:rsidRPr="00042912" w:rsidRDefault="006E2E47" w:rsidP="00042912">
            <w:pPr>
              <w:pStyle w:val="Bullet2"/>
              <w:spacing w:before="40" w:after="40"/>
              <w:rPr>
                <w:sz w:val="20"/>
              </w:rPr>
            </w:pPr>
            <w:r w:rsidRPr="00042912">
              <w:rPr>
                <w:sz w:val="20"/>
              </w:rPr>
              <w:t>a New Worker - NDIS Induction e-learning program, which was developed to support providers to induct new staff who may be unfamiliar with the disability sector</w:t>
            </w:r>
          </w:p>
          <w:p w14:paraId="5AEB1487" w14:textId="77777777" w:rsidR="006E2E47" w:rsidRPr="003E2932" w:rsidRDefault="006E2E47" w:rsidP="003E2932">
            <w:pPr>
              <w:pStyle w:val="Bullet2"/>
              <w:spacing w:before="40" w:after="40"/>
              <w:rPr>
                <w:sz w:val="20"/>
              </w:rPr>
            </w:pPr>
            <w:r w:rsidRPr="00042912">
              <w:rPr>
                <w:sz w:val="20"/>
              </w:rPr>
              <w:t xml:space="preserve">the promotion of the Australian Government Department of Health’s free online training module, </w:t>
            </w:r>
            <w:r w:rsidR="00B43C31" w:rsidRPr="00042912">
              <w:rPr>
                <w:sz w:val="20"/>
              </w:rPr>
              <w:t>‘</w:t>
            </w:r>
            <w:r w:rsidRPr="00042912">
              <w:rPr>
                <w:sz w:val="20"/>
              </w:rPr>
              <w:t>Infection prevention and control for COVID-19</w:t>
            </w:r>
            <w:r w:rsidR="00B43C31" w:rsidRPr="00042912">
              <w:rPr>
                <w:sz w:val="20"/>
              </w:rPr>
              <w:t>’</w:t>
            </w:r>
            <w:r w:rsidRPr="00042912">
              <w:rPr>
                <w:sz w:val="20"/>
              </w:rPr>
              <w:t xml:space="preserve"> via </w:t>
            </w:r>
            <w:r w:rsidR="00B43C31" w:rsidRPr="00042912">
              <w:rPr>
                <w:sz w:val="20"/>
              </w:rPr>
              <w:t>various communication channels</w:t>
            </w:r>
            <w:r w:rsidR="00042912">
              <w:rPr>
                <w:sz w:val="20"/>
              </w:rPr>
              <w:t>.</w:t>
            </w:r>
          </w:p>
        </w:tc>
      </w:tr>
    </w:tbl>
    <w:p w14:paraId="3FB1D789" w14:textId="77777777" w:rsidR="00F70E7F" w:rsidRPr="00A8207D" w:rsidRDefault="00F70E7F" w:rsidP="000F0DA7">
      <w:pPr>
        <w:tabs>
          <w:tab w:val="left" w:pos="4383"/>
        </w:tabs>
        <w:spacing w:before="0" w:after="120" w:line="276" w:lineRule="auto"/>
        <w:ind w:left="426"/>
        <w:rPr>
          <w:rFonts w:cstheme="minorHAnsi"/>
          <w:color w:val="auto"/>
          <w:spacing w:val="4"/>
          <w:sz w:val="20"/>
        </w:rPr>
      </w:pPr>
    </w:p>
    <w:p w14:paraId="24A6798A" w14:textId="77777777" w:rsidR="0004571B" w:rsidRDefault="0004571B">
      <w:pPr>
        <w:suppressAutoHyphens w:val="0"/>
        <w:spacing w:before="120" w:after="120" w:line="240" w:lineRule="auto"/>
        <w:rPr>
          <w:rFonts w:asciiTheme="majorHAnsi" w:eastAsiaTheme="majorEastAsia" w:hAnsiTheme="majorHAnsi" w:cstheme="majorBidi"/>
          <w:b/>
          <w:color w:val="85367B"/>
          <w:sz w:val="34"/>
          <w:szCs w:val="34"/>
        </w:rPr>
      </w:pPr>
      <w:r>
        <w:br w:type="page"/>
      </w:r>
    </w:p>
    <w:p w14:paraId="219163A6" w14:textId="77777777" w:rsidR="00CC72AA" w:rsidRDefault="00FB5BAF" w:rsidP="00F868BB">
      <w:pPr>
        <w:pStyle w:val="Heading2"/>
      </w:pPr>
      <w:bookmarkStart w:id="21" w:name="_Toc128477926"/>
      <w:r w:rsidRPr="00FB5BAF">
        <w:lastRenderedPageBreak/>
        <w:t>KPI 3 - Actions undertaken by regulators are proportionate to the regulatory risk being managed</w:t>
      </w:r>
      <w:bookmarkEnd w:id="21"/>
    </w:p>
    <w:p w14:paraId="26DF9F69" w14:textId="217FF3EA" w:rsidR="00513A09" w:rsidRPr="001645E2" w:rsidRDefault="00FB5BAF" w:rsidP="00870C23">
      <w:pPr>
        <w:spacing w:before="0" w:after="120" w:line="276" w:lineRule="auto"/>
        <w:rPr>
          <w:rFonts w:cstheme="minorHAnsi"/>
          <w:i/>
          <w:color w:val="auto"/>
          <w:spacing w:val="4"/>
          <w:sz w:val="24"/>
        </w:rPr>
      </w:pPr>
      <w:r w:rsidRPr="00820CF3">
        <w:rPr>
          <w:rFonts w:cstheme="minorHAnsi"/>
          <w:i/>
          <w:color w:val="auto"/>
          <w:spacing w:val="4"/>
          <w:sz w:val="24"/>
        </w:rPr>
        <w:t>Rating</w:t>
      </w:r>
      <w:r w:rsidRPr="00FB5BAF">
        <w:rPr>
          <w:rFonts w:cstheme="minorHAnsi"/>
          <w:i/>
          <w:color w:val="auto"/>
          <w:spacing w:val="4"/>
          <w:sz w:val="24"/>
        </w:rPr>
        <w:t>:</w:t>
      </w:r>
    </w:p>
    <w:tbl>
      <w:tblPr>
        <w:tblStyle w:val="TableGrid"/>
        <w:tblW w:w="0" w:type="auto"/>
        <w:tblLook w:val="04A0" w:firstRow="1" w:lastRow="0" w:firstColumn="1" w:lastColumn="0" w:noHBand="0" w:noVBand="1"/>
        <w:tblCaption w:val="Comparison Rating KPI3"/>
        <w:tblDescription w:val="Comparison of 2019-20 rating to 2020-21"/>
      </w:tblPr>
      <w:tblGrid>
        <w:gridCol w:w="2547"/>
        <w:gridCol w:w="2693"/>
      </w:tblGrid>
      <w:tr w:rsidR="001645E2" w:rsidRPr="00E434E0" w14:paraId="1D09BD08" w14:textId="77777777" w:rsidTr="00FA7EC3">
        <w:trPr>
          <w:tblHeader/>
        </w:trPr>
        <w:tc>
          <w:tcPr>
            <w:tcW w:w="2547" w:type="dxa"/>
            <w:shd w:val="clear" w:color="auto" w:fill="612C69"/>
            <w:vAlign w:val="center"/>
          </w:tcPr>
          <w:p w14:paraId="4E0688E8"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6BBF1807"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1645E2" w14:paraId="03935257" w14:textId="77777777" w:rsidTr="002E0B88">
        <w:tc>
          <w:tcPr>
            <w:tcW w:w="2547" w:type="dxa"/>
            <w:shd w:val="clear" w:color="auto" w:fill="C59BD7" w:themeFill="text2" w:themeFillTint="66"/>
          </w:tcPr>
          <w:p w14:paraId="19A59262" w14:textId="77777777" w:rsidR="001645E2" w:rsidRDefault="001645E2" w:rsidP="00E54F09">
            <w:pPr>
              <w:suppressAutoHyphens w:val="0"/>
              <w:spacing w:before="0" w:after="120" w:line="276" w:lineRule="auto"/>
              <w:rPr>
                <w:rFonts w:cstheme="minorHAnsi"/>
                <w:color w:val="auto"/>
                <w:sz w:val="20"/>
                <w:szCs w:val="22"/>
              </w:rPr>
            </w:pPr>
          </w:p>
          <w:p w14:paraId="7FED6F19" w14:textId="77777777" w:rsidR="001645E2" w:rsidRDefault="001645E2" w:rsidP="00E54F09">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c>
          <w:tcPr>
            <w:tcW w:w="2693" w:type="dxa"/>
          </w:tcPr>
          <w:p w14:paraId="52CC0672" w14:textId="77777777" w:rsidR="001645E2" w:rsidRDefault="001645E2" w:rsidP="00E54F09">
            <w:pPr>
              <w:suppressAutoHyphens w:val="0"/>
              <w:spacing w:before="0" w:after="120" w:line="276" w:lineRule="auto"/>
              <w:rPr>
                <w:rFonts w:cstheme="minorHAnsi"/>
                <w:sz w:val="20"/>
                <w:szCs w:val="22"/>
              </w:rPr>
            </w:pPr>
          </w:p>
          <w:p w14:paraId="782020B2" w14:textId="77777777" w:rsidR="001645E2" w:rsidRDefault="001645E2" w:rsidP="00E54F09">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Pr="00E434E0">
              <w:rPr>
                <w:rFonts w:cstheme="minorHAnsi"/>
                <w:color w:val="5F2E74" w:themeColor="text2"/>
                <w:sz w:val="96"/>
                <w:szCs w:val="96"/>
              </w:rPr>
              <w:sym w:font="Webdings" w:char="F0D5"/>
            </w:r>
          </w:p>
        </w:tc>
      </w:tr>
    </w:tbl>
    <w:p w14:paraId="187A672C" w14:textId="77777777" w:rsidR="001645E2" w:rsidRDefault="001645E2" w:rsidP="00870C23">
      <w:pPr>
        <w:spacing w:before="0" w:after="120" w:line="276" w:lineRule="auto"/>
        <w:rPr>
          <w:rFonts w:cstheme="minorHAnsi"/>
          <w:color w:val="333333"/>
          <w:spacing w:val="4"/>
          <w:sz w:val="20"/>
        </w:rPr>
      </w:pPr>
    </w:p>
    <w:p w14:paraId="6BF34C18" w14:textId="77777777" w:rsidR="00513A09" w:rsidRPr="003E2932" w:rsidRDefault="001E16E6" w:rsidP="00513A09">
      <w:pPr>
        <w:suppressAutoHyphens w:val="0"/>
        <w:spacing w:before="0" w:after="120" w:line="276" w:lineRule="auto"/>
        <w:rPr>
          <w:rFonts w:cstheme="minorHAnsi"/>
          <w:i/>
          <w:color w:val="333333"/>
          <w:spacing w:val="4"/>
          <w:sz w:val="20"/>
          <w:u w:val="single"/>
        </w:rPr>
      </w:pPr>
      <w:r w:rsidRPr="003E2932">
        <w:rPr>
          <w:rFonts w:cstheme="minorHAnsi"/>
          <w:i/>
          <w:color w:val="333333"/>
          <w:spacing w:val="4"/>
          <w:sz w:val="20"/>
          <w:u w:val="single"/>
        </w:rPr>
        <w:t>Summary</w:t>
      </w:r>
      <w:r w:rsidR="00513A09" w:rsidRPr="003E2932">
        <w:rPr>
          <w:rFonts w:cstheme="minorHAnsi"/>
          <w:i/>
          <w:color w:val="333333"/>
          <w:spacing w:val="4"/>
          <w:sz w:val="20"/>
          <w:u w:val="single"/>
        </w:rPr>
        <w:t xml:space="preserve"> </w:t>
      </w:r>
    </w:p>
    <w:p w14:paraId="091E51D8" w14:textId="77777777" w:rsidR="00471D50" w:rsidRDefault="00513A09" w:rsidP="00513A09">
      <w:pPr>
        <w:spacing w:before="0" w:after="120" w:line="276" w:lineRule="auto"/>
        <w:rPr>
          <w:rFonts w:cstheme="minorHAnsi"/>
          <w:i/>
          <w:color w:val="auto"/>
          <w:spacing w:val="4"/>
          <w:sz w:val="20"/>
        </w:rPr>
      </w:pPr>
      <w:r>
        <w:rPr>
          <w:rFonts w:cstheme="minorHAnsi"/>
          <w:i/>
          <w:color w:val="auto"/>
          <w:spacing w:val="4"/>
          <w:sz w:val="20"/>
        </w:rPr>
        <w:t>T</w:t>
      </w:r>
      <w:r w:rsidR="00DF2390">
        <w:rPr>
          <w:rFonts w:cstheme="minorHAnsi"/>
          <w:i/>
          <w:color w:val="auto"/>
          <w:spacing w:val="4"/>
          <w:sz w:val="20"/>
        </w:rPr>
        <w:t xml:space="preserve">he NDIS Commission further established its risk-based approach to registration </w:t>
      </w:r>
      <w:r w:rsidR="00471D50">
        <w:rPr>
          <w:rFonts w:cstheme="minorHAnsi"/>
          <w:i/>
          <w:color w:val="auto"/>
          <w:spacing w:val="4"/>
          <w:sz w:val="20"/>
        </w:rPr>
        <w:t xml:space="preserve">and compliance/enforcement action </w:t>
      </w:r>
      <w:r w:rsidR="00DF2390">
        <w:rPr>
          <w:rFonts w:cstheme="minorHAnsi"/>
          <w:i/>
          <w:color w:val="auto"/>
          <w:spacing w:val="4"/>
          <w:sz w:val="20"/>
        </w:rPr>
        <w:t xml:space="preserve">across all jurisdictions throughout 2020-21. </w:t>
      </w:r>
    </w:p>
    <w:p w14:paraId="6FBB2376" w14:textId="5939171F" w:rsidR="00DF2390" w:rsidRDefault="00471D50" w:rsidP="00513A09">
      <w:pPr>
        <w:spacing w:before="0" w:after="120" w:line="276" w:lineRule="auto"/>
        <w:rPr>
          <w:rFonts w:cstheme="minorHAnsi"/>
          <w:i/>
          <w:color w:val="auto"/>
          <w:spacing w:val="4"/>
          <w:sz w:val="20"/>
        </w:rPr>
      </w:pPr>
      <w:r>
        <w:rPr>
          <w:rFonts w:cstheme="minorHAnsi"/>
          <w:i/>
          <w:color w:val="auto"/>
          <w:spacing w:val="4"/>
          <w:sz w:val="20"/>
        </w:rPr>
        <w:t>Provider assessments were</w:t>
      </w:r>
      <w:r w:rsidR="00DF2390">
        <w:rPr>
          <w:rFonts w:cstheme="minorHAnsi"/>
          <w:i/>
          <w:color w:val="auto"/>
          <w:spacing w:val="4"/>
          <w:sz w:val="20"/>
        </w:rPr>
        <w:t xml:space="preserve"> based on the level of risk inherent in their activities.</w:t>
      </w:r>
      <w:r w:rsidR="00466320">
        <w:rPr>
          <w:rFonts w:cstheme="minorHAnsi"/>
          <w:i/>
          <w:color w:val="auto"/>
          <w:spacing w:val="4"/>
          <w:sz w:val="20"/>
        </w:rPr>
        <w:t xml:space="preserve"> In particular over the period, the Commission ensured appropriate engagement with the residential aged care sector in order to </w:t>
      </w:r>
      <w:r w:rsidR="003F373B">
        <w:rPr>
          <w:rFonts w:cstheme="minorHAnsi"/>
          <w:i/>
          <w:color w:val="auto"/>
          <w:spacing w:val="4"/>
          <w:sz w:val="20"/>
        </w:rPr>
        <w:t>inform and ensure risk-based regulatory approaches, including worker screening and audit processes, following the</w:t>
      </w:r>
      <w:r w:rsidR="00466320">
        <w:rPr>
          <w:rFonts w:cstheme="minorHAnsi"/>
          <w:i/>
          <w:color w:val="auto"/>
          <w:spacing w:val="4"/>
          <w:sz w:val="20"/>
        </w:rPr>
        <w:t xml:space="preserve"> transition of </w:t>
      </w:r>
      <w:r w:rsidR="003F373B">
        <w:rPr>
          <w:rFonts w:cstheme="minorHAnsi"/>
          <w:i/>
          <w:color w:val="auto"/>
          <w:spacing w:val="4"/>
          <w:sz w:val="20"/>
        </w:rPr>
        <w:t xml:space="preserve">aged care </w:t>
      </w:r>
      <w:r w:rsidR="00466320">
        <w:rPr>
          <w:rFonts w:cstheme="minorHAnsi"/>
          <w:i/>
          <w:color w:val="auto"/>
          <w:spacing w:val="4"/>
          <w:sz w:val="20"/>
        </w:rPr>
        <w:t>providers</w:t>
      </w:r>
      <w:r w:rsidR="003F373B">
        <w:rPr>
          <w:rFonts w:cstheme="minorHAnsi"/>
          <w:i/>
          <w:color w:val="auto"/>
          <w:spacing w:val="4"/>
          <w:sz w:val="20"/>
        </w:rPr>
        <w:t xml:space="preserve"> supporting NDIS participants to the NDIS Commission on 1 December 2020. </w:t>
      </w:r>
    </w:p>
    <w:p w14:paraId="7E38DCA5" w14:textId="659C962F" w:rsidR="00471D50" w:rsidRDefault="00471D50" w:rsidP="00513A09">
      <w:pPr>
        <w:spacing w:before="0" w:after="120" w:line="276" w:lineRule="auto"/>
        <w:rPr>
          <w:rFonts w:cstheme="minorHAnsi"/>
          <w:i/>
          <w:color w:val="auto"/>
          <w:spacing w:val="4"/>
          <w:sz w:val="20"/>
        </w:rPr>
      </w:pPr>
      <w:r>
        <w:rPr>
          <w:rFonts w:cstheme="minorHAnsi"/>
          <w:i/>
          <w:color w:val="auto"/>
          <w:spacing w:val="4"/>
          <w:sz w:val="20"/>
        </w:rPr>
        <w:t xml:space="preserve">For a clear picture of our regulatory model, please see </w:t>
      </w:r>
      <w:hyperlink w:anchor="_Our_regulatory_approach" w:history="1">
        <w:r w:rsidR="00E72548" w:rsidRPr="009C2C33">
          <w:rPr>
            <w:rStyle w:val="Hyperlink"/>
            <w:rFonts w:cstheme="minorHAnsi"/>
            <w:i/>
            <w:spacing w:val="4"/>
            <w:sz w:val="20"/>
          </w:rPr>
          <w:t>‘Our regulatory approach’</w:t>
        </w:r>
      </w:hyperlink>
      <w:r w:rsidR="00E72548">
        <w:rPr>
          <w:rFonts w:cstheme="minorHAnsi"/>
          <w:i/>
          <w:color w:val="auto"/>
          <w:spacing w:val="4"/>
          <w:sz w:val="20"/>
        </w:rPr>
        <w:t xml:space="preserve"> on page </w:t>
      </w:r>
      <w:r w:rsidR="001F7825">
        <w:rPr>
          <w:rFonts w:cstheme="minorHAnsi"/>
          <w:i/>
          <w:color w:val="auto"/>
          <w:spacing w:val="4"/>
          <w:sz w:val="20"/>
        </w:rPr>
        <w:t>8</w:t>
      </w:r>
      <w:r w:rsidR="00E72548">
        <w:rPr>
          <w:rFonts w:cstheme="minorHAnsi"/>
          <w:i/>
          <w:color w:val="auto"/>
          <w:spacing w:val="4"/>
          <w:sz w:val="20"/>
        </w:rPr>
        <w:t>.</w:t>
      </w:r>
    </w:p>
    <w:p w14:paraId="794C51B0" w14:textId="77777777" w:rsidR="001E16E6" w:rsidRDefault="00DF2390" w:rsidP="00513A09">
      <w:pPr>
        <w:spacing w:before="0" w:after="120" w:line="276" w:lineRule="auto"/>
        <w:rPr>
          <w:rFonts w:cstheme="minorHAnsi"/>
          <w:i/>
          <w:color w:val="auto"/>
          <w:spacing w:val="4"/>
          <w:sz w:val="20"/>
        </w:rPr>
      </w:pPr>
      <w:r>
        <w:rPr>
          <w:rFonts w:cstheme="minorHAnsi"/>
          <w:i/>
          <w:color w:val="auto"/>
          <w:spacing w:val="4"/>
          <w:sz w:val="20"/>
        </w:rPr>
        <w:t xml:space="preserve">COVID-19 required </w:t>
      </w:r>
      <w:r w:rsidR="00466320">
        <w:rPr>
          <w:rFonts w:cstheme="minorHAnsi"/>
          <w:i/>
          <w:color w:val="auto"/>
          <w:spacing w:val="4"/>
          <w:sz w:val="20"/>
        </w:rPr>
        <w:t xml:space="preserve">regular and fast </w:t>
      </w:r>
      <w:r>
        <w:rPr>
          <w:rFonts w:cstheme="minorHAnsi"/>
          <w:i/>
          <w:color w:val="auto"/>
          <w:spacing w:val="4"/>
          <w:sz w:val="20"/>
        </w:rPr>
        <w:t>change</w:t>
      </w:r>
      <w:r w:rsidR="000C66AB">
        <w:rPr>
          <w:rFonts w:cstheme="minorHAnsi"/>
          <w:i/>
          <w:color w:val="auto"/>
          <w:spacing w:val="4"/>
          <w:sz w:val="20"/>
        </w:rPr>
        <w:t>s</w:t>
      </w:r>
      <w:r>
        <w:rPr>
          <w:rFonts w:cstheme="minorHAnsi"/>
          <w:i/>
          <w:color w:val="auto"/>
          <w:spacing w:val="4"/>
          <w:sz w:val="20"/>
        </w:rPr>
        <w:t xml:space="preserve"> in</w:t>
      </w:r>
      <w:r w:rsidR="000C66AB">
        <w:rPr>
          <w:rFonts w:cstheme="minorHAnsi"/>
          <w:i/>
          <w:color w:val="auto"/>
          <w:spacing w:val="4"/>
          <w:sz w:val="20"/>
        </w:rPr>
        <w:t xml:space="preserve"> the Commission’s</w:t>
      </w:r>
      <w:r>
        <w:rPr>
          <w:rFonts w:cstheme="minorHAnsi"/>
          <w:i/>
          <w:color w:val="auto"/>
          <w:spacing w:val="4"/>
          <w:sz w:val="20"/>
        </w:rPr>
        <w:t xml:space="preserve"> regulatory response</w:t>
      </w:r>
      <w:r w:rsidR="000C66AB">
        <w:rPr>
          <w:rFonts w:cstheme="minorHAnsi"/>
          <w:i/>
          <w:color w:val="auto"/>
          <w:spacing w:val="4"/>
          <w:sz w:val="20"/>
        </w:rPr>
        <w:t xml:space="preserve">. We closely </w:t>
      </w:r>
      <w:r>
        <w:rPr>
          <w:rFonts w:cstheme="minorHAnsi"/>
          <w:i/>
          <w:color w:val="auto"/>
          <w:spacing w:val="4"/>
          <w:sz w:val="20"/>
        </w:rPr>
        <w:t>monitored public health outcomes and orders in all states and territories and responded</w:t>
      </w:r>
      <w:r w:rsidR="000C66AB">
        <w:rPr>
          <w:rFonts w:cstheme="minorHAnsi"/>
          <w:i/>
          <w:color w:val="auto"/>
          <w:spacing w:val="4"/>
          <w:sz w:val="20"/>
        </w:rPr>
        <w:t xml:space="preserve"> within any resultant parameters. Participant welfare remained the overarching </w:t>
      </w:r>
      <w:r w:rsidR="009E7303">
        <w:rPr>
          <w:rFonts w:cstheme="minorHAnsi"/>
          <w:i/>
          <w:color w:val="auto"/>
          <w:spacing w:val="4"/>
          <w:sz w:val="20"/>
        </w:rPr>
        <w:t>priority;</w:t>
      </w:r>
      <w:r w:rsidR="000C66AB">
        <w:rPr>
          <w:rFonts w:cstheme="minorHAnsi"/>
          <w:i/>
          <w:color w:val="auto"/>
          <w:spacing w:val="4"/>
          <w:sz w:val="20"/>
        </w:rPr>
        <w:t xml:space="preserve"> </w:t>
      </w:r>
      <w:r w:rsidR="009E7303">
        <w:rPr>
          <w:rFonts w:cstheme="minorHAnsi"/>
          <w:i/>
          <w:color w:val="auto"/>
          <w:spacing w:val="4"/>
          <w:sz w:val="20"/>
        </w:rPr>
        <w:t>however,</w:t>
      </w:r>
      <w:r w:rsidR="000C66AB">
        <w:rPr>
          <w:rFonts w:cstheme="minorHAnsi"/>
          <w:i/>
          <w:color w:val="auto"/>
          <w:spacing w:val="4"/>
          <w:sz w:val="20"/>
        </w:rPr>
        <w:t xml:space="preserve"> the Commission continued to consider the challenges faced by providers during the pandemic, and to assist them in meeting their obligations within the changing health conditions of each state and territory. </w:t>
      </w:r>
    </w:p>
    <w:p w14:paraId="7FE6B575" w14:textId="77777777" w:rsidR="001E16E6" w:rsidRPr="00CF5641" w:rsidRDefault="001E16E6" w:rsidP="00513A09">
      <w:pPr>
        <w:spacing w:before="0" w:after="120" w:line="276" w:lineRule="auto"/>
        <w:rPr>
          <w:rFonts w:cstheme="minorHAnsi"/>
          <w:i/>
          <w:color w:val="auto"/>
          <w:spacing w:val="4"/>
          <w:sz w:val="20"/>
        </w:rPr>
      </w:pPr>
      <w:r>
        <w:rPr>
          <w:rFonts w:cstheme="minorHAnsi"/>
          <w:i/>
          <w:color w:val="auto"/>
          <w:spacing w:val="4"/>
          <w:sz w:val="20"/>
        </w:rPr>
        <w:t>While progress against the overall KPI has been achieved, there is space for the NDIS Commission to continue to refine risk-based regulatory processes, in order to enable greater autonomy for providers where earned and possible.</w:t>
      </w:r>
    </w:p>
    <w:p w14:paraId="50CC58B1" w14:textId="7BB1D933" w:rsidR="005B589A" w:rsidRDefault="003251D3" w:rsidP="003251D3">
      <w:pPr>
        <w:pStyle w:val="Heading3"/>
      </w:pPr>
      <w:bookmarkStart w:id="22" w:name="_Toc128477927"/>
      <w:r w:rsidRPr="00870C23">
        <w:lastRenderedPageBreak/>
        <w:t>Measure 3.1: We apply a risk-based, proportionate approach to compliance obligations, engagement and regulatory enforcement actions</w:t>
      </w:r>
      <w:bookmarkEnd w:id="22"/>
    </w:p>
    <w:tbl>
      <w:tblPr>
        <w:tblStyle w:val="TableGrid"/>
        <w:tblW w:w="9776" w:type="dxa"/>
        <w:tblLook w:val="04A0" w:firstRow="1" w:lastRow="0" w:firstColumn="1" w:lastColumn="0" w:noHBand="0" w:noVBand="1"/>
        <w:tblDescription w:val="This table details measures and responses in relation to regulatory performance measure 3.1. A summary of all the outcomes against KPI3 is available at the beginning of this section, on page 19."/>
      </w:tblPr>
      <w:tblGrid>
        <w:gridCol w:w="2689"/>
        <w:gridCol w:w="7087"/>
      </w:tblGrid>
      <w:tr w:rsidR="005B589A" w14:paraId="41D42694" w14:textId="77777777" w:rsidTr="00FA7EC3">
        <w:trPr>
          <w:cantSplit/>
          <w:tblHeader/>
        </w:trPr>
        <w:tc>
          <w:tcPr>
            <w:tcW w:w="2689" w:type="dxa"/>
            <w:shd w:val="clear" w:color="auto" w:fill="612C69"/>
          </w:tcPr>
          <w:p w14:paraId="4A735CA3" w14:textId="77777777" w:rsidR="005B589A" w:rsidRPr="00FA7EC3" w:rsidRDefault="005B589A" w:rsidP="005351A4">
            <w:pPr>
              <w:rPr>
                <w:b/>
                <w:color w:val="FFFFFF" w:themeColor="background1"/>
              </w:rPr>
            </w:pPr>
            <w:r w:rsidRPr="00FA7EC3">
              <w:rPr>
                <w:b/>
                <w:color w:val="FFFFFF" w:themeColor="background1"/>
              </w:rPr>
              <w:t>Requirement</w:t>
            </w:r>
          </w:p>
        </w:tc>
        <w:tc>
          <w:tcPr>
            <w:tcW w:w="7087" w:type="dxa"/>
            <w:shd w:val="clear" w:color="auto" w:fill="612C69"/>
          </w:tcPr>
          <w:p w14:paraId="46B5A6FE" w14:textId="77777777" w:rsidR="005B589A" w:rsidRPr="00FA7EC3" w:rsidRDefault="005B589A"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5B589A" w14:paraId="7C450407" w14:textId="77777777" w:rsidTr="003715E4">
        <w:trPr>
          <w:cantSplit/>
        </w:trPr>
        <w:tc>
          <w:tcPr>
            <w:tcW w:w="2689" w:type="dxa"/>
          </w:tcPr>
          <w:p w14:paraId="02D8E079" w14:textId="77777777" w:rsidR="005B589A" w:rsidRPr="00042912" w:rsidRDefault="005B589A" w:rsidP="00CF5641">
            <w:pPr>
              <w:pStyle w:val="Bullet1"/>
              <w:numPr>
                <w:ilvl w:val="0"/>
                <w:numId w:val="0"/>
              </w:numPr>
              <w:rPr>
                <w:i/>
                <w:sz w:val="20"/>
              </w:rPr>
            </w:pPr>
            <w:r w:rsidRPr="00042912">
              <w:rPr>
                <w:i/>
                <w:sz w:val="20"/>
              </w:rPr>
              <w:t>3.1.1 A range of response actions are used that are proportionate to the level of risk identified, including graduated compliance actions depending on the severity of an issue.</w:t>
            </w:r>
          </w:p>
          <w:p w14:paraId="55283A3A" w14:textId="77777777" w:rsidR="005B589A" w:rsidRPr="00042912" w:rsidRDefault="005B589A" w:rsidP="005B589A">
            <w:pPr>
              <w:pStyle w:val="Bullet1"/>
              <w:numPr>
                <w:ilvl w:val="0"/>
                <w:numId w:val="0"/>
              </w:numPr>
              <w:rPr>
                <w:i/>
                <w:sz w:val="20"/>
              </w:rPr>
            </w:pPr>
          </w:p>
        </w:tc>
        <w:tc>
          <w:tcPr>
            <w:tcW w:w="7087" w:type="dxa"/>
          </w:tcPr>
          <w:p w14:paraId="1A2A40B2" w14:textId="77777777" w:rsidR="005B589A" w:rsidRDefault="005B589A" w:rsidP="005B589A">
            <w:pPr>
              <w:pStyle w:val="Bullet1"/>
              <w:rPr>
                <w:sz w:val="20"/>
              </w:rPr>
            </w:pPr>
            <w:r w:rsidRPr="00042912">
              <w:rPr>
                <w:sz w:val="20"/>
              </w:rPr>
              <w:t xml:space="preserve">Audits required as part of the registration process are based on the level of risk associated with the supports or services being provided, and tailored to the size and scope of the provider’s activities. The verification assessment method (a desk audit of the provider’s documents) generally applies to lower-risk, less complex supports and services; while the certification assessment method (a desk audit plus witnessing of service delivery and interviews) generally applies to higher-risk, more complex supports and services. </w:t>
            </w:r>
          </w:p>
          <w:p w14:paraId="034EACBA" w14:textId="354FB5F9" w:rsidR="009C2C33" w:rsidRPr="00042912" w:rsidRDefault="009C2C33" w:rsidP="001F7825">
            <w:pPr>
              <w:pStyle w:val="Bullet1"/>
              <w:rPr>
                <w:sz w:val="20"/>
              </w:rPr>
            </w:pPr>
            <w:r>
              <w:rPr>
                <w:sz w:val="20"/>
              </w:rPr>
              <w:t xml:space="preserve">The Commission uses a wide range of actions in response to the need for compliance and enforcement. </w:t>
            </w:r>
            <w:r w:rsidRPr="009C2C33">
              <w:rPr>
                <w:sz w:val="20"/>
              </w:rPr>
              <w:t>While it is open to the NDIS Commission to proceed directly with the strongest actions should the case require, the primary approach to achieving ongoing compliance and building the capacity of the sector is to educate, advise and encourage NDIS providers and workers to identify and understand their obligations and improve their practice.</w:t>
            </w:r>
            <w:r>
              <w:rPr>
                <w:sz w:val="20"/>
              </w:rPr>
              <w:t xml:space="preserve"> Our </w:t>
            </w:r>
            <w:hyperlink w:anchor="_Our_regulatory_approach" w:history="1">
              <w:r w:rsidRPr="009C2C33">
                <w:rPr>
                  <w:rStyle w:val="Hyperlink"/>
                  <w:sz w:val="20"/>
                </w:rPr>
                <w:t>regulatory model</w:t>
              </w:r>
            </w:hyperlink>
            <w:r>
              <w:rPr>
                <w:sz w:val="20"/>
              </w:rPr>
              <w:t xml:space="preserve"> is available on page </w:t>
            </w:r>
            <w:r w:rsidR="001F7825">
              <w:rPr>
                <w:sz w:val="20"/>
              </w:rPr>
              <w:t>8</w:t>
            </w:r>
            <w:r>
              <w:rPr>
                <w:sz w:val="20"/>
              </w:rPr>
              <w:t>.</w:t>
            </w:r>
          </w:p>
        </w:tc>
      </w:tr>
    </w:tbl>
    <w:p w14:paraId="7CB457EF" w14:textId="7A6F0A86" w:rsidR="003715E4" w:rsidRPr="003715E4" w:rsidRDefault="008A421E" w:rsidP="003715E4">
      <w:pPr>
        <w:pStyle w:val="Heading3"/>
      </w:pPr>
      <w:bookmarkStart w:id="23" w:name="_Toc128477928"/>
      <w:r>
        <w:lastRenderedPageBreak/>
        <w:t>Measure 3.2: We regularly re</w:t>
      </w:r>
      <w:r w:rsidR="003251D3" w:rsidRPr="00870C23">
        <w:t>assess our preferred approach to regulatory risk</w:t>
      </w:r>
      <w:bookmarkEnd w:id="23"/>
    </w:p>
    <w:tbl>
      <w:tblPr>
        <w:tblStyle w:val="TableGrid"/>
        <w:tblW w:w="9776" w:type="dxa"/>
        <w:tblLook w:val="04A0" w:firstRow="1" w:lastRow="0" w:firstColumn="1" w:lastColumn="0" w:noHBand="0" w:noVBand="1"/>
        <w:tblDescription w:val="This table details measures and responses in relation to regulatory performance measure 3.2. "/>
      </w:tblPr>
      <w:tblGrid>
        <w:gridCol w:w="2689"/>
        <w:gridCol w:w="7087"/>
      </w:tblGrid>
      <w:tr w:rsidR="005B589A" w14:paraId="555B9C8E" w14:textId="77777777" w:rsidTr="00FA7EC3">
        <w:trPr>
          <w:cantSplit/>
          <w:tblHeader/>
        </w:trPr>
        <w:tc>
          <w:tcPr>
            <w:tcW w:w="2689" w:type="dxa"/>
            <w:shd w:val="clear" w:color="auto" w:fill="612C69"/>
          </w:tcPr>
          <w:p w14:paraId="07AE8260" w14:textId="77777777" w:rsidR="005B589A" w:rsidRPr="00FA7EC3" w:rsidRDefault="005B589A" w:rsidP="005351A4">
            <w:pPr>
              <w:rPr>
                <w:b/>
                <w:color w:val="FFFFFF" w:themeColor="background1"/>
              </w:rPr>
            </w:pPr>
            <w:r w:rsidRPr="00FA7EC3">
              <w:rPr>
                <w:b/>
                <w:color w:val="FFFFFF" w:themeColor="background1"/>
              </w:rPr>
              <w:t>Requirement</w:t>
            </w:r>
          </w:p>
        </w:tc>
        <w:tc>
          <w:tcPr>
            <w:tcW w:w="7087" w:type="dxa"/>
            <w:shd w:val="clear" w:color="auto" w:fill="612C69"/>
          </w:tcPr>
          <w:p w14:paraId="4CCC5166" w14:textId="77777777" w:rsidR="005B589A" w:rsidRPr="00FA7EC3" w:rsidRDefault="005B589A"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C57B68" w14:paraId="6559FFC9" w14:textId="77777777" w:rsidTr="003715E4">
        <w:trPr>
          <w:cantSplit/>
        </w:trPr>
        <w:tc>
          <w:tcPr>
            <w:tcW w:w="2689" w:type="dxa"/>
          </w:tcPr>
          <w:p w14:paraId="3691E002" w14:textId="77777777" w:rsidR="00C57B68" w:rsidRPr="00042912" w:rsidRDefault="00C57B68" w:rsidP="00C57B68">
            <w:pPr>
              <w:pStyle w:val="Bullet1"/>
              <w:numPr>
                <w:ilvl w:val="0"/>
                <w:numId w:val="0"/>
              </w:numPr>
              <w:rPr>
                <w:bCs/>
                <w:i/>
                <w:sz w:val="20"/>
              </w:rPr>
            </w:pPr>
            <w:r w:rsidRPr="00042912">
              <w:rPr>
                <w:bCs/>
                <w:i/>
                <w:sz w:val="20"/>
              </w:rPr>
              <w:t>3.2.1 Strategies, activities and enforcement actions are amended to reflect changing priorities that result from new and evolving regulatory threats, without diminishing regulatory certainty or impact</w:t>
            </w:r>
          </w:p>
          <w:p w14:paraId="154B8033" w14:textId="77777777" w:rsidR="00C57B68" w:rsidRPr="00042912" w:rsidRDefault="00C57B68" w:rsidP="005351A4">
            <w:pPr>
              <w:rPr>
                <w:b/>
                <w:sz w:val="20"/>
              </w:rPr>
            </w:pPr>
          </w:p>
        </w:tc>
        <w:tc>
          <w:tcPr>
            <w:tcW w:w="7087" w:type="dxa"/>
          </w:tcPr>
          <w:p w14:paraId="0C81E558" w14:textId="77777777" w:rsidR="00C57B68" w:rsidRPr="00042912" w:rsidRDefault="00C57B68" w:rsidP="00C57B68">
            <w:pPr>
              <w:pStyle w:val="Bullet1"/>
              <w:rPr>
                <w:sz w:val="20"/>
              </w:rPr>
            </w:pPr>
            <w:r w:rsidRPr="00042912">
              <w:rPr>
                <w:sz w:val="20"/>
              </w:rPr>
              <w:t>We monitor both the provider market and systemic risk in the NDIS system by leveraging our market oversight and data analytics functions. We use this intelligence to inform a range of our activities including targeted compliance activity, ongoing conduct monitoring and provider suitability assessment.</w:t>
            </w:r>
          </w:p>
          <w:p w14:paraId="6E481903" w14:textId="77777777" w:rsidR="00C57B68" w:rsidRPr="00042912" w:rsidRDefault="00C57B68" w:rsidP="00C57B68">
            <w:pPr>
              <w:pStyle w:val="Bullet1"/>
              <w:rPr>
                <w:sz w:val="20"/>
              </w:rPr>
            </w:pPr>
            <w:r w:rsidRPr="00042912">
              <w:rPr>
                <w:sz w:val="20"/>
              </w:rPr>
              <w:t xml:space="preserve">Our Compliance and Enforcement Committee (CEC) has an integral role in determining and setting the NDIS Commission’s compliance and enforcement policy, strategy, and associated operating procedures. Additionally the CEC monitors the progress of compliance and enforcement activity and the progress of regulatory functions and provides advice to the NDIS Commissioner (or their delegate) on compliance and enforcement trends and their alignment to the Commission Operating Model (COM).  The Committee also provides recommendations for the commencement of proceedings for any breach of a civil penalty provision. </w:t>
            </w:r>
          </w:p>
          <w:p w14:paraId="5EF48332" w14:textId="77777777" w:rsidR="00C57B68" w:rsidRPr="003E2932" w:rsidRDefault="00C57B68" w:rsidP="005351A4">
            <w:pPr>
              <w:pStyle w:val="Bullet1"/>
              <w:rPr>
                <w:b/>
                <w:sz w:val="20"/>
              </w:rPr>
            </w:pPr>
            <w:r w:rsidRPr="00042912">
              <w:rPr>
                <w:sz w:val="20"/>
              </w:rPr>
              <w:t xml:space="preserve">Throughout 2020-21, urgent regulatory responses to a rapidly changing situation with significant risks for both NDIS participants and registered NDIS providers were required due to the ongoing effects of COVID-19. We carefully </w:t>
            </w:r>
            <w:r w:rsidR="009E7303" w:rsidRPr="00042912">
              <w:rPr>
                <w:sz w:val="20"/>
              </w:rPr>
              <w:t>monitored the</w:t>
            </w:r>
            <w:r w:rsidRPr="00042912">
              <w:rPr>
                <w:sz w:val="20"/>
              </w:rPr>
              <w:t xml:space="preserve"> impact that workforce consequences and public health orders had on NDIS participants and providers. This ensured proportionate quality and safeguarding regulation throughout the pandemic. Market oversight activities informed responses at both a federal and state and territory level, and compliance and enforcement priorities were undertaken with a view to safeguarding participant welfare while taking into account the challenges NDIS providers faced during the public health crisis.</w:t>
            </w:r>
          </w:p>
        </w:tc>
      </w:tr>
      <w:tr w:rsidR="00127995" w14:paraId="4D796054" w14:textId="77777777" w:rsidTr="003715E4">
        <w:trPr>
          <w:cantSplit/>
        </w:trPr>
        <w:tc>
          <w:tcPr>
            <w:tcW w:w="2689" w:type="dxa"/>
          </w:tcPr>
          <w:p w14:paraId="48B6AE11" w14:textId="77777777" w:rsidR="00554E62" w:rsidRPr="00042912" w:rsidRDefault="00554E62" w:rsidP="00CF5641">
            <w:pPr>
              <w:rPr>
                <w:bCs/>
                <w:i/>
                <w:sz w:val="20"/>
              </w:rPr>
            </w:pPr>
            <w:r w:rsidRPr="00042912">
              <w:rPr>
                <w:bCs/>
                <w:i/>
                <w:sz w:val="20"/>
              </w:rPr>
              <w:lastRenderedPageBreak/>
              <w:t>3.2.2 Demonstrated avenues for stakeholders to provide feedback, and processes or policies to incorporate/consider feedback when tailoring approaches to risk including collaboration with other agencies</w:t>
            </w:r>
          </w:p>
          <w:p w14:paraId="2340992B" w14:textId="77777777" w:rsidR="00127995" w:rsidRPr="00042912" w:rsidRDefault="00127995" w:rsidP="005351A4">
            <w:pPr>
              <w:rPr>
                <w:b/>
                <w:sz w:val="20"/>
              </w:rPr>
            </w:pPr>
          </w:p>
        </w:tc>
        <w:tc>
          <w:tcPr>
            <w:tcW w:w="7087" w:type="dxa"/>
          </w:tcPr>
          <w:p w14:paraId="0040DC0B" w14:textId="77777777" w:rsidR="00554E62" w:rsidRPr="00042912" w:rsidRDefault="00554E62" w:rsidP="00CF5641">
            <w:pPr>
              <w:pStyle w:val="Bullet1"/>
              <w:rPr>
                <w:sz w:val="20"/>
              </w:rPr>
            </w:pPr>
            <w:r w:rsidRPr="00042912">
              <w:rPr>
                <w:sz w:val="20"/>
              </w:rPr>
              <w:t xml:space="preserve">We collaborate regularly </w:t>
            </w:r>
            <w:r w:rsidR="005D7A94">
              <w:rPr>
                <w:sz w:val="20"/>
              </w:rPr>
              <w:t>with other agencies and provide</w:t>
            </w:r>
            <w:r w:rsidRPr="00042912">
              <w:rPr>
                <w:sz w:val="20"/>
              </w:rPr>
              <w:t xml:space="preserve"> multiple avenues for stakeholders to provide feedback on policies and procedures, as detailed previously in this document. We tailor our risk and regulatory approach based on this feedback. </w:t>
            </w:r>
          </w:p>
          <w:p w14:paraId="5346482B" w14:textId="77777777" w:rsidR="00554E62" w:rsidRPr="00042912" w:rsidRDefault="00554E62" w:rsidP="00CF5641">
            <w:pPr>
              <w:pStyle w:val="Bullet1"/>
              <w:rPr>
                <w:b/>
                <w:sz w:val="20"/>
              </w:rPr>
            </w:pPr>
            <w:r w:rsidRPr="00042912">
              <w:rPr>
                <w:sz w:val="20"/>
              </w:rPr>
              <w:t xml:space="preserve">Appropriate engagement with the residential aged care sector following the transition of providers supporting NDIS participants to the NDIS Commission on 1 December 2020 informed a number of risk-based regulatory responses, including amendments to worker screening arrangements and audit processes. Close engagement with the Department of Social Services, the Department of Health, the National Disability Insurance Agency, and the Aged Care Quality and Safety Commission were critical to delivering these outcomes. </w:t>
            </w:r>
          </w:p>
          <w:p w14:paraId="4A4B7FF9" w14:textId="77777777" w:rsidR="00127995" w:rsidRPr="003E2932" w:rsidRDefault="00554E62" w:rsidP="003E2932">
            <w:pPr>
              <w:pStyle w:val="Bullet1"/>
              <w:rPr>
                <w:sz w:val="20"/>
              </w:rPr>
            </w:pPr>
            <w:r w:rsidRPr="00042912">
              <w:rPr>
                <w:sz w:val="20"/>
              </w:rPr>
              <w:t>During 2020–21, the NDIS Commission reviewed its COVID-19 response and lessons learned and adjusted our approach with feedback from our Consultative Committees and other stakeholders. We continually monitored the COVID-19 situation by assessing the preparedness of registered NDIS providers to avoid and manage the risk of infection, and registered NDIS providers’ compliance with state and territory vaccination mandates fo</w:t>
            </w:r>
            <w:r w:rsidR="003E2932">
              <w:rPr>
                <w:sz w:val="20"/>
              </w:rPr>
              <w:t xml:space="preserve">r staff and NDIS participants. </w:t>
            </w:r>
          </w:p>
        </w:tc>
      </w:tr>
      <w:tr w:rsidR="005B589A" w14:paraId="228BFBE7" w14:textId="77777777" w:rsidTr="003715E4">
        <w:trPr>
          <w:cantSplit/>
        </w:trPr>
        <w:tc>
          <w:tcPr>
            <w:tcW w:w="2689" w:type="dxa"/>
          </w:tcPr>
          <w:p w14:paraId="44714D6F" w14:textId="77777777" w:rsidR="005B589A" w:rsidRPr="00042912" w:rsidRDefault="005B589A" w:rsidP="00CF5641">
            <w:pPr>
              <w:pStyle w:val="Bullet1"/>
              <w:numPr>
                <w:ilvl w:val="0"/>
                <w:numId w:val="0"/>
              </w:numPr>
              <w:rPr>
                <w:bCs/>
                <w:i/>
                <w:sz w:val="20"/>
              </w:rPr>
            </w:pPr>
            <w:r w:rsidRPr="00042912">
              <w:rPr>
                <w:bCs/>
                <w:i/>
                <w:sz w:val="20"/>
              </w:rPr>
              <w:lastRenderedPageBreak/>
              <w:t>3.2.1 Strategies, activities and enforcement actions are amended to reflect changing priorities that result from new and evolving regulatory threats, without diminishing regulatory certainty or impact</w:t>
            </w:r>
          </w:p>
          <w:p w14:paraId="49B469C6" w14:textId="77777777" w:rsidR="005B589A" w:rsidRPr="00042912" w:rsidRDefault="005B589A" w:rsidP="005351A4">
            <w:pPr>
              <w:pStyle w:val="Bullet1"/>
              <w:numPr>
                <w:ilvl w:val="0"/>
                <w:numId w:val="0"/>
              </w:numPr>
              <w:rPr>
                <w:i/>
                <w:sz w:val="20"/>
              </w:rPr>
            </w:pPr>
          </w:p>
        </w:tc>
        <w:tc>
          <w:tcPr>
            <w:tcW w:w="7087" w:type="dxa"/>
          </w:tcPr>
          <w:p w14:paraId="294AB197" w14:textId="77777777" w:rsidR="005B589A" w:rsidRPr="00042912" w:rsidRDefault="005B589A" w:rsidP="00CF5641">
            <w:pPr>
              <w:pStyle w:val="Bullet1"/>
              <w:rPr>
                <w:sz w:val="20"/>
              </w:rPr>
            </w:pPr>
            <w:r w:rsidRPr="00042912">
              <w:rPr>
                <w:sz w:val="20"/>
              </w:rPr>
              <w:t>We monitor both the provider market and systemic risk in the NDIS system by leveraging our market oversight and data analytics functions. We use this intelligence to inform a range of our activities including targeted compliance activity, ongoing conduct monitoring and provider suitability assessment.</w:t>
            </w:r>
          </w:p>
          <w:p w14:paraId="318BAD79" w14:textId="77777777" w:rsidR="005B589A" w:rsidRPr="00042912" w:rsidRDefault="008C2B9D" w:rsidP="00CF5641">
            <w:pPr>
              <w:pStyle w:val="Bullet1"/>
              <w:rPr>
                <w:sz w:val="20"/>
              </w:rPr>
            </w:pPr>
            <w:r w:rsidRPr="00042912">
              <w:rPr>
                <w:sz w:val="20"/>
              </w:rPr>
              <w:t>Our</w:t>
            </w:r>
            <w:r w:rsidR="005B589A" w:rsidRPr="00042912">
              <w:rPr>
                <w:sz w:val="20"/>
              </w:rPr>
              <w:t xml:space="preserve"> Compliance and Enforcement Committee (CEC) has an integral role in determining and setting the NDIS Commission’s compliance and enforcement policy, strategy, and associated operating procedures. Additionally the CEC monitors the progress of compliance and enforcement activity and the progress of regulatory functions and provides advice to the NDIS Commissioner (or their delegate) on compliance and enforcement trends and their alignment to the Commission Operating Model (COM).  The Committee also provides recommendations for the commencement of proceedings for any breach of a civil penalty provision. </w:t>
            </w:r>
          </w:p>
          <w:p w14:paraId="568AB699" w14:textId="77777777" w:rsidR="00127995" w:rsidRPr="003E2932" w:rsidRDefault="005B589A" w:rsidP="003E2932">
            <w:pPr>
              <w:pStyle w:val="Bullet1"/>
              <w:rPr>
                <w:b/>
                <w:sz w:val="20"/>
              </w:rPr>
            </w:pPr>
            <w:r w:rsidRPr="00042912">
              <w:rPr>
                <w:sz w:val="20"/>
              </w:rPr>
              <w:t xml:space="preserve">Throughout 2020-21, urgent regulatory responses to a rapidly changing situation with significant risks for both NDIS participants and registered NDIS providers were required due to the ongoing effects of COVID-19. We carefully </w:t>
            </w:r>
            <w:r w:rsidR="009E7303" w:rsidRPr="00042912">
              <w:rPr>
                <w:sz w:val="20"/>
              </w:rPr>
              <w:t>monitored the</w:t>
            </w:r>
            <w:r w:rsidRPr="00042912">
              <w:rPr>
                <w:sz w:val="20"/>
              </w:rPr>
              <w:t xml:space="preserve"> impact that workforce consequences and public health orders had on NDIS participants and providers. This ensured proportionate quality and safeguarding regulation throughout the pandemic. Market oversight activities informed responses at both a federal and state and territory level, and compliance and enforcement priorities were undertaken with a view to safeguarding participant welfare while taking into account the challenges NDIS providers faced during the p</w:t>
            </w:r>
            <w:r w:rsidR="00F46436" w:rsidRPr="00042912">
              <w:rPr>
                <w:sz w:val="20"/>
              </w:rPr>
              <w:t>ublic health crisis</w:t>
            </w:r>
            <w:r w:rsidRPr="00042912">
              <w:rPr>
                <w:sz w:val="20"/>
              </w:rPr>
              <w:t>.</w:t>
            </w:r>
          </w:p>
        </w:tc>
      </w:tr>
    </w:tbl>
    <w:p w14:paraId="6F4B8B1B" w14:textId="61B11EED" w:rsidR="002610A9" w:rsidRDefault="002610A9" w:rsidP="0004571B">
      <w:pPr>
        <w:tabs>
          <w:tab w:val="left" w:pos="4378"/>
        </w:tabs>
        <w:spacing w:before="0" w:after="120" w:line="276" w:lineRule="auto"/>
        <w:rPr>
          <w:rFonts w:ascii="Calibri" w:hAnsi="Calibri" w:cs="Calibri"/>
          <w:b/>
          <w:color w:val="333333"/>
          <w:spacing w:val="4"/>
          <w:sz w:val="20"/>
        </w:rPr>
      </w:pPr>
    </w:p>
    <w:p w14:paraId="62FC4728" w14:textId="4490FE45" w:rsidR="0068758D" w:rsidRDefault="0068758D" w:rsidP="0004571B">
      <w:pPr>
        <w:tabs>
          <w:tab w:val="left" w:pos="4378"/>
        </w:tabs>
        <w:spacing w:before="0" w:after="120" w:line="276" w:lineRule="auto"/>
        <w:rPr>
          <w:rFonts w:ascii="Calibri" w:hAnsi="Calibri" w:cs="Calibri"/>
          <w:b/>
          <w:color w:val="333333"/>
          <w:spacing w:val="4"/>
          <w:sz w:val="20"/>
        </w:rPr>
      </w:pPr>
    </w:p>
    <w:p w14:paraId="402481DF" w14:textId="793B488D" w:rsidR="002830AE" w:rsidRDefault="003251D3" w:rsidP="003251D3">
      <w:pPr>
        <w:pStyle w:val="Heading3"/>
      </w:pPr>
      <w:bookmarkStart w:id="24" w:name="_Toc128477929"/>
      <w:r w:rsidRPr="00870C23">
        <w:lastRenderedPageBreak/>
        <w:t>Measure 3.3: We recognise the compliance record of regulated entities, including using earned autonomy where this is appropriate. All available and relevant data on compliance, including evidence of relevant external verification is considered</w:t>
      </w:r>
      <w:bookmarkEnd w:id="24"/>
    </w:p>
    <w:tbl>
      <w:tblPr>
        <w:tblStyle w:val="TableGrid"/>
        <w:tblW w:w="9776" w:type="dxa"/>
        <w:tblLook w:val="04A0" w:firstRow="1" w:lastRow="0" w:firstColumn="1" w:lastColumn="0" w:noHBand="0" w:noVBand="1"/>
        <w:tblDescription w:val="Requirement and responses in relation to performance measure 3.3."/>
      </w:tblPr>
      <w:tblGrid>
        <w:gridCol w:w="2689"/>
        <w:gridCol w:w="7087"/>
      </w:tblGrid>
      <w:tr w:rsidR="002830AE" w14:paraId="36DF7BD0" w14:textId="77777777" w:rsidTr="00FA7EC3">
        <w:trPr>
          <w:cantSplit/>
          <w:tblHeader/>
        </w:trPr>
        <w:tc>
          <w:tcPr>
            <w:tcW w:w="2689" w:type="dxa"/>
            <w:shd w:val="clear" w:color="auto" w:fill="612C69"/>
          </w:tcPr>
          <w:p w14:paraId="5397139D" w14:textId="77777777" w:rsidR="002830AE" w:rsidRPr="00FA7EC3" w:rsidRDefault="002830AE" w:rsidP="005351A4">
            <w:pPr>
              <w:rPr>
                <w:b/>
                <w:color w:val="FFFFFF" w:themeColor="background1"/>
              </w:rPr>
            </w:pPr>
            <w:r w:rsidRPr="00FA7EC3">
              <w:rPr>
                <w:b/>
                <w:color w:val="FFFFFF" w:themeColor="background1"/>
              </w:rPr>
              <w:t>Requirement</w:t>
            </w:r>
          </w:p>
        </w:tc>
        <w:tc>
          <w:tcPr>
            <w:tcW w:w="7087" w:type="dxa"/>
            <w:shd w:val="clear" w:color="auto" w:fill="612C69"/>
          </w:tcPr>
          <w:p w14:paraId="65D85270" w14:textId="77777777" w:rsidR="002830AE" w:rsidRPr="00FA7EC3" w:rsidRDefault="002830AE"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2830AE" w14:paraId="19DC345C" w14:textId="77777777" w:rsidTr="00E82DCA">
        <w:trPr>
          <w:cantSplit/>
        </w:trPr>
        <w:tc>
          <w:tcPr>
            <w:tcW w:w="2689" w:type="dxa"/>
          </w:tcPr>
          <w:p w14:paraId="369DAE55" w14:textId="77777777" w:rsidR="002830AE" w:rsidRPr="00042912" w:rsidRDefault="002830AE" w:rsidP="00CF5641">
            <w:pPr>
              <w:pStyle w:val="Bullet1"/>
              <w:numPr>
                <w:ilvl w:val="0"/>
                <w:numId w:val="0"/>
              </w:numPr>
              <w:rPr>
                <w:bCs/>
                <w:i/>
                <w:sz w:val="20"/>
              </w:rPr>
            </w:pPr>
            <w:r w:rsidRPr="00042912">
              <w:rPr>
                <w:bCs/>
                <w:i/>
                <w:sz w:val="20"/>
              </w:rPr>
              <w:t>3.3.1 Available data is used across functions to inform an integrated response to compliance</w:t>
            </w:r>
          </w:p>
          <w:p w14:paraId="5A35CF90" w14:textId="77777777" w:rsidR="002830AE" w:rsidRPr="00042912" w:rsidRDefault="002830AE" w:rsidP="005351A4">
            <w:pPr>
              <w:pStyle w:val="Bullet1"/>
              <w:numPr>
                <w:ilvl w:val="0"/>
                <w:numId w:val="0"/>
              </w:numPr>
              <w:rPr>
                <w:sz w:val="20"/>
              </w:rPr>
            </w:pPr>
          </w:p>
        </w:tc>
        <w:tc>
          <w:tcPr>
            <w:tcW w:w="7087" w:type="dxa"/>
          </w:tcPr>
          <w:p w14:paraId="5D68BB9A" w14:textId="77777777" w:rsidR="002830AE" w:rsidRPr="00042912" w:rsidRDefault="002830AE" w:rsidP="00CF5641">
            <w:pPr>
              <w:pStyle w:val="Bullet1"/>
              <w:rPr>
                <w:sz w:val="20"/>
              </w:rPr>
            </w:pPr>
            <w:r w:rsidRPr="00042912">
              <w:rPr>
                <w:sz w:val="20"/>
              </w:rPr>
              <w:t xml:space="preserve">Branches within the NDIS Commission collaborate with each other and external stakeholders to share information and data on activities. The Commission Operating Model (COM) outlines the key collaboration points with other Commission units, providing a description of the purpose of each collaboration and its process and informing our regulatory approach. The objectives of these collaborations are varied and include: </w:t>
            </w:r>
          </w:p>
          <w:p w14:paraId="15F1D931" w14:textId="77777777" w:rsidR="002830AE" w:rsidRPr="00042912" w:rsidRDefault="002830AE" w:rsidP="00042912">
            <w:pPr>
              <w:pStyle w:val="Bullet2"/>
              <w:spacing w:before="40" w:after="40"/>
              <w:rPr>
                <w:sz w:val="20"/>
              </w:rPr>
            </w:pPr>
            <w:r w:rsidRPr="00042912">
              <w:rPr>
                <w:sz w:val="20"/>
              </w:rPr>
              <w:t>ensuring engagement and communications campaigns are aligned with Commission priorities and other units</w:t>
            </w:r>
          </w:p>
          <w:p w14:paraId="7A25E2E5" w14:textId="77777777" w:rsidR="002830AE" w:rsidRPr="00042912" w:rsidRDefault="002830AE" w:rsidP="00042912">
            <w:pPr>
              <w:pStyle w:val="Bullet2"/>
              <w:spacing w:before="40" w:after="40"/>
              <w:rPr>
                <w:sz w:val="20"/>
              </w:rPr>
            </w:pPr>
            <w:r w:rsidRPr="00042912">
              <w:rPr>
                <w:sz w:val="20"/>
              </w:rPr>
              <w:t>supporting consistent, targeted and effective messages to stakeholders</w:t>
            </w:r>
          </w:p>
          <w:p w14:paraId="1A7E70F1" w14:textId="77777777" w:rsidR="002830AE" w:rsidRPr="00042912" w:rsidRDefault="002830AE" w:rsidP="00042912">
            <w:pPr>
              <w:pStyle w:val="Bullet2"/>
              <w:spacing w:before="40" w:after="40"/>
              <w:rPr>
                <w:sz w:val="20"/>
              </w:rPr>
            </w:pPr>
            <w:r w:rsidRPr="00042912">
              <w:rPr>
                <w:sz w:val="20"/>
              </w:rPr>
              <w:t>ensuring the Registrations team benefits from the expertise in our Behaviour Support team to support decisions</w:t>
            </w:r>
          </w:p>
          <w:p w14:paraId="7FBF89DD" w14:textId="77777777" w:rsidR="002830AE" w:rsidRPr="00042912" w:rsidRDefault="002830AE" w:rsidP="00042912">
            <w:pPr>
              <w:pStyle w:val="Bullet2"/>
              <w:spacing w:before="40" w:after="40"/>
              <w:rPr>
                <w:sz w:val="20"/>
              </w:rPr>
            </w:pPr>
            <w:r w:rsidRPr="00042912">
              <w:rPr>
                <w:sz w:val="20"/>
              </w:rPr>
              <w:t>ensuring registration approvals are consistent with other Commission actions</w:t>
            </w:r>
          </w:p>
          <w:p w14:paraId="7218EBF4" w14:textId="77777777" w:rsidR="002830AE" w:rsidRPr="00042912" w:rsidRDefault="002830AE" w:rsidP="00042912">
            <w:pPr>
              <w:pStyle w:val="Bullet2"/>
              <w:spacing w:before="40" w:after="40"/>
              <w:rPr>
                <w:sz w:val="20"/>
              </w:rPr>
            </w:pPr>
            <w:r w:rsidRPr="00042912">
              <w:rPr>
                <w:sz w:val="20"/>
              </w:rPr>
              <w:t>ensuring registration decisions are consistent with compliance actions</w:t>
            </w:r>
          </w:p>
          <w:p w14:paraId="4120D578" w14:textId="77777777" w:rsidR="002830AE" w:rsidRPr="00042912" w:rsidRDefault="002830AE" w:rsidP="00042912">
            <w:pPr>
              <w:pStyle w:val="Bullet2"/>
              <w:spacing w:before="40" w:after="40"/>
              <w:rPr>
                <w:sz w:val="20"/>
              </w:rPr>
            </w:pPr>
            <w:r w:rsidRPr="00042912">
              <w:rPr>
                <w:sz w:val="20"/>
              </w:rPr>
              <w:t>ensuring we can identify trends in provider, practitioner and participant behaviour</w:t>
            </w:r>
          </w:p>
          <w:p w14:paraId="23AA30BE" w14:textId="77777777" w:rsidR="002830AE" w:rsidRPr="00042912" w:rsidRDefault="00563327" w:rsidP="00042912">
            <w:pPr>
              <w:pStyle w:val="Bullet2"/>
              <w:spacing w:before="40" w:after="40"/>
              <w:rPr>
                <w:sz w:val="20"/>
              </w:rPr>
            </w:pPr>
            <w:r>
              <w:rPr>
                <w:sz w:val="20"/>
              </w:rPr>
              <w:t xml:space="preserve">ensuring </w:t>
            </w:r>
            <w:r w:rsidR="002830AE" w:rsidRPr="00042912">
              <w:rPr>
                <w:sz w:val="20"/>
              </w:rPr>
              <w:t>R</w:t>
            </w:r>
            <w:r>
              <w:rPr>
                <w:sz w:val="20"/>
              </w:rPr>
              <w:t>egistrations are</w:t>
            </w:r>
            <w:r w:rsidR="002830AE" w:rsidRPr="00042912">
              <w:rPr>
                <w:sz w:val="20"/>
              </w:rPr>
              <w:t xml:space="preserve"> informed of cases requiring ongoing monitoring</w:t>
            </w:r>
          </w:p>
          <w:p w14:paraId="531C9BD3" w14:textId="77777777" w:rsidR="002830AE" w:rsidRPr="00042912" w:rsidRDefault="002830AE" w:rsidP="00042912">
            <w:pPr>
              <w:pStyle w:val="Bullet2"/>
              <w:spacing w:before="40" w:after="40"/>
              <w:rPr>
                <w:sz w:val="20"/>
              </w:rPr>
            </w:pPr>
            <w:r w:rsidRPr="00042912">
              <w:rPr>
                <w:sz w:val="20"/>
              </w:rPr>
              <w:t>ensuring responses to provider and practit</w:t>
            </w:r>
            <w:r w:rsidR="00563327">
              <w:rPr>
                <w:sz w:val="20"/>
              </w:rPr>
              <w:t>ioner behaviour are consistent</w:t>
            </w:r>
          </w:p>
          <w:p w14:paraId="0B92CD57" w14:textId="77777777" w:rsidR="002830AE" w:rsidRPr="00563327" w:rsidRDefault="002830AE" w:rsidP="00563327">
            <w:pPr>
              <w:pStyle w:val="Bullet2"/>
              <w:spacing w:before="40" w:after="40"/>
              <w:rPr>
                <w:sz w:val="20"/>
              </w:rPr>
            </w:pPr>
            <w:r w:rsidRPr="00042912">
              <w:rPr>
                <w:sz w:val="20"/>
              </w:rPr>
              <w:t>ensuring the NDIS Commission can exercise statutory tools to compel compliance with conditions of registration and the regulatory framework.</w:t>
            </w:r>
          </w:p>
        </w:tc>
      </w:tr>
    </w:tbl>
    <w:p w14:paraId="2FD17847" w14:textId="77777777" w:rsidR="0004571B" w:rsidRDefault="0004571B" w:rsidP="00677B67"/>
    <w:p w14:paraId="120000E1" w14:textId="77777777" w:rsidR="0004571B" w:rsidRDefault="0004571B">
      <w:pPr>
        <w:suppressAutoHyphens w:val="0"/>
        <w:spacing w:before="120" w:after="120" w:line="240" w:lineRule="auto"/>
        <w:rPr>
          <w:rFonts w:asciiTheme="majorHAnsi" w:eastAsiaTheme="majorEastAsia" w:hAnsiTheme="majorHAnsi" w:cstheme="majorBidi"/>
          <w:b/>
          <w:color w:val="85367B"/>
          <w:sz w:val="34"/>
          <w:szCs w:val="34"/>
        </w:rPr>
      </w:pPr>
      <w:r>
        <w:br w:type="page"/>
      </w:r>
    </w:p>
    <w:p w14:paraId="252E7D59" w14:textId="77777777" w:rsidR="00CC72AA" w:rsidRDefault="00F868BB" w:rsidP="00F868BB">
      <w:pPr>
        <w:pStyle w:val="Heading2"/>
      </w:pPr>
      <w:bookmarkStart w:id="25" w:name="_Toc128477930"/>
      <w:r w:rsidRPr="00F868BB">
        <w:lastRenderedPageBreak/>
        <w:t>KPI 4 - Compliance and monitoring approaches are streamlined and coordinated</w:t>
      </w:r>
      <w:bookmarkEnd w:id="25"/>
    </w:p>
    <w:p w14:paraId="2A235615" w14:textId="30D92BDE" w:rsidR="001271E1" w:rsidRPr="001645E2" w:rsidRDefault="00F868BB" w:rsidP="00563327">
      <w:pPr>
        <w:suppressAutoHyphens w:val="0"/>
        <w:spacing w:before="0" w:after="120" w:line="276" w:lineRule="auto"/>
        <w:rPr>
          <w:rFonts w:cstheme="minorHAnsi"/>
          <w:i/>
          <w:color w:val="auto"/>
          <w:spacing w:val="4"/>
          <w:sz w:val="24"/>
        </w:rPr>
      </w:pPr>
      <w:r w:rsidRPr="00820CF3">
        <w:rPr>
          <w:rFonts w:cstheme="minorHAnsi"/>
          <w:i/>
          <w:color w:val="auto"/>
          <w:spacing w:val="4"/>
          <w:sz w:val="24"/>
        </w:rPr>
        <w:t>Rating:</w:t>
      </w:r>
    </w:p>
    <w:tbl>
      <w:tblPr>
        <w:tblStyle w:val="TableGrid"/>
        <w:tblW w:w="0" w:type="auto"/>
        <w:tblLook w:val="04A0" w:firstRow="1" w:lastRow="0" w:firstColumn="1" w:lastColumn="0" w:noHBand="0" w:noVBand="1"/>
        <w:tblCaption w:val="Comparison Rating KPI4"/>
        <w:tblDescription w:val="Comparison of 2019-20 rating to 2020-21"/>
      </w:tblPr>
      <w:tblGrid>
        <w:gridCol w:w="2547"/>
        <w:gridCol w:w="2693"/>
      </w:tblGrid>
      <w:tr w:rsidR="001645E2" w:rsidRPr="00E434E0" w14:paraId="60A9C324" w14:textId="77777777" w:rsidTr="00FA7EC3">
        <w:trPr>
          <w:tblHeader/>
        </w:trPr>
        <w:tc>
          <w:tcPr>
            <w:tcW w:w="2547" w:type="dxa"/>
            <w:shd w:val="clear" w:color="auto" w:fill="612C69"/>
            <w:vAlign w:val="center"/>
          </w:tcPr>
          <w:p w14:paraId="3FA5EC59"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5B68DB16"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1645E2" w14:paraId="7D56B553" w14:textId="77777777" w:rsidTr="002E0B88">
        <w:tc>
          <w:tcPr>
            <w:tcW w:w="2547" w:type="dxa"/>
            <w:shd w:val="clear" w:color="auto" w:fill="C59BD7" w:themeFill="text2" w:themeFillTint="66"/>
          </w:tcPr>
          <w:p w14:paraId="6BB02859" w14:textId="77777777" w:rsidR="001645E2" w:rsidRDefault="001645E2" w:rsidP="00E54F09">
            <w:pPr>
              <w:suppressAutoHyphens w:val="0"/>
              <w:spacing w:before="0" w:after="120" w:line="276" w:lineRule="auto"/>
              <w:rPr>
                <w:rFonts w:cstheme="minorHAnsi"/>
                <w:color w:val="auto"/>
                <w:sz w:val="20"/>
                <w:szCs w:val="22"/>
              </w:rPr>
            </w:pPr>
          </w:p>
          <w:p w14:paraId="6008CA3A" w14:textId="77777777" w:rsidR="001645E2" w:rsidRDefault="001645E2" w:rsidP="00E54F09">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c>
          <w:tcPr>
            <w:tcW w:w="2693" w:type="dxa"/>
          </w:tcPr>
          <w:p w14:paraId="4C43027D" w14:textId="77777777" w:rsidR="001645E2" w:rsidRDefault="001645E2" w:rsidP="00E54F09">
            <w:pPr>
              <w:suppressAutoHyphens w:val="0"/>
              <w:spacing w:before="0" w:after="120" w:line="276" w:lineRule="auto"/>
              <w:rPr>
                <w:rFonts w:cstheme="minorHAnsi"/>
                <w:sz w:val="20"/>
                <w:szCs w:val="22"/>
              </w:rPr>
            </w:pPr>
          </w:p>
          <w:p w14:paraId="41C35312" w14:textId="473D25A5" w:rsidR="001645E2" w:rsidRDefault="001645E2" w:rsidP="00E54F09">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r>
    </w:tbl>
    <w:p w14:paraId="1668E8AC" w14:textId="77777777" w:rsidR="001645E2" w:rsidRDefault="001645E2" w:rsidP="00563327">
      <w:pPr>
        <w:suppressAutoHyphens w:val="0"/>
        <w:spacing w:before="0" w:after="120" w:line="276" w:lineRule="auto"/>
        <w:rPr>
          <w:rFonts w:cstheme="minorHAnsi"/>
          <w:color w:val="333333"/>
          <w:spacing w:val="4"/>
          <w:sz w:val="20"/>
        </w:rPr>
      </w:pPr>
    </w:p>
    <w:p w14:paraId="28AA1E26" w14:textId="77777777" w:rsidR="001271E1" w:rsidRPr="003E2932" w:rsidRDefault="001271E1" w:rsidP="001271E1">
      <w:pPr>
        <w:suppressAutoHyphens w:val="0"/>
        <w:spacing w:before="0" w:after="120" w:line="276" w:lineRule="auto"/>
        <w:rPr>
          <w:rFonts w:cstheme="minorHAnsi"/>
          <w:i/>
          <w:color w:val="333333"/>
          <w:spacing w:val="4"/>
          <w:sz w:val="20"/>
          <w:u w:val="single"/>
        </w:rPr>
      </w:pPr>
      <w:r w:rsidRPr="003E2932">
        <w:rPr>
          <w:rFonts w:cstheme="minorHAnsi"/>
          <w:i/>
          <w:color w:val="333333"/>
          <w:spacing w:val="4"/>
          <w:sz w:val="20"/>
          <w:u w:val="single"/>
        </w:rPr>
        <w:t xml:space="preserve">Summary </w:t>
      </w:r>
    </w:p>
    <w:p w14:paraId="21536C53" w14:textId="77777777" w:rsidR="00A35019" w:rsidRPr="00A35019" w:rsidRDefault="003C1063" w:rsidP="003C1063">
      <w:pPr>
        <w:suppressAutoHyphens w:val="0"/>
        <w:spacing w:before="0" w:after="120" w:line="276" w:lineRule="auto"/>
        <w:rPr>
          <w:rFonts w:cstheme="minorHAnsi"/>
          <w:i/>
          <w:color w:val="333333"/>
          <w:spacing w:val="4"/>
          <w:sz w:val="20"/>
        </w:rPr>
      </w:pPr>
      <w:r>
        <w:rPr>
          <w:rFonts w:ascii="Calibri" w:hAnsi="Calibri" w:cs="Calibri"/>
          <w:i/>
          <w:color w:val="auto"/>
          <w:spacing w:val="4"/>
          <w:sz w:val="20"/>
        </w:rPr>
        <w:t xml:space="preserve">The </w:t>
      </w:r>
      <w:r w:rsidR="00A35019">
        <w:rPr>
          <w:rFonts w:ascii="Calibri" w:hAnsi="Calibri" w:cs="Calibri"/>
          <w:i/>
          <w:color w:val="auto"/>
          <w:spacing w:val="4"/>
          <w:sz w:val="20"/>
        </w:rPr>
        <w:t>NDIS Commission continues to require the production of information</w:t>
      </w:r>
      <w:r>
        <w:rPr>
          <w:rFonts w:ascii="Calibri" w:hAnsi="Calibri" w:cs="Calibri"/>
          <w:i/>
          <w:color w:val="auto"/>
          <w:spacing w:val="4"/>
          <w:sz w:val="20"/>
        </w:rPr>
        <w:t xml:space="preserve"> from providers, workers and complainants</w:t>
      </w:r>
      <w:r w:rsidR="00A35019">
        <w:rPr>
          <w:rFonts w:ascii="Calibri" w:hAnsi="Calibri" w:cs="Calibri"/>
          <w:i/>
          <w:color w:val="auto"/>
          <w:spacing w:val="4"/>
          <w:sz w:val="20"/>
        </w:rPr>
        <w:t xml:space="preserve"> to assist with </w:t>
      </w:r>
      <w:r>
        <w:rPr>
          <w:rFonts w:ascii="Calibri" w:hAnsi="Calibri" w:cs="Calibri"/>
          <w:i/>
          <w:color w:val="auto"/>
          <w:spacing w:val="4"/>
          <w:sz w:val="20"/>
        </w:rPr>
        <w:t>the performance of its functions. As we tailor requests to the re</w:t>
      </w:r>
      <w:r w:rsidR="00A35019">
        <w:rPr>
          <w:rFonts w:ascii="Calibri" w:hAnsi="Calibri" w:cs="Calibri"/>
          <w:i/>
          <w:color w:val="auto"/>
          <w:spacing w:val="4"/>
          <w:sz w:val="20"/>
        </w:rPr>
        <w:t>q</w:t>
      </w:r>
      <w:r>
        <w:rPr>
          <w:rFonts w:ascii="Calibri" w:hAnsi="Calibri" w:cs="Calibri"/>
          <w:i/>
          <w:color w:val="auto"/>
          <w:spacing w:val="4"/>
          <w:sz w:val="20"/>
        </w:rPr>
        <w:t>u</w:t>
      </w:r>
      <w:r w:rsidR="00A35019">
        <w:rPr>
          <w:rFonts w:ascii="Calibri" w:hAnsi="Calibri" w:cs="Calibri"/>
          <w:i/>
          <w:color w:val="auto"/>
          <w:spacing w:val="4"/>
          <w:sz w:val="20"/>
        </w:rPr>
        <w:t>ir</w:t>
      </w:r>
      <w:r>
        <w:rPr>
          <w:rFonts w:ascii="Calibri" w:hAnsi="Calibri" w:cs="Calibri"/>
          <w:i/>
          <w:color w:val="auto"/>
          <w:spacing w:val="4"/>
          <w:sz w:val="20"/>
        </w:rPr>
        <w:t>e</w:t>
      </w:r>
      <w:r w:rsidR="00A35019">
        <w:rPr>
          <w:rFonts w:ascii="Calibri" w:hAnsi="Calibri" w:cs="Calibri"/>
          <w:i/>
          <w:color w:val="auto"/>
          <w:spacing w:val="4"/>
          <w:sz w:val="20"/>
        </w:rPr>
        <w:t>men</w:t>
      </w:r>
      <w:r>
        <w:rPr>
          <w:rFonts w:ascii="Calibri" w:hAnsi="Calibri" w:cs="Calibri"/>
          <w:i/>
          <w:color w:val="auto"/>
          <w:spacing w:val="4"/>
          <w:sz w:val="20"/>
        </w:rPr>
        <w:t xml:space="preserve">ts of individual investigations, our ability to re-use information can </w:t>
      </w:r>
      <w:r w:rsidR="00A35019">
        <w:rPr>
          <w:rFonts w:ascii="Calibri" w:hAnsi="Calibri" w:cs="Calibri"/>
          <w:i/>
          <w:color w:val="auto"/>
          <w:spacing w:val="4"/>
          <w:sz w:val="20"/>
        </w:rPr>
        <w:t>sometimes</w:t>
      </w:r>
      <w:r>
        <w:rPr>
          <w:rFonts w:ascii="Calibri" w:hAnsi="Calibri" w:cs="Calibri"/>
          <w:i/>
          <w:color w:val="auto"/>
          <w:spacing w:val="4"/>
          <w:sz w:val="20"/>
        </w:rPr>
        <w:t xml:space="preserve"> be</w:t>
      </w:r>
      <w:r w:rsidR="00A35019">
        <w:rPr>
          <w:rFonts w:ascii="Calibri" w:hAnsi="Calibri" w:cs="Calibri"/>
          <w:i/>
          <w:color w:val="auto"/>
          <w:spacing w:val="4"/>
          <w:sz w:val="20"/>
        </w:rPr>
        <w:t xml:space="preserve"> limited. </w:t>
      </w:r>
      <w:r>
        <w:rPr>
          <w:rFonts w:ascii="Calibri" w:hAnsi="Calibri" w:cs="Calibri"/>
          <w:i/>
          <w:color w:val="auto"/>
          <w:spacing w:val="4"/>
          <w:sz w:val="20"/>
        </w:rPr>
        <w:t>To counter this, we ensure that to the best of our ability we are requesting only the core information required on each occasion. Further, our</w:t>
      </w:r>
      <w:r w:rsidR="00A35019" w:rsidRPr="00CF5641">
        <w:rPr>
          <w:rFonts w:ascii="Calibri" w:hAnsi="Calibri" w:cs="Calibri"/>
          <w:i/>
          <w:color w:val="auto"/>
          <w:spacing w:val="4"/>
          <w:sz w:val="20"/>
        </w:rPr>
        <w:t xml:space="preserve"> invest</w:t>
      </w:r>
      <w:r w:rsidRPr="003C1063">
        <w:rPr>
          <w:rFonts w:ascii="Calibri" w:hAnsi="Calibri" w:cs="Calibri"/>
          <w:i/>
          <w:color w:val="auto"/>
          <w:spacing w:val="4"/>
          <w:sz w:val="20"/>
        </w:rPr>
        <w:t>igations and compliance teams work</w:t>
      </w:r>
      <w:r w:rsidR="00A35019" w:rsidRPr="00CF5641">
        <w:rPr>
          <w:rFonts w:ascii="Calibri" w:hAnsi="Calibri" w:cs="Calibri"/>
          <w:i/>
          <w:color w:val="auto"/>
          <w:spacing w:val="4"/>
          <w:sz w:val="20"/>
        </w:rPr>
        <w:t xml:space="preserve"> collaboratively with other regulatory and enforcement agencie</w:t>
      </w:r>
      <w:r w:rsidRPr="003C1063">
        <w:rPr>
          <w:rFonts w:ascii="Calibri" w:hAnsi="Calibri" w:cs="Calibri"/>
          <w:i/>
          <w:color w:val="auto"/>
          <w:spacing w:val="4"/>
          <w:sz w:val="20"/>
        </w:rPr>
        <w:t xml:space="preserve">s to </w:t>
      </w:r>
      <w:r>
        <w:rPr>
          <w:rFonts w:ascii="Calibri" w:hAnsi="Calibri" w:cs="Calibri"/>
          <w:i/>
          <w:color w:val="auto"/>
          <w:spacing w:val="4"/>
          <w:sz w:val="20"/>
        </w:rPr>
        <w:t>refine our approach. This continues to be a work in progress as the Commission matures.</w:t>
      </w:r>
    </w:p>
    <w:p w14:paraId="186F81CC" w14:textId="77777777" w:rsidR="001271E1" w:rsidRDefault="009363B1" w:rsidP="001271E1">
      <w:pPr>
        <w:suppressAutoHyphens w:val="0"/>
        <w:spacing w:before="0" w:after="120" w:line="276" w:lineRule="auto"/>
        <w:rPr>
          <w:rFonts w:cstheme="minorHAnsi"/>
          <w:i/>
          <w:color w:val="333333"/>
          <w:spacing w:val="4"/>
          <w:sz w:val="20"/>
        </w:rPr>
      </w:pPr>
      <w:r>
        <w:rPr>
          <w:rFonts w:cstheme="minorHAnsi"/>
          <w:i/>
          <w:color w:val="333333"/>
          <w:spacing w:val="4"/>
          <w:sz w:val="20"/>
        </w:rPr>
        <w:t>Further coordination and streamlining of approaches and information sharing, where internal systems talk to each other and the Commission obtains a more global view of providers, will embed the achievement of this KPI.</w:t>
      </w:r>
    </w:p>
    <w:p w14:paraId="08D33A31" w14:textId="77777777" w:rsidR="002830AE" w:rsidRDefault="003251D3" w:rsidP="003251D3">
      <w:pPr>
        <w:pStyle w:val="Heading3"/>
      </w:pPr>
      <w:bookmarkStart w:id="26" w:name="_Toc128477931"/>
      <w:r w:rsidRPr="00870C23">
        <w:t>Measure 4.1: Our information requests are tailored and only made when necessary to secure regulatory objectives, and only then in a way that minimises impact</w:t>
      </w:r>
      <w:bookmarkEnd w:id="26"/>
    </w:p>
    <w:tbl>
      <w:tblPr>
        <w:tblStyle w:val="TableGrid"/>
        <w:tblW w:w="9776" w:type="dxa"/>
        <w:tblLook w:val="04A0" w:firstRow="1" w:lastRow="0" w:firstColumn="1" w:lastColumn="0" w:noHBand="0" w:noVBand="1"/>
        <w:tblDescription w:val="Requirement and response"/>
      </w:tblPr>
      <w:tblGrid>
        <w:gridCol w:w="2689"/>
        <w:gridCol w:w="7087"/>
      </w:tblGrid>
      <w:tr w:rsidR="002830AE" w14:paraId="0DDAC868" w14:textId="77777777" w:rsidTr="00FA7EC3">
        <w:trPr>
          <w:cantSplit/>
          <w:tblHeader/>
        </w:trPr>
        <w:tc>
          <w:tcPr>
            <w:tcW w:w="2689" w:type="dxa"/>
            <w:shd w:val="clear" w:color="auto" w:fill="612C69"/>
          </w:tcPr>
          <w:p w14:paraId="2A6C1D6E" w14:textId="77777777" w:rsidR="002830AE" w:rsidRPr="00FA7EC3" w:rsidRDefault="002830AE" w:rsidP="005351A4">
            <w:pPr>
              <w:rPr>
                <w:b/>
                <w:color w:val="FFFFFF" w:themeColor="background1"/>
              </w:rPr>
            </w:pPr>
            <w:r w:rsidRPr="00FA7EC3">
              <w:rPr>
                <w:b/>
                <w:color w:val="FFFFFF" w:themeColor="background1"/>
              </w:rPr>
              <w:t>Requirement</w:t>
            </w:r>
          </w:p>
        </w:tc>
        <w:tc>
          <w:tcPr>
            <w:tcW w:w="7087" w:type="dxa"/>
            <w:shd w:val="clear" w:color="auto" w:fill="612C69"/>
          </w:tcPr>
          <w:p w14:paraId="10B1BE36" w14:textId="77777777" w:rsidR="002830AE" w:rsidRPr="00FA7EC3" w:rsidRDefault="002830AE" w:rsidP="005351A4">
            <w:pPr>
              <w:rPr>
                <w:color w:val="FFFFFF" w:themeColor="background1"/>
              </w:rPr>
            </w:pPr>
            <w:r w:rsidRPr="00FA7EC3">
              <w:rPr>
                <w:b/>
                <w:color w:val="FFFFFF" w:themeColor="background1"/>
              </w:rPr>
              <w:t>Response</w:t>
            </w:r>
            <w:r w:rsidRPr="00FA7EC3">
              <w:rPr>
                <w:color w:val="FFFFFF" w:themeColor="background1"/>
              </w:rPr>
              <w:t xml:space="preserve"> </w:t>
            </w:r>
          </w:p>
        </w:tc>
      </w:tr>
      <w:tr w:rsidR="002830AE" w14:paraId="4C25E1AC" w14:textId="77777777" w:rsidTr="00E82DCA">
        <w:trPr>
          <w:cantSplit/>
        </w:trPr>
        <w:tc>
          <w:tcPr>
            <w:tcW w:w="2689" w:type="dxa"/>
          </w:tcPr>
          <w:p w14:paraId="1D46E665" w14:textId="77777777" w:rsidR="00A07E16" w:rsidRPr="003E2932" w:rsidRDefault="00A07E16" w:rsidP="00CF5641">
            <w:pPr>
              <w:pStyle w:val="Bullet1"/>
              <w:numPr>
                <w:ilvl w:val="0"/>
                <w:numId w:val="0"/>
              </w:numPr>
              <w:rPr>
                <w:bCs/>
                <w:i/>
                <w:sz w:val="20"/>
              </w:rPr>
            </w:pPr>
            <w:r w:rsidRPr="003E2932">
              <w:rPr>
                <w:bCs/>
                <w:i/>
                <w:sz w:val="20"/>
              </w:rPr>
              <w:t>4.1.1 Evidence of collected information being acted upon, stored and re-used where appropriate</w:t>
            </w:r>
          </w:p>
          <w:p w14:paraId="44017567" w14:textId="77777777" w:rsidR="002830AE" w:rsidRPr="003E2932" w:rsidRDefault="002830AE" w:rsidP="005351A4">
            <w:pPr>
              <w:pStyle w:val="Bullet1"/>
              <w:numPr>
                <w:ilvl w:val="0"/>
                <w:numId w:val="0"/>
              </w:numPr>
              <w:rPr>
                <w:sz w:val="20"/>
              </w:rPr>
            </w:pPr>
          </w:p>
        </w:tc>
        <w:tc>
          <w:tcPr>
            <w:tcW w:w="7087" w:type="dxa"/>
          </w:tcPr>
          <w:p w14:paraId="0701B98D" w14:textId="77777777" w:rsidR="003E2932" w:rsidRDefault="00A07E16" w:rsidP="003E2932">
            <w:pPr>
              <w:pStyle w:val="Bullet1"/>
              <w:rPr>
                <w:sz w:val="20"/>
              </w:rPr>
            </w:pPr>
            <w:r w:rsidRPr="003E2932">
              <w:rPr>
                <w:sz w:val="20"/>
              </w:rPr>
              <w:t xml:space="preserve">As a </w:t>
            </w:r>
            <w:r w:rsidR="009E7303" w:rsidRPr="003E2932">
              <w:rPr>
                <w:sz w:val="20"/>
              </w:rPr>
              <w:t>regulator, we</w:t>
            </w:r>
            <w:r w:rsidRPr="003E2932">
              <w:rPr>
                <w:sz w:val="20"/>
              </w:rPr>
              <w:t xml:space="preserve"> require the production of information to assist with the performance of </w:t>
            </w:r>
            <w:r w:rsidR="009E7303" w:rsidRPr="003E2932">
              <w:rPr>
                <w:sz w:val="20"/>
              </w:rPr>
              <w:t>our functions</w:t>
            </w:r>
            <w:r w:rsidRPr="003E2932">
              <w:rPr>
                <w:sz w:val="20"/>
              </w:rPr>
              <w:t>. An increased number of investigations in</w:t>
            </w:r>
            <w:r w:rsidR="009E7303">
              <w:rPr>
                <w:sz w:val="20"/>
              </w:rPr>
              <w:t xml:space="preserve"> </w:t>
            </w:r>
            <w:r w:rsidRPr="003E2932">
              <w:rPr>
                <w:sz w:val="20"/>
              </w:rPr>
              <w:t>2020-</w:t>
            </w:r>
            <w:r w:rsidR="009E7303" w:rsidRPr="003E2932">
              <w:rPr>
                <w:sz w:val="20"/>
              </w:rPr>
              <w:t>21 resulted</w:t>
            </w:r>
            <w:r w:rsidRPr="003E2932">
              <w:rPr>
                <w:sz w:val="20"/>
              </w:rPr>
              <w:t xml:space="preserve"> in increased requests for information. These requests are tailored to the requirements of individual investigations, and so the ability to re-use information can at times be limited. We are exploring options to ensure our systems are suitable to allow evidence collected to be used, stored and re-used in the most efficient manner possible. </w:t>
            </w:r>
          </w:p>
          <w:p w14:paraId="6838147C" w14:textId="77777777" w:rsidR="00A07E16" w:rsidRPr="003E2932" w:rsidRDefault="00A07E16" w:rsidP="003E2932">
            <w:pPr>
              <w:pStyle w:val="Bullet1"/>
              <w:rPr>
                <w:sz w:val="20"/>
              </w:rPr>
            </w:pPr>
            <w:r w:rsidRPr="003E2932">
              <w:rPr>
                <w:sz w:val="20"/>
              </w:rPr>
              <w:t>Our registration guidance materials let NDIS providers know what they need to provide with their registration application, and received information is uploaded to the Commission Operating System (COS) where it can be accessed for other operational needs.</w:t>
            </w:r>
          </w:p>
          <w:p w14:paraId="4A76D713" w14:textId="77777777" w:rsidR="002830AE" w:rsidRPr="003E2932" w:rsidRDefault="00B9572B" w:rsidP="003E2932">
            <w:pPr>
              <w:pStyle w:val="Bullet1"/>
              <w:rPr>
                <w:sz w:val="20"/>
              </w:rPr>
            </w:pPr>
            <w:r w:rsidRPr="003E2932">
              <w:rPr>
                <w:sz w:val="20"/>
              </w:rPr>
              <w:t>Behaviour support data has been used internally for risk flagging.</w:t>
            </w:r>
          </w:p>
        </w:tc>
      </w:tr>
      <w:tr w:rsidR="002830AE" w14:paraId="01F428E4" w14:textId="77777777" w:rsidTr="00E82DCA">
        <w:trPr>
          <w:cantSplit/>
        </w:trPr>
        <w:tc>
          <w:tcPr>
            <w:tcW w:w="2689" w:type="dxa"/>
          </w:tcPr>
          <w:p w14:paraId="644F614B" w14:textId="77777777" w:rsidR="002830AE" w:rsidRPr="003E2932" w:rsidRDefault="00A07E16" w:rsidP="00A07E16">
            <w:pPr>
              <w:pStyle w:val="Bullet1"/>
              <w:numPr>
                <w:ilvl w:val="0"/>
                <w:numId w:val="0"/>
              </w:numPr>
              <w:rPr>
                <w:i/>
                <w:sz w:val="20"/>
              </w:rPr>
            </w:pPr>
            <w:r w:rsidRPr="003E2932">
              <w:rPr>
                <w:bCs/>
                <w:i/>
                <w:sz w:val="20"/>
              </w:rPr>
              <w:lastRenderedPageBreak/>
              <w:t>4.1.2 Information requests are limited to legislated requirements, compliance and enforcement activities and/or registration decisions</w:t>
            </w:r>
          </w:p>
        </w:tc>
        <w:tc>
          <w:tcPr>
            <w:tcW w:w="7087" w:type="dxa"/>
          </w:tcPr>
          <w:p w14:paraId="545463F8" w14:textId="77777777" w:rsidR="00A07E16" w:rsidRPr="003E2932" w:rsidRDefault="00B9572B" w:rsidP="00CF5641">
            <w:pPr>
              <w:pStyle w:val="Bullet1"/>
              <w:rPr>
                <w:sz w:val="20"/>
              </w:rPr>
            </w:pPr>
            <w:r w:rsidRPr="003E2932">
              <w:rPr>
                <w:sz w:val="20"/>
              </w:rPr>
              <w:t>F</w:t>
            </w:r>
            <w:r w:rsidR="00A07E16" w:rsidRPr="003E2932">
              <w:rPr>
                <w:sz w:val="20"/>
              </w:rPr>
              <w:t xml:space="preserve">ormal requests for information are limited to legislated requirements, compliance and enforcement activities and/or registrations decisions. </w:t>
            </w:r>
          </w:p>
          <w:p w14:paraId="448C063F" w14:textId="77777777" w:rsidR="00A07E16" w:rsidRPr="003E2932" w:rsidRDefault="00B9572B" w:rsidP="003E2932">
            <w:pPr>
              <w:pStyle w:val="Bullet1"/>
              <w:rPr>
                <w:sz w:val="20"/>
              </w:rPr>
            </w:pPr>
            <w:r w:rsidRPr="003E2932">
              <w:rPr>
                <w:sz w:val="20"/>
              </w:rPr>
              <w:t xml:space="preserve">Information requests in relation to behaviour support are restricted to the core data set: person details, provider details, behaviours of concern, and use of restrictive practices. </w:t>
            </w:r>
          </w:p>
          <w:p w14:paraId="4AD880F8" w14:textId="77777777" w:rsidR="00A07E16" w:rsidRPr="003E2932" w:rsidRDefault="00A07E16" w:rsidP="00CF5641">
            <w:pPr>
              <w:pStyle w:val="Bullet1"/>
              <w:rPr>
                <w:sz w:val="20"/>
              </w:rPr>
            </w:pPr>
            <w:r w:rsidRPr="003E2932">
              <w:rPr>
                <w:sz w:val="20"/>
              </w:rPr>
              <w:t xml:space="preserve">Requests for information related to matters under investigation are reviewed by the Office of the General Counsel (OGC) to ensure they are compliant with legislative requirements, and are limited to material that is reasonably necessary for the purposes of the investigation. </w:t>
            </w:r>
          </w:p>
          <w:p w14:paraId="6ED87B04" w14:textId="77777777" w:rsidR="002830AE" w:rsidRPr="003E2932" w:rsidRDefault="00A07E16" w:rsidP="003E2932">
            <w:pPr>
              <w:pStyle w:val="Bullet1"/>
              <w:rPr>
                <w:sz w:val="20"/>
              </w:rPr>
            </w:pPr>
            <w:r w:rsidRPr="003E2932">
              <w:rPr>
                <w:sz w:val="20"/>
              </w:rPr>
              <w:t xml:space="preserve">Wide-ranging, onerous requests for information not tied to a specific matter under investigation are avoided. The NDIS Commission seeks to work with entities requested to provide information on a voluntary basis, and where compulsion is required, regard is had to the requirements of the NDIS Act. </w:t>
            </w:r>
          </w:p>
        </w:tc>
      </w:tr>
    </w:tbl>
    <w:p w14:paraId="0ED15D9E" w14:textId="77777777" w:rsidR="00850A8C" w:rsidRPr="003E2932" w:rsidRDefault="00850A8C" w:rsidP="003E2932">
      <w:pPr>
        <w:tabs>
          <w:tab w:val="left" w:pos="4381"/>
        </w:tabs>
        <w:suppressAutoHyphens w:val="0"/>
        <w:spacing w:before="0" w:after="120" w:line="276" w:lineRule="auto"/>
        <w:rPr>
          <w:rFonts w:cstheme="minorHAnsi"/>
          <w:b/>
          <w:bCs/>
          <w:color w:val="333333"/>
          <w:spacing w:val="4"/>
          <w:sz w:val="20"/>
        </w:rPr>
      </w:pPr>
      <w:r w:rsidRPr="003E2932">
        <w:rPr>
          <w:rFonts w:cstheme="minorHAnsi"/>
          <w:b/>
          <w:bCs/>
          <w:color w:val="333333"/>
          <w:spacing w:val="4"/>
          <w:sz w:val="20"/>
        </w:rPr>
        <w:tab/>
      </w:r>
    </w:p>
    <w:p w14:paraId="11011F04" w14:textId="77777777" w:rsidR="00806BAE" w:rsidRDefault="003251D3" w:rsidP="003251D3">
      <w:pPr>
        <w:pStyle w:val="Heading3"/>
      </w:pPr>
      <w:bookmarkStart w:id="27" w:name="_Toc128477932"/>
      <w:r w:rsidRPr="00870C23">
        <w:t>Measure 4.2: Our frequency of information collection is minimised and coordinated with similar processes including those of other regulators so that, as far as possible, information is only requested once</w:t>
      </w:r>
      <w:bookmarkEnd w:id="27"/>
    </w:p>
    <w:tbl>
      <w:tblPr>
        <w:tblStyle w:val="TableGrid"/>
        <w:tblW w:w="9776" w:type="dxa"/>
        <w:tblLook w:val="04A0" w:firstRow="1" w:lastRow="0" w:firstColumn="1" w:lastColumn="0" w:noHBand="0" w:noVBand="1"/>
        <w:tblDescription w:val="Requirement and response"/>
      </w:tblPr>
      <w:tblGrid>
        <w:gridCol w:w="2689"/>
        <w:gridCol w:w="7087"/>
      </w:tblGrid>
      <w:tr w:rsidR="00806BAE" w14:paraId="77C19C14" w14:textId="77777777" w:rsidTr="00FA7EC3">
        <w:trPr>
          <w:cantSplit/>
          <w:tblHeader/>
        </w:trPr>
        <w:tc>
          <w:tcPr>
            <w:tcW w:w="2689" w:type="dxa"/>
            <w:shd w:val="clear" w:color="auto" w:fill="612C69"/>
          </w:tcPr>
          <w:p w14:paraId="730F91CD" w14:textId="77777777" w:rsidR="00806BAE" w:rsidRPr="00FA7EC3" w:rsidRDefault="00806BAE" w:rsidP="00D8524B">
            <w:pPr>
              <w:rPr>
                <w:b/>
                <w:color w:val="FFFFFF" w:themeColor="background1"/>
              </w:rPr>
            </w:pPr>
            <w:r w:rsidRPr="00FA7EC3">
              <w:rPr>
                <w:b/>
                <w:color w:val="FFFFFF" w:themeColor="background1"/>
              </w:rPr>
              <w:t>Requirement</w:t>
            </w:r>
          </w:p>
        </w:tc>
        <w:tc>
          <w:tcPr>
            <w:tcW w:w="7087" w:type="dxa"/>
            <w:shd w:val="clear" w:color="auto" w:fill="612C69"/>
          </w:tcPr>
          <w:p w14:paraId="37594BE7" w14:textId="77777777" w:rsidR="00806BAE" w:rsidRPr="00FA7EC3" w:rsidRDefault="00806BAE"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806BAE" w14:paraId="163A1683" w14:textId="77777777" w:rsidTr="00E82DCA">
        <w:trPr>
          <w:cantSplit/>
        </w:trPr>
        <w:tc>
          <w:tcPr>
            <w:tcW w:w="2689" w:type="dxa"/>
          </w:tcPr>
          <w:p w14:paraId="598DB030" w14:textId="77777777" w:rsidR="00806BAE" w:rsidRPr="00563327" w:rsidRDefault="00806BAE" w:rsidP="00CF5641">
            <w:pPr>
              <w:pStyle w:val="Bullet1"/>
              <w:numPr>
                <w:ilvl w:val="0"/>
                <w:numId w:val="0"/>
              </w:numPr>
              <w:rPr>
                <w:bCs/>
                <w:i/>
                <w:sz w:val="20"/>
              </w:rPr>
            </w:pPr>
            <w:r w:rsidRPr="00563327">
              <w:rPr>
                <w:bCs/>
                <w:i/>
                <w:sz w:val="20"/>
              </w:rPr>
              <w:t>4.2.1 Information provided to the NDIS Commission and other sources is systematically recorded and used where practicable before independent information collection is undertaken</w:t>
            </w:r>
          </w:p>
          <w:p w14:paraId="2BAD0445" w14:textId="77777777" w:rsidR="00806BAE" w:rsidRPr="00563327" w:rsidRDefault="00806BAE" w:rsidP="00D8524B">
            <w:pPr>
              <w:pStyle w:val="Bullet1"/>
              <w:numPr>
                <w:ilvl w:val="0"/>
                <w:numId w:val="0"/>
              </w:numPr>
              <w:rPr>
                <w:sz w:val="20"/>
              </w:rPr>
            </w:pPr>
          </w:p>
        </w:tc>
        <w:tc>
          <w:tcPr>
            <w:tcW w:w="7087" w:type="dxa"/>
          </w:tcPr>
          <w:p w14:paraId="278994F3" w14:textId="77777777" w:rsidR="00806BAE" w:rsidRPr="00563327" w:rsidRDefault="00806BAE" w:rsidP="00806BAE">
            <w:pPr>
              <w:pStyle w:val="Bullet1"/>
              <w:rPr>
                <w:sz w:val="20"/>
              </w:rPr>
            </w:pPr>
            <w:r w:rsidRPr="00563327">
              <w:rPr>
                <w:sz w:val="20"/>
              </w:rPr>
              <w:t xml:space="preserve">Our practices and systems are designed to minimise repeat information requests. All information in respect of a provider's application is recorded in the COS, which allows other areas to identify and access information regarding key workers and staff, including any provider policies and procedures that have been collected during the audit or registration process. </w:t>
            </w:r>
          </w:p>
          <w:p w14:paraId="6423E57F" w14:textId="77777777" w:rsidR="00806BAE" w:rsidRPr="00563327" w:rsidRDefault="00806BAE" w:rsidP="00806BAE">
            <w:pPr>
              <w:pStyle w:val="Bullet1"/>
              <w:rPr>
                <w:sz w:val="20"/>
              </w:rPr>
            </w:pPr>
            <w:r w:rsidRPr="00563327">
              <w:rPr>
                <w:sz w:val="20"/>
              </w:rPr>
              <w:t xml:space="preserve">Information held in the registered NDIS provider record within the COS is transferred to a provider’s application at the point of commencing their renewal application. As such, the provider does not have to re-enter information already held by the NDIS Commission.  </w:t>
            </w:r>
          </w:p>
          <w:p w14:paraId="50283451" w14:textId="77777777" w:rsidR="00806BAE" w:rsidRPr="00563327" w:rsidRDefault="00806BAE" w:rsidP="00806BAE">
            <w:pPr>
              <w:pStyle w:val="Bullet1"/>
              <w:rPr>
                <w:sz w:val="20"/>
              </w:rPr>
            </w:pPr>
            <w:r w:rsidRPr="00563327">
              <w:rPr>
                <w:sz w:val="20"/>
              </w:rPr>
              <w:t>Information received from the NDIA is recorded centrally, and used in the monitoring of provider compliance with registration requirements.</w:t>
            </w:r>
          </w:p>
          <w:p w14:paraId="316BF8F1" w14:textId="77777777" w:rsidR="00806BAE" w:rsidRPr="00563327" w:rsidRDefault="00806BAE" w:rsidP="00D8524B">
            <w:pPr>
              <w:pStyle w:val="Bullet1"/>
              <w:numPr>
                <w:ilvl w:val="0"/>
                <w:numId w:val="0"/>
              </w:numPr>
              <w:rPr>
                <w:sz w:val="20"/>
              </w:rPr>
            </w:pPr>
          </w:p>
        </w:tc>
      </w:tr>
      <w:tr w:rsidR="00806BAE" w14:paraId="161C0766" w14:textId="77777777" w:rsidTr="00E82DCA">
        <w:trPr>
          <w:cantSplit/>
        </w:trPr>
        <w:tc>
          <w:tcPr>
            <w:tcW w:w="2689" w:type="dxa"/>
          </w:tcPr>
          <w:p w14:paraId="4D7E54B7" w14:textId="77777777" w:rsidR="00806BAE" w:rsidRPr="00177A8B" w:rsidRDefault="00806BAE" w:rsidP="00CF5641">
            <w:pPr>
              <w:pStyle w:val="Bullet1"/>
              <w:numPr>
                <w:ilvl w:val="0"/>
                <w:numId w:val="0"/>
              </w:numPr>
              <w:rPr>
                <w:bCs/>
                <w:i/>
                <w:sz w:val="20"/>
              </w:rPr>
            </w:pPr>
            <w:r w:rsidRPr="00177A8B">
              <w:rPr>
                <w:bCs/>
                <w:i/>
                <w:sz w:val="20"/>
              </w:rPr>
              <w:lastRenderedPageBreak/>
              <w:t>4.2.2 Number of repeat information requests made to providers annually</w:t>
            </w:r>
            <w:r w:rsidRPr="00177A8B">
              <w:rPr>
                <w:bCs/>
                <w:i/>
                <w:sz w:val="20"/>
              </w:rPr>
              <w:tab/>
            </w:r>
          </w:p>
          <w:p w14:paraId="0284C202" w14:textId="77777777" w:rsidR="00806BAE" w:rsidRPr="00177A8B" w:rsidRDefault="00806BAE" w:rsidP="00D8524B">
            <w:pPr>
              <w:pStyle w:val="Bullet1"/>
              <w:numPr>
                <w:ilvl w:val="0"/>
                <w:numId w:val="0"/>
              </w:numPr>
              <w:rPr>
                <w:i/>
                <w:sz w:val="20"/>
              </w:rPr>
            </w:pPr>
          </w:p>
        </w:tc>
        <w:tc>
          <w:tcPr>
            <w:tcW w:w="7087" w:type="dxa"/>
          </w:tcPr>
          <w:p w14:paraId="3A136BD1" w14:textId="77777777" w:rsidR="00806BAE" w:rsidRPr="00177A8B" w:rsidRDefault="00806BAE" w:rsidP="00563327">
            <w:pPr>
              <w:pStyle w:val="Bullet1"/>
              <w:rPr>
                <w:sz w:val="20"/>
              </w:rPr>
            </w:pPr>
            <w:r w:rsidRPr="00177A8B">
              <w:rPr>
                <w:sz w:val="20"/>
              </w:rPr>
              <w:t>Where possible, the NDIS Commission takes action to limit repeat requests for information as part of its regulatory functions. At present, our data is not sufficiently matured to capture this specific metric accurately.</w:t>
            </w:r>
          </w:p>
        </w:tc>
      </w:tr>
    </w:tbl>
    <w:p w14:paraId="4C548FB2" w14:textId="014F6974" w:rsidR="003251D3" w:rsidRDefault="003251D3" w:rsidP="003251D3">
      <w:pPr>
        <w:pStyle w:val="Heading3"/>
      </w:pPr>
      <w:bookmarkStart w:id="28" w:name="_Toc128477933"/>
      <w:r w:rsidRPr="00870C23">
        <w:t>Measure 4.3: We utilise existing information to limit the reliance on requests from regulated entities and share information among other regulators where possible</w:t>
      </w:r>
      <w:bookmarkEnd w:id="28"/>
    </w:p>
    <w:tbl>
      <w:tblPr>
        <w:tblStyle w:val="TableGrid"/>
        <w:tblW w:w="9776" w:type="dxa"/>
        <w:tblLook w:val="04A0" w:firstRow="1" w:lastRow="0" w:firstColumn="1" w:lastColumn="0" w:noHBand="0" w:noVBand="1"/>
        <w:tblDescription w:val="Requirement and responses in relation to performance measure 4.3."/>
      </w:tblPr>
      <w:tblGrid>
        <w:gridCol w:w="2689"/>
        <w:gridCol w:w="7087"/>
      </w:tblGrid>
      <w:tr w:rsidR="00922C31" w14:paraId="5A4C475B" w14:textId="77777777" w:rsidTr="00FA7EC3">
        <w:trPr>
          <w:cantSplit/>
          <w:tblHeader/>
        </w:trPr>
        <w:tc>
          <w:tcPr>
            <w:tcW w:w="2689" w:type="dxa"/>
            <w:shd w:val="clear" w:color="auto" w:fill="612C69"/>
          </w:tcPr>
          <w:p w14:paraId="63198FFB" w14:textId="77777777" w:rsidR="00922C31" w:rsidRPr="00FA7EC3" w:rsidRDefault="00922C31" w:rsidP="00D8524B">
            <w:pPr>
              <w:rPr>
                <w:b/>
                <w:color w:val="FFFFFF" w:themeColor="background1"/>
              </w:rPr>
            </w:pPr>
            <w:r w:rsidRPr="00FA7EC3">
              <w:rPr>
                <w:b/>
                <w:color w:val="FFFFFF" w:themeColor="background1"/>
              </w:rPr>
              <w:t>Requirement</w:t>
            </w:r>
          </w:p>
        </w:tc>
        <w:tc>
          <w:tcPr>
            <w:tcW w:w="7087" w:type="dxa"/>
            <w:shd w:val="clear" w:color="auto" w:fill="612C69"/>
          </w:tcPr>
          <w:p w14:paraId="66B574BC" w14:textId="77777777" w:rsidR="00922C31" w:rsidRPr="00FA7EC3" w:rsidRDefault="00922C31"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922C31" w14:paraId="376498FF" w14:textId="77777777" w:rsidTr="00E82DCA">
        <w:trPr>
          <w:cantSplit/>
        </w:trPr>
        <w:tc>
          <w:tcPr>
            <w:tcW w:w="2689" w:type="dxa"/>
          </w:tcPr>
          <w:p w14:paraId="3B5A5FF3" w14:textId="77777777" w:rsidR="00922C31" w:rsidRPr="00563327" w:rsidRDefault="00922C31" w:rsidP="00CF5641">
            <w:pPr>
              <w:pStyle w:val="Bullet1"/>
              <w:numPr>
                <w:ilvl w:val="0"/>
                <w:numId w:val="0"/>
              </w:numPr>
              <w:rPr>
                <w:bCs/>
                <w:i/>
                <w:sz w:val="20"/>
              </w:rPr>
            </w:pPr>
            <w:r w:rsidRPr="00563327">
              <w:rPr>
                <w:bCs/>
                <w:i/>
                <w:sz w:val="20"/>
              </w:rPr>
              <w:t>4.3.1 Percentage of monitoring and investigative activities coordinated with similar agencies</w:t>
            </w:r>
          </w:p>
          <w:p w14:paraId="151FCAB7" w14:textId="77777777" w:rsidR="00922C31" w:rsidRPr="00563327" w:rsidRDefault="00922C31" w:rsidP="00922C31">
            <w:pPr>
              <w:pStyle w:val="Bullet1"/>
              <w:numPr>
                <w:ilvl w:val="0"/>
                <w:numId w:val="0"/>
              </w:numPr>
              <w:rPr>
                <w:sz w:val="20"/>
              </w:rPr>
            </w:pPr>
          </w:p>
        </w:tc>
        <w:tc>
          <w:tcPr>
            <w:tcW w:w="7087" w:type="dxa"/>
          </w:tcPr>
          <w:p w14:paraId="7FB0955C" w14:textId="77777777" w:rsidR="00922C31" w:rsidRPr="00563327" w:rsidRDefault="00922C31" w:rsidP="00922C31">
            <w:pPr>
              <w:pStyle w:val="Bullet1"/>
              <w:rPr>
                <w:sz w:val="20"/>
              </w:rPr>
            </w:pPr>
            <w:r w:rsidRPr="00563327">
              <w:rPr>
                <w:sz w:val="20"/>
              </w:rPr>
              <w:t>The NDIS Commission’s investigations and compliance activity works collaboratively with other regulatory and enforcement agencies with a goal of achieving optimal outcomes for participants. During the reporting period, we worked with other agencies in relation to 316 matters. These agencies included the NDIA, the Australian Federal Police and state/territory police, child protection agencies, consumer law agencies, health departments, aged care authorities and mental health authorities. This figure is currently unavailable as a percentage of our monitoring and investigative activities.</w:t>
            </w:r>
          </w:p>
          <w:p w14:paraId="345EE42E" w14:textId="77777777" w:rsidR="00922C31" w:rsidRPr="00563327" w:rsidRDefault="00922C31" w:rsidP="00563327">
            <w:pPr>
              <w:pStyle w:val="Bullet1"/>
              <w:rPr>
                <w:sz w:val="20"/>
              </w:rPr>
            </w:pPr>
            <w:r w:rsidRPr="00563327">
              <w:rPr>
                <w:sz w:val="20"/>
              </w:rPr>
              <w:t xml:space="preserve">Collaborative activity is primarily undertaken with state and territory police, in investigative work and safeguarding actions in furtherance of disability workers being charged with and/or convicted of criminal offences. </w:t>
            </w:r>
          </w:p>
        </w:tc>
      </w:tr>
      <w:tr w:rsidR="00922C31" w14:paraId="6F74373F" w14:textId="77777777" w:rsidTr="00E82DCA">
        <w:trPr>
          <w:cantSplit/>
        </w:trPr>
        <w:tc>
          <w:tcPr>
            <w:tcW w:w="2689" w:type="dxa"/>
          </w:tcPr>
          <w:p w14:paraId="294E31C6" w14:textId="77777777" w:rsidR="00922C31" w:rsidRPr="00563327" w:rsidRDefault="00922C31" w:rsidP="00922C31">
            <w:pPr>
              <w:pStyle w:val="Bullet1"/>
              <w:ind w:left="0"/>
              <w:rPr>
                <w:bCs/>
                <w:i/>
                <w:sz w:val="20"/>
              </w:rPr>
            </w:pPr>
            <w:r w:rsidRPr="00563327">
              <w:rPr>
                <w:bCs/>
                <w:i/>
                <w:sz w:val="20"/>
              </w:rPr>
              <w:lastRenderedPageBreak/>
              <w:t>4.3.2 Information sharing arrangements with other government agencies, law enforcement agencies, industry complaint bodies and child protection agencies are documented</w:t>
            </w:r>
          </w:p>
          <w:p w14:paraId="37D8492E" w14:textId="77777777" w:rsidR="00922C31" w:rsidRPr="00563327" w:rsidRDefault="00922C31" w:rsidP="00D8524B">
            <w:pPr>
              <w:pStyle w:val="Bullet1"/>
              <w:numPr>
                <w:ilvl w:val="0"/>
                <w:numId w:val="0"/>
              </w:numPr>
              <w:rPr>
                <w:i/>
                <w:sz w:val="20"/>
              </w:rPr>
            </w:pPr>
          </w:p>
        </w:tc>
        <w:tc>
          <w:tcPr>
            <w:tcW w:w="7087" w:type="dxa"/>
          </w:tcPr>
          <w:p w14:paraId="7F7C31CA" w14:textId="77777777" w:rsidR="00922C31" w:rsidRPr="00563327" w:rsidRDefault="00922C31" w:rsidP="00CF5641">
            <w:pPr>
              <w:pStyle w:val="Bullet1"/>
              <w:rPr>
                <w:sz w:val="20"/>
              </w:rPr>
            </w:pPr>
            <w:r w:rsidRPr="00563327">
              <w:rPr>
                <w:sz w:val="20"/>
              </w:rPr>
              <w:t xml:space="preserve">We have a range of protocols, information-sharing schedules and guidance documentation that support our interagency arrangements. </w:t>
            </w:r>
          </w:p>
          <w:p w14:paraId="5A8F088B" w14:textId="77777777" w:rsidR="00922C31" w:rsidRPr="00563327" w:rsidRDefault="00922C31" w:rsidP="00922C31">
            <w:pPr>
              <w:pStyle w:val="Bullet1"/>
              <w:rPr>
                <w:sz w:val="20"/>
              </w:rPr>
            </w:pPr>
            <w:r w:rsidRPr="00563327">
              <w:rPr>
                <w:sz w:val="20"/>
              </w:rPr>
              <w:t xml:space="preserve">In conducting investigations, </w:t>
            </w:r>
            <w:r w:rsidR="00095CED" w:rsidRPr="00563327">
              <w:rPr>
                <w:sz w:val="20"/>
              </w:rPr>
              <w:t>we</w:t>
            </w:r>
            <w:r w:rsidRPr="00563327">
              <w:rPr>
                <w:sz w:val="20"/>
              </w:rPr>
              <w:t xml:space="preserve"> seek to utilise the information </w:t>
            </w:r>
            <w:r w:rsidR="00095CED" w:rsidRPr="00563327">
              <w:rPr>
                <w:sz w:val="20"/>
              </w:rPr>
              <w:t>we</w:t>
            </w:r>
            <w:r w:rsidRPr="00563327">
              <w:rPr>
                <w:sz w:val="20"/>
              </w:rPr>
              <w:t xml:space="preserve"> holds across </w:t>
            </w:r>
            <w:r w:rsidR="00095CED" w:rsidRPr="00563327">
              <w:rPr>
                <w:sz w:val="20"/>
              </w:rPr>
              <w:t>our</w:t>
            </w:r>
            <w:r w:rsidRPr="00563327">
              <w:rPr>
                <w:sz w:val="20"/>
              </w:rPr>
              <w:t xml:space="preserve"> functions to reduce the necessity to seek information from regulated entities. However, this does not negate the need to require information from those regulated entities in circumstances where the accuracy of information needs to be verified or additional detail is required. While recent amendments to the NDIS Act make the sharing of information with the NDIA easier, the ability of the NDIS Commission to share information with other regulators remains subject to the privacy provisions within the Act.</w:t>
            </w:r>
          </w:p>
          <w:p w14:paraId="3C47A792" w14:textId="77777777" w:rsidR="00922C31" w:rsidRPr="00563327" w:rsidRDefault="00922C31" w:rsidP="00CF5641">
            <w:pPr>
              <w:pStyle w:val="Bullet1"/>
              <w:rPr>
                <w:sz w:val="20"/>
              </w:rPr>
            </w:pPr>
            <w:r w:rsidRPr="00563327">
              <w:rPr>
                <w:sz w:val="20"/>
              </w:rPr>
              <w:t>When assessing registrat</w:t>
            </w:r>
            <w:r w:rsidR="00563327">
              <w:rPr>
                <w:sz w:val="20"/>
              </w:rPr>
              <w:t>ion applications</w:t>
            </w:r>
            <w:r w:rsidRPr="00563327">
              <w:rPr>
                <w:sz w:val="20"/>
              </w:rPr>
              <w:t xml:space="preserve"> and conducting </w:t>
            </w:r>
            <w:r w:rsidR="00563327">
              <w:rPr>
                <w:sz w:val="20"/>
              </w:rPr>
              <w:t>compliance</w:t>
            </w:r>
            <w:r w:rsidRPr="00563327">
              <w:rPr>
                <w:sz w:val="20"/>
              </w:rPr>
              <w:t xml:space="preserve"> activities, </w:t>
            </w:r>
            <w:r w:rsidR="00563327">
              <w:rPr>
                <w:sz w:val="20"/>
              </w:rPr>
              <w:t>we identifies consult with</w:t>
            </w:r>
            <w:r w:rsidRPr="00563327">
              <w:rPr>
                <w:sz w:val="20"/>
              </w:rPr>
              <w:t xml:space="preserve"> other regulators that have previously made adverse findings, or take</w:t>
            </w:r>
            <w:r w:rsidR="00563327">
              <w:rPr>
                <w:sz w:val="20"/>
              </w:rPr>
              <w:t>n regulatory action, against a</w:t>
            </w:r>
            <w:r w:rsidRPr="00563327">
              <w:rPr>
                <w:sz w:val="20"/>
              </w:rPr>
              <w:t xml:space="preserve"> provider. Outcomes of regulatory deci</w:t>
            </w:r>
            <w:r w:rsidR="00563327">
              <w:rPr>
                <w:sz w:val="20"/>
              </w:rPr>
              <w:t xml:space="preserve">sions </w:t>
            </w:r>
            <w:r w:rsidRPr="00563327">
              <w:rPr>
                <w:sz w:val="20"/>
              </w:rPr>
              <w:t>are shared with the NDIA and state based worker-screening units, to inform their role in the continuity of support for NDIS participants. Our Behaviour Support branch continues to explore legal and technical options for information sharing, in particular with authorising bodies.</w:t>
            </w:r>
          </w:p>
          <w:p w14:paraId="23F4552C" w14:textId="77777777" w:rsidR="00922C31" w:rsidRPr="00563327" w:rsidRDefault="00077471" w:rsidP="00563327">
            <w:pPr>
              <w:pStyle w:val="Bullet1"/>
              <w:rPr>
                <w:sz w:val="20"/>
              </w:rPr>
            </w:pPr>
            <w:r>
              <w:rPr>
                <w:rFonts w:ascii="Calibri" w:hAnsi="Calibri"/>
                <w:spacing w:val="4"/>
                <w:sz w:val="20"/>
              </w:rPr>
              <w:t>In April 2021</w:t>
            </w:r>
            <w:r w:rsidR="00922C31" w:rsidRPr="00563327">
              <w:rPr>
                <w:rFonts w:ascii="Calibri" w:hAnsi="Calibri"/>
                <w:spacing w:val="4"/>
                <w:sz w:val="20"/>
              </w:rPr>
              <w:t>, changes were made to the Commissioner’s Rule relating to the disclosure of protected Commission information, t</w:t>
            </w:r>
            <w:r w:rsidR="00563327">
              <w:rPr>
                <w:rFonts w:ascii="Calibri" w:hAnsi="Calibri"/>
                <w:spacing w:val="4"/>
                <w:sz w:val="20"/>
              </w:rPr>
              <w:t xml:space="preserve">o allow for the sharing of </w:t>
            </w:r>
            <w:r w:rsidR="00922C31" w:rsidRPr="00563327">
              <w:rPr>
                <w:rFonts w:ascii="Calibri" w:hAnsi="Calibri"/>
                <w:spacing w:val="4"/>
                <w:sz w:val="20"/>
              </w:rPr>
              <w:t>info</w:t>
            </w:r>
            <w:r w:rsidR="00563327">
              <w:rPr>
                <w:rFonts w:ascii="Calibri" w:hAnsi="Calibri"/>
                <w:spacing w:val="4"/>
                <w:sz w:val="20"/>
              </w:rPr>
              <w:t xml:space="preserve">rmation </w:t>
            </w:r>
            <w:r w:rsidR="00922C31" w:rsidRPr="00563327">
              <w:rPr>
                <w:rFonts w:ascii="Calibri" w:hAnsi="Calibri"/>
                <w:spacing w:val="4"/>
                <w:sz w:val="20"/>
              </w:rPr>
              <w:t>to assist wi</w:t>
            </w:r>
            <w:r>
              <w:rPr>
                <w:rFonts w:ascii="Calibri" w:hAnsi="Calibri"/>
                <w:spacing w:val="4"/>
                <w:sz w:val="20"/>
              </w:rPr>
              <w:t xml:space="preserve">th </w:t>
            </w:r>
            <w:r w:rsidR="00922C31" w:rsidRPr="00563327">
              <w:rPr>
                <w:rFonts w:ascii="Calibri" w:hAnsi="Calibri"/>
                <w:spacing w:val="4"/>
                <w:sz w:val="20"/>
              </w:rPr>
              <w:t>NDIS Worker Screening Checks. The changes</w:t>
            </w:r>
            <w:r>
              <w:rPr>
                <w:rFonts w:ascii="Calibri" w:hAnsi="Calibri"/>
                <w:spacing w:val="4"/>
                <w:sz w:val="20"/>
              </w:rPr>
              <w:t xml:space="preserve"> </w:t>
            </w:r>
            <w:r w:rsidR="00922C31" w:rsidRPr="00563327">
              <w:rPr>
                <w:rFonts w:ascii="Calibri" w:hAnsi="Calibri"/>
                <w:spacing w:val="4"/>
                <w:sz w:val="20"/>
              </w:rPr>
              <w:t>created an exception to the requirement to consult a person whose personal information is proposed to be disclosed, where the disclosure is to certain agencies that have specific functions related to national worker screening, as part of the broader NDIS Quality and Safeguarding Framework.</w:t>
            </w:r>
          </w:p>
        </w:tc>
      </w:tr>
    </w:tbl>
    <w:p w14:paraId="587869EA" w14:textId="77777777" w:rsidR="002610A9" w:rsidRPr="00335B81" w:rsidRDefault="002610A9" w:rsidP="00563327">
      <w:pPr>
        <w:tabs>
          <w:tab w:val="left" w:pos="4384"/>
        </w:tabs>
        <w:suppressAutoHyphens w:val="0"/>
        <w:spacing w:before="0" w:after="120" w:line="276" w:lineRule="auto"/>
        <w:rPr>
          <w:rFonts w:cstheme="minorHAnsi"/>
          <w:color w:val="auto"/>
          <w:spacing w:val="4"/>
          <w:sz w:val="20"/>
        </w:rPr>
      </w:pPr>
    </w:p>
    <w:p w14:paraId="1E8423EE" w14:textId="77777777" w:rsidR="009E2937" w:rsidRDefault="003251D3" w:rsidP="003251D3">
      <w:pPr>
        <w:pStyle w:val="Heading3"/>
      </w:pPr>
      <w:bookmarkStart w:id="29" w:name="_Toc128477934"/>
      <w:r w:rsidRPr="00870C23">
        <w:lastRenderedPageBreak/>
        <w:t>Measure 4.4: We base monitoring and inspection approaches on risk and, where possible, take into account the circumstances and operational needs of the regulated entity</w:t>
      </w:r>
      <w:bookmarkEnd w:id="29"/>
      <w:r w:rsidRPr="00870C23">
        <w:t xml:space="preserve"> </w:t>
      </w:r>
    </w:p>
    <w:tbl>
      <w:tblPr>
        <w:tblStyle w:val="TableGrid"/>
        <w:tblW w:w="9776" w:type="dxa"/>
        <w:tblLook w:val="04A0" w:firstRow="1" w:lastRow="0" w:firstColumn="1" w:lastColumn="0" w:noHBand="0" w:noVBand="1"/>
        <w:tblDescription w:val="Requirement and responses in relation to performance measure 4.4."/>
      </w:tblPr>
      <w:tblGrid>
        <w:gridCol w:w="2689"/>
        <w:gridCol w:w="7087"/>
      </w:tblGrid>
      <w:tr w:rsidR="009E2937" w14:paraId="4AE2092E" w14:textId="77777777" w:rsidTr="00FA7EC3">
        <w:trPr>
          <w:cantSplit/>
          <w:tblHeader/>
        </w:trPr>
        <w:tc>
          <w:tcPr>
            <w:tcW w:w="2689" w:type="dxa"/>
            <w:shd w:val="clear" w:color="auto" w:fill="612C69"/>
          </w:tcPr>
          <w:p w14:paraId="4E6326D8" w14:textId="77777777" w:rsidR="009E2937" w:rsidRPr="00FA7EC3" w:rsidRDefault="009E2937" w:rsidP="00D8524B">
            <w:pPr>
              <w:rPr>
                <w:b/>
                <w:color w:val="FFFFFF" w:themeColor="background1"/>
              </w:rPr>
            </w:pPr>
            <w:r w:rsidRPr="00FA7EC3">
              <w:rPr>
                <w:b/>
                <w:color w:val="FFFFFF" w:themeColor="background1"/>
              </w:rPr>
              <w:t>Requirement</w:t>
            </w:r>
          </w:p>
        </w:tc>
        <w:tc>
          <w:tcPr>
            <w:tcW w:w="7087" w:type="dxa"/>
            <w:shd w:val="clear" w:color="auto" w:fill="612C69"/>
          </w:tcPr>
          <w:p w14:paraId="4CD60DF3" w14:textId="77777777" w:rsidR="009E2937" w:rsidRPr="00FA7EC3" w:rsidRDefault="009E2937"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9E2937" w14:paraId="6A2FF90A" w14:textId="77777777" w:rsidTr="00E82DCA">
        <w:trPr>
          <w:cantSplit/>
        </w:trPr>
        <w:tc>
          <w:tcPr>
            <w:tcW w:w="2689" w:type="dxa"/>
          </w:tcPr>
          <w:p w14:paraId="5C8704BF" w14:textId="77777777" w:rsidR="009E2937" w:rsidRPr="00563327" w:rsidRDefault="009E2937" w:rsidP="00CF5641">
            <w:pPr>
              <w:pStyle w:val="Bullet1"/>
              <w:numPr>
                <w:ilvl w:val="0"/>
                <w:numId w:val="0"/>
              </w:numPr>
              <w:rPr>
                <w:bCs/>
                <w:i/>
                <w:sz w:val="20"/>
              </w:rPr>
            </w:pPr>
            <w:r w:rsidRPr="00563327">
              <w:rPr>
                <w:bCs/>
                <w:i/>
                <w:sz w:val="20"/>
              </w:rPr>
              <w:t>4.4.1 Operational needs and circumstances of providers are considered when determining when and how to conduct investigative and compliance activities which are comprehensively documented and based on all available information</w:t>
            </w:r>
          </w:p>
          <w:p w14:paraId="42CE07D3" w14:textId="77777777" w:rsidR="009E2937" w:rsidRPr="00563327" w:rsidRDefault="009E2937" w:rsidP="00D8524B">
            <w:pPr>
              <w:pStyle w:val="Bullet1"/>
              <w:numPr>
                <w:ilvl w:val="0"/>
                <w:numId w:val="0"/>
              </w:numPr>
              <w:rPr>
                <w:sz w:val="20"/>
              </w:rPr>
            </w:pPr>
          </w:p>
        </w:tc>
        <w:tc>
          <w:tcPr>
            <w:tcW w:w="7087" w:type="dxa"/>
          </w:tcPr>
          <w:p w14:paraId="750F0DD4" w14:textId="77777777" w:rsidR="009E2937" w:rsidRPr="00563327" w:rsidRDefault="009E2937" w:rsidP="009E2937">
            <w:pPr>
              <w:pStyle w:val="Bullet1"/>
              <w:rPr>
                <w:sz w:val="20"/>
              </w:rPr>
            </w:pPr>
            <w:r w:rsidRPr="00563327">
              <w:rPr>
                <w:sz w:val="20"/>
              </w:rPr>
              <w:t>We base our monitoring and investigative approaches on risk. The circumstances and operational needs of regulated entities are considered, but are not prioritised, over any action considered necessary for the effective regulation of the industry and the safeguarding of NDIS participants.</w:t>
            </w:r>
          </w:p>
          <w:p w14:paraId="5D927899" w14:textId="77777777" w:rsidR="009E2937" w:rsidRPr="00563327" w:rsidRDefault="009E2937" w:rsidP="009E2937">
            <w:pPr>
              <w:pStyle w:val="Bullet1"/>
              <w:rPr>
                <w:sz w:val="20"/>
              </w:rPr>
            </w:pPr>
            <w:r w:rsidRPr="00563327">
              <w:rPr>
                <w:sz w:val="20"/>
              </w:rPr>
              <w:t xml:space="preserve">As we mature, we have increasingly engaged our monitoring and investigative powers under the </w:t>
            </w:r>
            <w:r w:rsidRPr="00563327">
              <w:rPr>
                <w:i/>
                <w:sz w:val="20"/>
              </w:rPr>
              <w:t>Regulatory Powers (Standard Provisions) Act 2014</w:t>
            </w:r>
            <w:r w:rsidRPr="00563327">
              <w:rPr>
                <w:sz w:val="20"/>
              </w:rPr>
              <w:t xml:space="preserve">. These powers are exercised on an ‘informed consent’ and ‘no consent’ basis, depending on the nature of interactions with a specific provider and the seriousness of the allegations being investigated. The use of these powers is restricted to Commission staff who hold the prerequisite experience and qualifications, and have been appointed as authorised officers by the Commissioner. </w:t>
            </w:r>
          </w:p>
          <w:p w14:paraId="572965B7" w14:textId="77777777" w:rsidR="009E2937" w:rsidRPr="00563327" w:rsidRDefault="009E2937" w:rsidP="009E2937">
            <w:pPr>
              <w:pStyle w:val="Bullet1"/>
              <w:rPr>
                <w:sz w:val="20"/>
              </w:rPr>
            </w:pPr>
            <w:r w:rsidRPr="00563327">
              <w:rPr>
                <w:sz w:val="20"/>
              </w:rPr>
              <w:t>Our procedures are documented in the NDIS Commission Investigations Operating Guide. When monitoring compliance with registration conditions, the Registrations branch coordinates its approach with other functions including compliance and investigation operational teams. Information gathered is included in regular internal email notifications. Alerts are placed on the COS to allow other NDIS Commission teams to coordinate and prevent providers being approached unnecessarily</w:t>
            </w:r>
          </w:p>
        </w:tc>
      </w:tr>
      <w:tr w:rsidR="009E2937" w14:paraId="52A5E028" w14:textId="77777777" w:rsidTr="00E82DCA">
        <w:trPr>
          <w:cantSplit/>
        </w:trPr>
        <w:tc>
          <w:tcPr>
            <w:tcW w:w="2689" w:type="dxa"/>
          </w:tcPr>
          <w:p w14:paraId="4D71F37C" w14:textId="77777777" w:rsidR="009E2937" w:rsidRPr="00563327" w:rsidRDefault="009E2937" w:rsidP="009E2937">
            <w:pPr>
              <w:pStyle w:val="Bullet1"/>
              <w:ind w:left="0"/>
              <w:rPr>
                <w:bCs/>
                <w:i/>
                <w:sz w:val="20"/>
              </w:rPr>
            </w:pPr>
            <w:r w:rsidRPr="00563327">
              <w:rPr>
                <w:bCs/>
                <w:i/>
                <w:sz w:val="20"/>
              </w:rPr>
              <w:lastRenderedPageBreak/>
              <w:t>4.4.2 A risk-based approach is applied to the timing and scope of investigations and compliance monitoring activities</w:t>
            </w:r>
          </w:p>
          <w:p w14:paraId="2796C9BE" w14:textId="77777777" w:rsidR="009E2937" w:rsidRPr="00563327" w:rsidRDefault="009E2937" w:rsidP="00D8524B">
            <w:pPr>
              <w:pStyle w:val="Bullet1"/>
              <w:numPr>
                <w:ilvl w:val="0"/>
                <w:numId w:val="0"/>
              </w:numPr>
              <w:rPr>
                <w:i/>
                <w:sz w:val="20"/>
              </w:rPr>
            </w:pPr>
          </w:p>
        </w:tc>
        <w:tc>
          <w:tcPr>
            <w:tcW w:w="7087" w:type="dxa"/>
          </w:tcPr>
          <w:p w14:paraId="5EC654DD" w14:textId="77777777" w:rsidR="009E2937" w:rsidRPr="00563327" w:rsidRDefault="009E2937" w:rsidP="009E2937">
            <w:pPr>
              <w:pStyle w:val="Bullet1"/>
              <w:rPr>
                <w:sz w:val="20"/>
              </w:rPr>
            </w:pPr>
            <w:r w:rsidRPr="00563327">
              <w:rPr>
                <w:sz w:val="20"/>
              </w:rPr>
              <w:t>As it continues to mature, the NDIS Commission takes a risk-based approach to compliance and investigation activities. We utilise a variety of measures to manage non-compliance issues including making enquiries and conducting investigations. The selection of a regulatory response or c</w:t>
            </w:r>
            <w:r w:rsidR="009E7303">
              <w:rPr>
                <w:sz w:val="20"/>
              </w:rPr>
              <w:t xml:space="preserve">ombination of responses is </w:t>
            </w:r>
            <w:r w:rsidR="009E7303" w:rsidRPr="00563327">
              <w:rPr>
                <w:sz w:val="20"/>
              </w:rPr>
              <w:t>based on</w:t>
            </w:r>
            <w:r w:rsidRPr="00563327">
              <w:rPr>
                <w:sz w:val="20"/>
              </w:rPr>
              <w:t xml:space="preserve"> determining what action is most likely to secure future compliance by the provider or other person, the objective seriousness of the misconduct, and the risk to participants.</w:t>
            </w:r>
          </w:p>
          <w:p w14:paraId="79B29020" w14:textId="77777777" w:rsidR="009E2937" w:rsidRPr="00563327" w:rsidRDefault="009E2937" w:rsidP="009E2937">
            <w:pPr>
              <w:pStyle w:val="Bullet1"/>
              <w:rPr>
                <w:sz w:val="20"/>
              </w:rPr>
            </w:pPr>
            <w:r w:rsidRPr="00563327">
              <w:rPr>
                <w:sz w:val="20"/>
              </w:rPr>
              <w:t>Investigations are generally initiated where information indicates serious or deliberate non-compliance or an emerging issue. The degree and severity of the non-compliance is a major factor in determining the use of compliance or enforcement powers. The Commission has available to it a range of compliance and enforcement powers, tools and methods. Since its inception, the Commission has undertaken the following regulatory activities:</w:t>
            </w:r>
          </w:p>
          <w:p w14:paraId="525026C4" w14:textId="77777777" w:rsidR="009E2937" w:rsidRPr="00563327" w:rsidRDefault="009E2937" w:rsidP="00563327">
            <w:pPr>
              <w:pStyle w:val="Bullet2"/>
              <w:spacing w:before="40" w:after="40"/>
              <w:rPr>
                <w:sz w:val="20"/>
              </w:rPr>
            </w:pPr>
            <w:r w:rsidRPr="00563327">
              <w:rPr>
                <w:sz w:val="20"/>
              </w:rPr>
              <w:t>educating providers to understand their obligations and achieve ongoing compliance</w:t>
            </w:r>
          </w:p>
          <w:p w14:paraId="67EC12E1" w14:textId="77777777" w:rsidR="009E2937" w:rsidRPr="00563327" w:rsidRDefault="009E2937" w:rsidP="00563327">
            <w:pPr>
              <w:pStyle w:val="Bullet2"/>
              <w:spacing w:before="40" w:after="40"/>
              <w:rPr>
                <w:sz w:val="20"/>
              </w:rPr>
            </w:pPr>
            <w:r w:rsidRPr="00563327">
              <w:rPr>
                <w:sz w:val="20"/>
              </w:rPr>
              <w:t>monitoring and investigating complaints or reports of non-compliance with the NDIS Code of Conduct, the NDIS Practice Standards and other quality and safeguarding requirements where they apply</w:t>
            </w:r>
          </w:p>
          <w:p w14:paraId="669D2E3B" w14:textId="77777777" w:rsidR="009E2937" w:rsidRPr="00563327" w:rsidRDefault="009E2937" w:rsidP="00563327">
            <w:pPr>
              <w:pStyle w:val="Bullet2"/>
              <w:spacing w:before="40" w:after="40"/>
              <w:rPr>
                <w:sz w:val="20"/>
              </w:rPr>
            </w:pPr>
            <w:r w:rsidRPr="00563327">
              <w:rPr>
                <w:sz w:val="20"/>
              </w:rPr>
              <w:t>issuing compliance notices directing a provider to do, or refrain from doing, certain things</w:t>
            </w:r>
          </w:p>
          <w:p w14:paraId="37038E3C" w14:textId="77777777" w:rsidR="009E2937" w:rsidRPr="00563327" w:rsidRDefault="009E2937" w:rsidP="00563327">
            <w:pPr>
              <w:pStyle w:val="Bullet2"/>
              <w:spacing w:before="40" w:after="40"/>
              <w:rPr>
                <w:sz w:val="20"/>
              </w:rPr>
            </w:pPr>
            <w:r w:rsidRPr="00563327">
              <w:rPr>
                <w:sz w:val="20"/>
              </w:rPr>
              <w:t>issuing infringement notices</w:t>
            </w:r>
          </w:p>
          <w:p w14:paraId="1E7476DB" w14:textId="77777777" w:rsidR="009E2937" w:rsidRPr="00563327" w:rsidRDefault="009E2937" w:rsidP="00563327">
            <w:pPr>
              <w:pStyle w:val="Bullet2"/>
              <w:spacing w:before="40" w:after="40"/>
              <w:rPr>
                <w:sz w:val="20"/>
              </w:rPr>
            </w:pPr>
            <w:r w:rsidRPr="00563327">
              <w:rPr>
                <w:sz w:val="20"/>
              </w:rPr>
              <w:t>varying, suspending or revoking a provider’s registration</w:t>
            </w:r>
          </w:p>
          <w:p w14:paraId="750067FA" w14:textId="77777777" w:rsidR="009E2937" w:rsidRPr="00563327" w:rsidRDefault="009E2937" w:rsidP="00563327">
            <w:pPr>
              <w:pStyle w:val="Bullet2"/>
              <w:spacing w:before="40" w:after="40"/>
              <w:rPr>
                <w:sz w:val="20"/>
              </w:rPr>
            </w:pPr>
            <w:r w:rsidRPr="00563327">
              <w:rPr>
                <w:sz w:val="20"/>
              </w:rPr>
              <w:t>making banning orders that prohibit or restrict specified activities by a provider, or a person employed or otherwise engaged by a provider</w:t>
            </w:r>
          </w:p>
          <w:p w14:paraId="2BA1D968" w14:textId="77777777" w:rsidR="009E2937" w:rsidRPr="00563327" w:rsidRDefault="009E2937" w:rsidP="00563327">
            <w:pPr>
              <w:pStyle w:val="Bullet2"/>
              <w:spacing w:before="40" w:after="40"/>
              <w:rPr>
                <w:sz w:val="20"/>
              </w:rPr>
            </w:pPr>
            <w:r w:rsidRPr="00563327">
              <w:rPr>
                <w:sz w:val="20"/>
              </w:rPr>
              <w:t>initiating civil penalty proceedings against a registered NDIS provider in relation to the death of an NDIS participant.</w:t>
            </w:r>
          </w:p>
          <w:p w14:paraId="7B1E40B9" w14:textId="77777777" w:rsidR="009E2937" w:rsidRPr="00563327" w:rsidRDefault="009E2937" w:rsidP="00D8524B">
            <w:pPr>
              <w:pStyle w:val="Bullet1"/>
              <w:numPr>
                <w:ilvl w:val="0"/>
                <w:numId w:val="0"/>
              </w:numPr>
              <w:rPr>
                <w:sz w:val="20"/>
              </w:rPr>
            </w:pPr>
            <w:r w:rsidRPr="00563327">
              <w:rPr>
                <w:sz w:val="20"/>
              </w:rPr>
              <w:t>The Commission is yet to enter into an enforceable undertaking or seek injunctive relief.</w:t>
            </w:r>
          </w:p>
        </w:tc>
      </w:tr>
    </w:tbl>
    <w:p w14:paraId="40954E8D" w14:textId="77777777" w:rsidR="00421396" w:rsidRDefault="00421396" w:rsidP="00677B67"/>
    <w:p w14:paraId="3AF33FE7" w14:textId="77777777" w:rsidR="0004571B" w:rsidRDefault="0004571B">
      <w:pPr>
        <w:suppressAutoHyphens w:val="0"/>
        <w:spacing w:before="120" w:after="120" w:line="240" w:lineRule="auto"/>
        <w:rPr>
          <w:rFonts w:asciiTheme="majorHAnsi" w:eastAsiaTheme="majorEastAsia" w:hAnsiTheme="majorHAnsi" w:cstheme="majorBidi"/>
          <w:b/>
          <w:color w:val="5F2E74" w:themeColor="text2"/>
          <w:sz w:val="26"/>
          <w:szCs w:val="24"/>
        </w:rPr>
      </w:pPr>
      <w:r>
        <w:br w:type="page"/>
      </w:r>
    </w:p>
    <w:p w14:paraId="20E7621A" w14:textId="77777777" w:rsidR="00CC72AA" w:rsidRDefault="00F868BB" w:rsidP="0004571B">
      <w:pPr>
        <w:pStyle w:val="Heading2"/>
      </w:pPr>
      <w:bookmarkStart w:id="30" w:name="_Toc128477935"/>
      <w:r w:rsidRPr="00F868BB">
        <w:lastRenderedPageBreak/>
        <w:t>KPI 5 - Regulators are open and transparent in their dealings with regulated entities</w:t>
      </w:r>
      <w:bookmarkEnd w:id="30"/>
    </w:p>
    <w:p w14:paraId="6AB0D87B" w14:textId="506F9EBD" w:rsidR="00C97AB2" w:rsidRPr="001645E2" w:rsidRDefault="00C97AB2" w:rsidP="00563327">
      <w:pPr>
        <w:suppressAutoHyphens w:val="0"/>
        <w:spacing w:before="0" w:after="120" w:line="276" w:lineRule="auto"/>
        <w:rPr>
          <w:rFonts w:cstheme="minorHAnsi"/>
          <w:i/>
          <w:color w:val="auto"/>
          <w:spacing w:val="4"/>
          <w:sz w:val="24"/>
        </w:rPr>
      </w:pPr>
      <w:r w:rsidRPr="00820CF3">
        <w:rPr>
          <w:rFonts w:cstheme="minorHAnsi"/>
          <w:i/>
          <w:color w:val="auto"/>
          <w:spacing w:val="4"/>
          <w:sz w:val="24"/>
        </w:rPr>
        <w:t>Rating:</w:t>
      </w:r>
    </w:p>
    <w:tbl>
      <w:tblPr>
        <w:tblStyle w:val="TableGrid"/>
        <w:tblW w:w="0" w:type="auto"/>
        <w:tblLook w:val="04A0" w:firstRow="1" w:lastRow="0" w:firstColumn="1" w:lastColumn="0" w:noHBand="0" w:noVBand="1"/>
        <w:tblCaption w:val="Comparison Rating KPI5"/>
        <w:tblDescription w:val="Comparison of 2019-20 rating to 2020-21"/>
      </w:tblPr>
      <w:tblGrid>
        <w:gridCol w:w="2547"/>
        <w:gridCol w:w="2693"/>
      </w:tblGrid>
      <w:tr w:rsidR="001645E2" w:rsidRPr="00E434E0" w14:paraId="0D18D1EA" w14:textId="77777777" w:rsidTr="00FA7EC3">
        <w:trPr>
          <w:tblHeader/>
        </w:trPr>
        <w:tc>
          <w:tcPr>
            <w:tcW w:w="2547" w:type="dxa"/>
            <w:shd w:val="clear" w:color="auto" w:fill="612C69"/>
            <w:vAlign w:val="center"/>
          </w:tcPr>
          <w:p w14:paraId="68C3BA34"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37CB4B69"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1645E2" w14:paraId="60A97B23" w14:textId="77777777" w:rsidTr="002E0B88">
        <w:tc>
          <w:tcPr>
            <w:tcW w:w="2547" w:type="dxa"/>
            <w:shd w:val="clear" w:color="auto" w:fill="C59BD7" w:themeFill="text2" w:themeFillTint="66"/>
          </w:tcPr>
          <w:p w14:paraId="0C39BE86" w14:textId="77777777" w:rsidR="001645E2" w:rsidRDefault="001645E2" w:rsidP="00E54F09">
            <w:pPr>
              <w:suppressAutoHyphens w:val="0"/>
              <w:spacing w:before="0" w:after="120" w:line="276" w:lineRule="auto"/>
              <w:rPr>
                <w:rFonts w:cstheme="minorHAnsi"/>
                <w:color w:val="auto"/>
                <w:sz w:val="20"/>
                <w:szCs w:val="22"/>
              </w:rPr>
            </w:pPr>
          </w:p>
          <w:p w14:paraId="1E4EDD38" w14:textId="445B75F6" w:rsidR="001645E2" w:rsidRDefault="001645E2" w:rsidP="00E54F09">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Pr="00E434E0">
              <w:rPr>
                <w:rFonts w:cstheme="minorHAnsi"/>
                <w:color w:val="5F2E74" w:themeColor="text2"/>
                <w:sz w:val="96"/>
                <w:szCs w:val="96"/>
              </w:rPr>
              <w:sym w:font="Webdings" w:char="F0D5"/>
            </w:r>
          </w:p>
        </w:tc>
        <w:tc>
          <w:tcPr>
            <w:tcW w:w="2693" w:type="dxa"/>
          </w:tcPr>
          <w:p w14:paraId="52896C35" w14:textId="77777777" w:rsidR="001645E2" w:rsidRDefault="001645E2" w:rsidP="00E54F09">
            <w:pPr>
              <w:suppressAutoHyphens w:val="0"/>
              <w:spacing w:before="0" w:after="120" w:line="276" w:lineRule="auto"/>
              <w:rPr>
                <w:rFonts w:cstheme="minorHAnsi"/>
                <w:sz w:val="20"/>
                <w:szCs w:val="22"/>
              </w:rPr>
            </w:pPr>
          </w:p>
          <w:p w14:paraId="7D09164D" w14:textId="77777777" w:rsidR="001645E2" w:rsidRDefault="001645E2" w:rsidP="00E54F09">
            <w:pPr>
              <w:suppressAutoHyphens w:val="0"/>
              <w:spacing w:before="0" w:after="120" w:line="276" w:lineRule="auto"/>
              <w:jc w:val="center"/>
              <w:rPr>
                <w:rFonts w:cstheme="minorHAnsi"/>
                <w:color w:val="auto"/>
                <w:spacing w:val="4"/>
                <w:sz w:val="24"/>
              </w:rPr>
            </w:pPr>
            <w:r w:rsidRPr="00505099">
              <w:rPr>
                <w:rFonts w:cstheme="minorHAnsi"/>
                <w:sz w:val="20"/>
                <w:szCs w:val="22"/>
              </w:rPr>
              <w:t>Achieved</w:t>
            </w:r>
            <w:r w:rsidRPr="00505099">
              <w:rPr>
                <w:rFonts w:cstheme="minorHAnsi"/>
                <w:sz w:val="20"/>
                <w:szCs w:val="22"/>
              </w:rPr>
              <w:br/>
            </w:r>
            <w:r w:rsidRPr="00E434E0">
              <w:rPr>
                <w:rFonts w:cstheme="minorHAnsi"/>
                <w:color w:val="5F2E74" w:themeColor="text2"/>
                <w:sz w:val="96"/>
                <w:szCs w:val="96"/>
              </w:rPr>
              <w:sym w:font="Webdings" w:char="F0D5"/>
            </w:r>
          </w:p>
        </w:tc>
      </w:tr>
    </w:tbl>
    <w:p w14:paraId="184BFB0F" w14:textId="77777777" w:rsidR="001645E2" w:rsidRPr="00870C23" w:rsidRDefault="001645E2" w:rsidP="00563327">
      <w:pPr>
        <w:suppressAutoHyphens w:val="0"/>
        <w:spacing w:before="0" w:after="120" w:line="276" w:lineRule="auto"/>
        <w:rPr>
          <w:rFonts w:cstheme="minorHAnsi"/>
          <w:color w:val="333333"/>
          <w:spacing w:val="4"/>
          <w:sz w:val="20"/>
        </w:rPr>
      </w:pPr>
    </w:p>
    <w:p w14:paraId="1D6DDB76" w14:textId="77777777" w:rsidR="00C97AB2" w:rsidRPr="00563327" w:rsidRDefault="00C97AB2" w:rsidP="00C97AB2">
      <w:pPr>
        <w:suppressAutoHyphens w:val="0"/>
        <w:spacing w:before="0" w:after="120" w:line="276" w:lineRule="auto"/>
        <w:rPr>
          <w:rFonts w:cstheme="minorHAnsi"/>
          <w:i/>
          <w:color w:val="333333"/>
          <w:spacing w:val="4"/>
          <w:sz w:val="20"/>
          <w:u w:val="single"/>
        </w:rPr>
      </w:pPr>
      <w:r w:rsidRPr="00563327">
        <w:rPr>
          <w:rFonts w:cstheme="minorHAnsi"/>
          <w:i/>
          <w:color w:val="333333"/>
          <w:spacing w:val="4"/>
          <w:sz w:val="20"/>
          <w:u w:val="single"/>
        </w:rPr>
        <w:t xml:space="preserve">Summary </w:t>
      </w:r>
    </w:p>
    <w:p w14:paraId="1A8907E6" w14:textId="77777777" w:rsidR="00177824" w:rsidRDefault="00C97AB2" w:rsidP="00C97AB2">
      <w:pPr>
        <w:suppressAutoHyphens w:val="0"/>
        <w:spacing w:before="0" w:after="120" w:line="276" w:lineRule="auto"/>
        <w:rPr>
          <w:rFonts w:cstheme="minorHAnsi"/>
          <w:i/>
          <w:color w:val="333333"/>
          <w:spacing w:val="4"/>
          <w:sz w:val="20"/>
        </w:rPr>
      </w:pPr>
      <w:r>
        <w:rPr>
          <w:rFonts w:cstheme="minorHAnsi"/>
          <w:i/>
          <w:color w:val="333333"/>
          <w:spacing w:val="4"/>
          <w:sz w:val="20"/>
        </w:rPr>
        <w:t>The NDIS Commission takes every measure to provide transparency across its regulatory activities, ensuring both short and long-term policies and priorities are available for access and scrutiny.</w:t>
      </w:r>
      <w:r w:rsidR="00A7006C">
        <w:rPr>
          <w:rFonts w:cstheme="minorHAnsi"/>
          <w:i/>
          <w:color w:val="333333"/>
          <w:spacing w:val="4"/>
          <w:sz w:val="20"/>
        </w:rPr>
        <w:t xml:space="preserve"> We have in past years, and continue to, distribute large amounts of information for providers, while creating and attending to engagement opportunities across all states and territories.</w:t>
      </w:r>
    </w:p>
    <w:p w14:paraId="1600C7B7" w14:textId="77777777" w:rsidR="00C97AB2" w:rsidRDefault="00A7006C" w:rsidP="00C97AB2">
      <w:pPr>
        <w:suppressAutoHyphens w:val="0"/>
        <w:spacing w:before="0" w:after="120" w:line="276" w:lineRule="auto"/>
        <w:rPr>
          <w:rFonts w:cstheme="minorHAnsi"/>
          <w:i/>
          <w:color w:val="333333"/>
          <w:spacing w:val="4"/>
          <w:sz w:val="20"/>
        </w:rPr>
      </w:pPr>
      <w:r>
        <w:rPr>
          <w:rFonts w:cstheme="minorHAnsi"/>
          <w:i/>
          <w:color w:val="333333"/>
          <w:spacing w:val="4"/>
          <w:sz w:val="20"/>
        </w:rPr>
        <w:t xml:space="preserve">We are clear about how complaints can be made about the Commission’s processes or activities, and we provide accessible ways to contact us through varied channels. We publish our regulatory activity as well as our provider register, and we continue to work on our data stores and reporting capacity as the Commission moves towards maturity. Once nationally operational for two years, we will be able to enhance activity reports and annual reports with the use of comparative data, which will serve to extend transparency and accountability. </w:t>
      </w:r>
    </w:p>
    <w:p w14:paraId="36FA840F" w14:textId="77777777" w:rsidR="00E22CC9" w:rsidRDefault="003251D3" w:rsidP="003251D3">
      <w:pPr>
        <w:pStyle w:val="Heading3"/>
      </w:pPr>
      <w:bookmarkStart w:id="31" w:name="_Toc128477936"/>
      <w:r w:rsidRPr="00870C23">
        <w:t>Measure 5.1: Our risk-based frameworks are publicly available in a format which is clear, understandable and accessible</w:t>
      </w:r>
      <w:bookmarkEnd w:id="31"/>
    </w:p>
    <w:tbl>
      <w:tblPr>
        <w:tblStyle w:val="TableGrid"/>
        <w:tblW w:w="9776" w:type="dxa"/>
        <w:tblLook w:val="04A0" w:firstRow="1" w:lastRow="0" w:firstColumn="1" w:lastColumn="0" w:noHBand="0" w:noVBand="1"/>
        <w:tblDescription w:val="Requirement and responses in relation to measure 5.1."/>
      </w:tblPr>
      <w:tblGrid>
        <w:gridCol w:w="2830"/>
        <w:gridCol w:w="6946"/>
      </w:tblGrid>
      <w:tr w:rsidR="00E22CC9" w14:paraId="016CAE51" w14:textId="77777777" w:rsidTr="00FA7EC3">
        <w:trPr>
          <w:cantSplit/>
          <w:tblHeader/>
        </w:trPr>
        <w:tc>
          <w:tcPr>
            <w:tcW w:w="2830" w:type="dxa"/>
            <w:shd w:val="clear" w:color="auto" w:fill="612C69"/>
          </w:tcPr>
          <w:p w14:paraId="43A8FF5A" w14:textId="77777777" w:rsidR="00E22CC9" w:rsidRPr="00FA7EC3" w:rsidRDefault="00E22CC9" w:rsidP="00D8524B">
            <w:pPr>
              <w:rPr>
                <w:b/>
                <w:color w:val="FFFFFF" w:themeColor="background1"/>
              </w:rPr>
            </w:pPr>
            <w:r w:rsidRPr="00FA7EC3">
              <w:rPr>
                <w:b/>
                <w:color w:val="FFFFFF" w:themeColor="background1"/>
              </w:rPr>
              <w:t>Requirement</w:t>
            </w:r>
          </w:p>
        </w:tc>
        <w:tc>
          <w:tcPr>
            <w:tcW w:w="6946" w:type="dxa"/>
            <w:shd w:val="clear" w:color="auto" w:fill="612C69"/>
          </w:tcPr>
          <w:p w14:paraId="4558F99C" w14:textId="77777777" w:rsidR="00E22CC9" w:rsidRPr="00FA7EC3" w:rsidRDefault="00E22CC9"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E22CC9" w14:paraId="1637A3F6" w14:textId="77777777" w:rsidTr="00E82DCA">
        <w:trPr>
          <w:cantSplit/>
        </w:trPr>
        <w:tc>
          <w:tcPr>
            <w:tcW w:w="2830" w:type="dxa"/>
          </w:tcPr>
          <w:p w14:paraId="41680855" w14:textId="77777777" w:rsidR="00E22CC9" w:rsidRPr="00421396" w:rsidRDefault="00E22CC9" w:rsidP="00CF5641">
            <w:pPr>
              <w:pStyle w:val="Bullet1"/>
              <w:numPr>
                <w:ilvl w:val="0"/>
                <w:numId w:val="0"/>
              </w:numPr>
              <w:rPr>
                <w:bCs/>
                <w:i/>
                <w:sz w:val="20"/>
              </w:rPr>
            </w:pPr>
            <w:r w:rsidRPr="00421396">
              <w:rPr>
                <w:bCs/>
                <w:i/>
                <w:sz w:val="20"/>
              </w:rPr>
              <w:t>5.1.1 Regulatory model framework is publicly available</w:t>
            </w:r>
          </w:p>
          <w:p w14:paraId="4F14737B" w14:textId="77777777" w:rsidR="00E22CC9" w:rsidRPr="00421396" w:rsidRDefault="00E22CC9" w:rsidP="00D8524B">
            <w:pPr>
              <w:pStyle w:val="Bullet1"/>
              <w:numPr>
                <w:ilvl w:val="0"/>
                <w:numId w:val="0"/>
              </w:numPr>
              <w:rPr>
                <w:sz w:val="20"/>
              </w:rPr>
            </w:pPr>
          </w:p>
        </w:tc>
        <w:tc>
          <w:tcPr>
            <w:tcW w:w="6946" w:type="dxa"/>
          </w:tcPr>
          <w:p w14:paraId="5E9F0961" w14:textId="77777777" w:rsidR="00E22CC9" w:rsidRPr="00421396" w:rsidRDefault="00E22CC9" w:rsidP="00421396">
            <w:pPr>
              <w:pStyle w:val="Bullet1"/>
              <w:rPr>
                <w:rFonts w:cstheme="minorHAnsi"/>
                <w:color w:val="auto"/>
                <w:spacing w:val="4"/>
                <w:sz w:val="20"/>
              </w:rPr>
            </w:pPr>
            <w:r w:rsidRPr="00421396">
              <w:rPr>
                <w:rFonts w:cstheme="minorHAnsi"/>
                <w:color w:val="auto"/>
                <w:spacing w:val="4"/>
                <w:sz w:val="20"/>
              </w:rPr>
              <w:t xml:space="preserve">The </w:t>
            </w:r>
            <w:hyperlink r:id="rId31" w:history="1">
              <w:r w:rsidRPr="00421396">
                <w:rPr>
                  <w:rStyle w:val="Hyperlink"/>
                  <w:rFonts w:cstheme="minorHAnsi"/>
                  <w:spacing w:val="4"/>
                  <w:sz w:val="20"/>
                </w:rPr>
                <w:t>NDIS Quality and Safeguarding Framework</w:t>
              </w:r>
            </w:hyperlink>
            <w:r w:rsidRPr="00421396">
              <w:rPr>
                <w:rFonts w:cstheme="minorHAnsi"/>
                <w:color w:val="auto"/>
                <w:spacing w:val="4"/>
                <w:sz w:val="20"/>
              </w:rPr>
              <w:t xml:space="preserve"> is publicly available and is operationalised by the work of the NDIS Commission.</w:t>
            </w:r>
          </w:p>
        </w:tc>
      </w:tr>
      <w:tr w:rsidR="00E22CC9" w14:paraId="6E809351" w14:textId="77777777" w:rsidTr="00E82DCA">
        <w:trPr>
          <w:cantSplit/>
        </w:trPr>
        <w:tc>
          <w:tcPr>
            <w:tcW w:w="2830" w:type="dxa"/>
          </w:tcPr>
          <w:p w14:paraId="6F99C00C" w14:textId="77777777" w:rsidR="00E22CC9" w:rsidRPr="00421396" w:rsidRDefault="00E22CC9" w:rsidP="00E22CC9">
            <w:pPr>
              <w:pStyle w:val="Bullet1"/>
              <w:ind w:left="0"/>
              <w:rPr>
                <w:bCs/>
                <w:i/>
                <w:sz w:val="20"/>
              </w:rPr>
            </w:pPr>
            <w:r w:rsidRPr="00421396">
              <w:rPr>
                <w:bCs/>
                <w:i/>
                <w:sz w:val="20"/>
              </w:rPr>
              <w:lastRenderedPageBreak/>
              <w:t>5.1.2 Compliance and enforcement strategy consistent with risk management policy is publicly available</w:t>
            </w:r>
          </w:p>
          <w:p w14:paraId="78698896" w14:textId="77777777" w:rsidR="00E22CC9" w:rsidRPr="00421396" w:rsidRDefault="00E22CC9" w:rsidP="00D8524B">
            <w:pPr>
              <w:pStyle w:val="Bullet1"/>
              <w:numPr>
                <w:ilvl w:val="0"/>
                <w:numId w:val="0"/>
              </w:numPr>
              <w:rPr>
                <w:i/>
                <w:sz w:val="20"/>
              </w:rPr>
            </w:pPr>
          </w:p>
        </w:tc>
        <w:tc>
          <w:tcPr>
            <w:tcW w:w="6946" w:type="dxa"/>
          </w:tcPr>
          <w:p w14:paraId="03A9E8FE" w14:textId="77777777" w:rsidR="00E22CC9" w:rsidRPr="00421396" w:rsidRDefault="00E22CC9" w:rsidP="00CF5641">
            <w:pPr>
              <w:pStyle w:val="Bullet1"/>
              <w:rPr>
                <w:rFonts w:ascii="Calibri" w:hAnsi="Calibri" w:cs="Calibri"/>
                <w:color w:val="auto"/>
                <w:spacing w:val="4"/>
                <w:sz w:val="20"/>
              </w:rPr>
            </w:pPr>
            <w:r w:rsidRPr="00421396">
              <w:rPr>
                <w:rFonts w:ascii="Calibri" w:hAnsi="Calibri" w:cs="Calibri"/>
                <w:color w:val="auto"/>
                <w:spacing w:val="4"/>
                <w:sz w:val="20"/>
              </w:rPr>
              <w:t xml:space="preserve">The </w:t>
            </w:r>
            <w:hyperlink r:id="rId32" w:history="1">
              <w:r w:rsidRPr="00421396">
                <w:rPr>
                  <w:rStyle w:val="Hyperlink"/>
                  <w:rFonts w:ascii="Calibri" w:hAnsi="Calibri" w:cs="Calibri"/>
                  <w:spacing w:val="4"/>
                  <w:sz w:val="20"/>
                </w:rPr>
                <w:t>NDIS Commission Compliance and Enforcement Policy suite</w:t>
              </w:r>
            </w:hyperlink>
            <w:r w:rsidRPr="00421396">
              <w:rPr>
                <w:rFonts w:ascii="Calibri" w:hAnsi="Calibri" w:cs="Calibri"/>
                <w:color w:val="auto"/>
                <w:spacing w:val="4"/>
                <w:sz w:val="20"/>
              </w:rPr>
              <w:t xml:space="preserve"> is published on our website. The NDIS Commission’s </w:t>
            </w:r>
            <w:hyperlink r:id="rId33" w:history="1">
              <w:r w:rsidRPr="00421396">
                <w:rPr>
                  <w:rStyle w:val="Hyperlink"/>
                  <w:rFonts w:ascii="Calibri" w:hAnsi="Calibri" w:cs="Calibri"/>
                  <w:spacing w:val="4"/>
                  <w:sz w:val="20"/>
                </w:rPr>
                <w:t>Compliance and Enforcement Priorities 2020–21</w:t>
              </w:r>
            </w:hyperlink>
            <w:r w:rsidRPr="00421396">
              <w:rPr>
                <w:rFonts w:ascii="Calibri" w:hAnsi="Calibri" w:cs="Calibri"/>
                <w:color w:val="auto"/>
                <w:spacing w:val="4"/>
                <w:sz w:val="20"/>
              </w:rPr>
              <w:t xml:space="preserve"> were also published on our website at the beginning of the period, listing the key quality and safeguarding issues that would be the focus of compliance and enforcement activities during the year. The policy and priorities were determined in light of the considered risk level with respect to various issues. </w:t>
            </w:r>
          </w:p>
          <w:p w14:paraId="285C0D8D" w14:textId="77777777" w:rsidR="00E22CC9" w:rsidRPr="00421396" w:rsidRDefault="00E22CC9" w:rsidP="00CF5641">
            <w:pPr>
              <w:pStyle w:val="Bullet2"/>
              <w:numPr>
                <w:ilvl w:val="0"/>
                <w:numId w:val="0"/>
              </w:numPr>
              <w:rPr>
                <w:sz w:val="20"/>
              </w:rPr>
            </w:pPr>
          </w:p>
        </w:tc>
      </w:tr>
    </w:tbl>
    <w:p w14:paraId="55A07400" w14:textId="77777777" w:rsidR="00E22CC9" w:rsidRDefault="003251D3" w:rsidP="003251D3">
      <w:pPr>
        <w:pStyle w:val="Heading3"/>
      </w:pPr>
      <w:bookmarkStart w:id="32" w:name="_Toc128477937"/>
      <w:r w:rsidRPr="00870C23">
        <w:t>Measure 5.2: We are open and responsive to requests from regulated entities regarding the operation of the regulatory framework, and approaches implemented by us</w:t>
      </w:r>
      <w:bookmarkEnd w:id="32"/>
    </w:p>
    <w:tbl>
      <w:tblPr>
        <w:tblStyle w:val="TableGrid"/>
        <w:tblW w:w="9776" w:type="dxa"/>
        <w:tblLook w:val="04A0" w:firstRow="1" w:lastRow="0" w:firstColumn="1" w:lastColumn="0" w:noHBand="0" w:noVBand="1"/>
        <w:tblDescription w:val="Requirement and responses in relation to measure 5.2."/>
      </w:tblPr>
      <w:tblGrid>
        <w:gridCol w:w="2830"/>
        <w:gridCol w:w="6946"/>
      </w:tblGrid>
      <w:tr w:rsidR="00E22CC9" w14:paraId="47908566" w14:textId="77777777" w:rsidTr="00FA7EC3">
        <w:trPr>
          <w:cantSplit/>
          <w:tblHeader/>
        </w:trPr>
        <w:tc>
          <w:tcPr>
            <w:tcW w:w="2830" w:type="dxa"/>
            <w:shd w:val="clear" w:color="auto" w:fill="612C69"/>
          </w:tcPr>
          <w:p w14:paraId="078EFB4C" w14:textId="77777777" w:rsidR="00E22CC9" w:rsidRPr="00FA7EC3" w:rsidRDefault="00E22CC9" w:rsidP="00D8524B">
            <w:pPr>
              <w:rPr>
                <w:b/>
                <w:color w:val="FFFFFF" w:themeColor="background1"/>
              </w:rPr>
            </w:pPr>
            <w:r w:rsidRPr="00FA7EC3">
              <w:rPr>
                <w:b/>
                <w:color w:val="FFFFFF" w:themeColor="background1"/>
              </w:rPr>
              <w:t>Requirement</w:t>
            </w:r>
          </w:p>
        </w:tc>
        <w:tc>
          <w:tcPr>
            <w:tcW w:w="6946" w:type="dxa"/>
            <w:shd w:val="clear" w:color="auto" w:fill="612C69"/>
          </w:tcPr>
          <w:p w14:paraId="134B372D" w14:textId="77777777" w:rsidR="00E22CC9" w:rsidRPr="00FA7EC3" w:rsidRDefault="00E22CC9"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E22CC9" w14:paraId="2AF9864F" w14:textId="77777777" w:rsidTr="00E82DCA">
        <w:trPr>
          <w:cantSplit/>
        </w:trPr>
        <w:tc>
          <w:tcPr>
            <w:tcW w:w="2830" w:type="dxa"/>
          </w:tcPr>
          <w:p w14:paraId="0E5A81E9" w14:textId="77777777" w:rsidR="005D1AE8" w:rsidRPr="009E7303" w:rsidRDefault="005D1AE8" w:rsidP="00CF5641">
            <w:pPr>
              <w:pStyle w:val="Bullet1"/>
              <w:numPr>
                <w:ilvl w:val="0"/>
                <w:numId w:val="0"/>
              </w:numPr>
              <w:rPr>
                <w:bCs/>
                <w:i/>
                <w:sz w:val="20"/>
              </w:rPr>
            </w:pPr>
            <w:r w:rsidRPr="009E7303">
              <w:rPr>
                <w:bCs/>
                <w:i/>
                <w:sz w:val="20"/>
              </w:rPr>
              <w:t>5.2.1 Information and education sessions about provider registration and obligations are available</w:t>
            </w:r>
          </w:p>
          <w:p w14:paraId="413671AE" w14:textId="77777777" w:rsidR="00E22CC9" w:rsidRPr="009E7303" w:rsidRDefault="00E22CC9" w:rsidP="00D8524B">
            <w:pPr>
              <w:pStyle w:val="Bullet1"/>
              <w:numPr>
                <w:ilvl w:val="0"/>
                <w:numId w:val="0"/>
              </w:numPr>
              <w:rPr>
                <w:sz w:val="20"/>
              </w:rPr>
            </w:pPr>
          </w:p>
        </w:tc>
        <w:tc>
          <w:tcPr>
            <w:tcW w:w="6946" w:type="dxa"/>
          </w:tcPr>
          <w:p w14:paraId="60B3F63A" w14:textId="77777777" w:rsidR="005D1AE8" w:rsidRPr="009E7303" w:rsidRDefault="005D1AE8" w:rsidP="00CF5641">
            <w:pPr>
              <w:pStyle w:val="Bullet1"/>
              <w:rPr>
                <w:sz w:val="20"/>
              </w:rPr>
            </w:pPr>
            <w:r w:rsidRPr="009E7303">
              <w:rPr>
                <w:sz w:val="20"/>
              </w:rPr>
              <w:t xml:space="preserve">In 2020–21, </w:t>
            </w:r>
            <w:r w:rsidR="00E95279" w:rsidRPr="009E7303">
              <w:rPr>
                <w:sz w:val="20"/>
              </w:rPr>
              <w:t>we</w:t>
            </w:r>
            <w:r w:rsidRPr="009E7303">
              <w:rPr>
                <w:sz w:val="20"/>
              </w:rPr>
              <w:t xml:space="preserve"> printed and distributed 3,020 provider information packs containing information about provider registration and obligations. </w:t>
            </w:r>
          </w:p>
          <w:p w14:paraId="72F9FCFD" w14:textId="77777777" w:rsidR="005D1AE8" w:rsidRPr="009E7303" w:rsidRDefault="005D1AE8" w:rsidP="00CF5641">
            <w:pPr>
              <w:pStyle w:val="Bullet1"/>
              <w:rPr>
                <w:sz w:val="20"/>
              </w:rPr>
            </w:pPr>
            <w:r w:rsidRPr="009E7303">
              <w:rPr>
                <w:sz w:val="20"/>
              </w:rPr>
              <w:t xml:space="preserve">Information was made available for all providers across a range of other channels during the period, including via our website, fact sheets, guides and other resources for providers. </w:t>
            </w:r>
            <w:r w:rsidR="00E95279" w:rsidRPr="009E7303">
              <w:rPr>
                <w:sz w:val="20"/>
              </w:rPr>
              <w:t xml:space="preserve">We </w:t>
            </w:r>
            <w:r w:rsidRPr="009E7303">
              <w:rPr>
                <w:sz w:val="20"/>
              </w:rPr>
              <w:t xml:space="preserve">also issued a bi-monthly newsletter to all registered NDIS providers and subscribers. These newsletters explain provider obligations on a number of topics, and provide guidance on compliance.  </w:t>
            </w:r>
          </w:p>
          <w:p w14:paraId="7B6B61A7" w14:textId="77777777" w:rsidR="005D1AE8" w:rsidRPr="009E7303" w:rsidRDefault="00E95279" w:rsidP="00CF5641">
            <w:pPr>
              <w:pStyle w:val="Bullet1"/>
              <w:rPr>
                <w:sz w:val="20"/>
              </w:rPr>
            </w:pPr>
            <w:r w:rsidRPr="009E7303">
              <w:rPr>
                <w:sz w:val="20"/>
              </w:rPr>
              <w:t>We</w:t>
            </w:r>
            <w:r w:rsidR="005D1AE8" w:rsidRPr="009E7303">
              <w:rPr>
                <w:sz w:val="20"/>
              </w:rPr>
              <w:t xml:space="preserve"> provided education on more than 1,000 occasions (education is provided where a knowledge gap or opportunity exists to improve a provider or person’s understanding of broad or specific obligations).</w:t>
            </w:r>
          </w:p>
          <w:p w14:paraId="618E4BA9" w14:textId="77777777" w:rsidR="00E22CC9" w:rsidRPr="009E7303" w:rsidRDefault="00E95279" w:rsidP="00E95279">
            <w:pPr>
              <w:pStyle w:val="Bullet1"/>
              <w:rPr>
                <w:sz w:val="20"/>
              </w:rPr>
            </w:pPr>
            <w:r w:rsidRPr="009E7303">
              <w:rPr>
                <w:sz w:val="20"/>
              </w:rPr>
              <w:t>We</w:t>
            </w:r>
            <w:r w:rsidR="005D1AE8" w:rsidRPr="009E7303">
              <w:rPr>
                <w:sz w:val="20"/>
              </w:rPr>
              <w:t xml:space="preserve"> participated in engagement activities in all jurisdictions to promote the role and functions of the NDIS Commission and to support providers by providing information on their obligations in the NDIS.</w:t>
            </w:r>
          </w:p>
        </w:tc>
      </w:tr>
      <w:tr w:rsidR="00E22CC9" w14:paraId="098C2BFF" w14:textId="77777777" w:rsidTr="00E82DCA">
        <w:trPr>
          <w:cantSplit/>
        </w:trPr>
        <w:tc>
          <w:tcPr>
            <w:tcW w:w="2830" w:type="dxa"/>
          </w:tcPr>
          <w:p w14:paraId="41A25E77" w14:textId="77777777" w:rsidR="00E22CC9" w:rsidRPr="00E95279" w:rsidRDefault="00E95279" w:rsidP="00D8524B">
            <w:pPr>
              <w:pStyle w:val="Bullet1"/>
              <w:numPr>
                <w:ilvl w:val="0"/>
                <w:numId w:val="0"/>
              </w:numPr>
              <w:rPr>
                <w:i/>
              </w:rPr>
            </w:pPr>
            <w:r w:rsidRPr="00CF5641">
              <w:rPr>
                <w:bCs/>
                <w:i/>
              </w:rPr>
              <w:t>5.2.2 Feedback and complaints mechanisms are in place</w:t>
            </w:r>
            <w:r w:rsidRPr="00E95279">
              <w:rPr>
                <w:bCs/>
                <w:i/>
              </w:rPr>
              <w:t xml:space="preserve"> </w:t>
            </w:r>
          </w:p>
        </w:tc>
        <w:tc>
          <w:tcPr>
            <w:tcW w:w="6946" w:type="dxa"/>
          </w:tcPr>
          <w:p w14:paraId="0D0EC5F0" w14:textId="03C95077" w:rsidR="00E95279" w:rsidRPr="00E95279" w:rsidRDefault="00E95279" w:rsidP="00E95279">
            <w:pPr>
              <w:pStyle w:val="Bullet1"/>
              <w:rPr>
                <w:rFonts w:ascii="Calibri" w:hAnsi="Calibri" w:cs="Calibri"/>
                <w:color w:val="auto"/>
                <w:spacing w:val="4"/>
                <w:sz w:val="20"/>
              </w:rPr>
            </w:pPr>
            <w:r w:rsidRPr="00E95279">
              <w:rPr>
                <w:rFonts w:ascii="Calibri" w:hAnsi="Calibri" w:cs="Calibri"/>
                <w:color w:val="auto"/>
                <w:spacing w:val="4"/>
                <w:sz w:val="20"/>
              </w:rPr>
              <w:t xml:space="preserve">The NDIS Commission’s website explains how people can </w:t>
            </w:r>
            <w:hyperlink r:id="rId34" w:history="1">
              <w:r w:rsidRPr="00E95279">
                <w:rPr>
                  <w:rStyle w:val="Hyperlink"/>
                  <w:rFonts w:ascii="Calibri" w:hAnsi="Calibri" w:cs="Calibri"/>
                  <w:spacing w:val="4"/>
                  <w:sz w:val="20"/>
                </w:rPr>
                <w:t>complain about the NDIS Commission</w:t>
              </w:r>
            </w:hyperlink>
            <w:r w:rsidRPr="00E95279">
              <w:rPr>
                <w:rFonts w:ascii="Calibri" w:hAnsi="Calibri" w:cs="Calibri"/>
                <w:color w:val="auto"/>
                <w:spacing w:val="4"/>
                <w:sz w:val="20"/>
              </w:rPr>
              <w:t xml:space="preserve">, or seek a review of a decision made in relation to a complaint about a provider. </w:t>
            </w:r>
          </w:p>
          <w:p w14:paraId="0ACC3F57" w14:textId="77777777" w:rsidR="00E95279" w:rsidRPr="00E95279" w:rsidRDefault="00E95279" w:rsidP="00E95279">
            <w:pPr>
              <w:pStyle w:val="Bullet1"/>
              <w:rPr>
                <w:rFonts w:ascii="Calibri" w:hAnsi="Calibri" w:cs="Calibri"/>
                <w:color w:val="auto"/>
                <w:spacing w:val="4"/>
                <w:sz w:val="20"/>
              </w:rPr>
            </w:pPr>
            <w:r w:rsidRPr="00E95279">
              <w:rPr>
                <w:rFonts w:ascii="Calibri" w:hAnsi="Calibri" w:cs="Calibri"/>
                <w:color w:val="auto"/>
                <w:spacing w:val="4"/>
                <w:sz w:val="20"/>
              </w:rPr>
              <w:t>The Registrar branch has operational arrangements in place to respond to</w:t>
            </w:r>
            <w:r>
              <w:rPr>
                <w:rFonts w:ascii="Calibri" w:hAnsi="Calibri" w:cs="Calibri"/>
                <w:color w:val="auto"/>
                <w:spacing w:val="4"/>
                <w:sz w:val="20"/>
              </w:rPr>
              <w:t xml:space="preserve"> NDIS provider enquiries in </w:t>
            </w:r>
            <w:r w:rsidR="009E7303">
              <w:rPr>
                <w:rFonts w:ascii="Calibri" w:hAnsi="Calibri" w:cs="Calibri"/>
                <w:color w:val="auto"/>
                <w:spacing w:val="4"/>
                <w:sz w:val="20"/>
              </w:rPr>
              <w:t>respect of registration matters,</w:t>
            </w:r>
            <w:r w:rsidRPr="00E95279">
              <w:rPr>
                <w:rFonts w:ascii="Calibri" w:hAnsi="Calibri" w:cs="Calibri"/>
                <w:color w:val="auto"/>
                <w:spacing w:val="4"/>
                <w:sz w:val="20"/>
              </w:rPr>
              <w:t xml:space="preserve"> and to provider and worker enquiries about worker screening matters.  </w:t>
            </w:r>
          </w:p>
          <w:p w14:paraId="58A69417" w14:textId="77777777" w:rsidR="00E22CC9" w:rsidRPr="00294A31" w:rsidRDefault="00E22CC9" w:rsidP="00D8524B">
            <w:pPr>
              <w:pStyle w:val="Bullet2"/>
              <w:numPr>
                <w:ilvl w:val="0"/>
                <w:numId w:val="0"/>
              </w:numPr>
            </w:pPr>
          </w:p>
        </w:tc>
      </w:tr>
    </w:tbl>
    <w:p w14:paraId="61808FDB" w14:textId="77777777" w:rsidR="004B0BFE" w:rsidRDefault="003251D3" w:rsidP="003251D3">
      <w:pPr>
        <w:pStyle w:val="Heading3"/>
      </w:pPr>
      <w:bookmarkStart w:id="33" w:name="_Toc128477938"/>
      <w:r w:rsidRPr="00870C23">
        <w:lastRenderedPageBreak/>
        <w:t>Measure 5.3: Our performance measurement results are published in a timely manner to ensure accountability to the public</w:t>
      </w:r>
      <w:bookmarkEnd w:id="33"/>
    </w:p>
    <w:tbl>
      <w:tblPr>
        <w:tblStyle w:val="TableGrid"/>
        <w:tblW w:w="9776" w:type="dxa"/>
        <w:tblLook w:val="04A0" w:firstRow="1" w:lastRow="0" w:firstColumn="1" w:lastColumn="0" w:noHBand="0" w:noVBand="1"/>
        <w:tblDescription w:val="Requirement and responses in relation to measure 5.3."/>
      </w:tblPr>
      <w:tblGrid>
        <w:gridCol w:w="2689"/>
        <w:gridCol w:w="7087"/>
      </w:tblGrid>
      <w:tr w:rsidR="004B0BFE" w14:paraId="3089C36B" w14:textId="77777777" w:rsidTr="00FA7EC3">
        <w:trPr>
          <w:cantSplit/>
          <w:tblHeader/>
        </w:trPr>
        <w:tc>
          <w:tcPr>
            <w:tcW w:w="2689" w:type="dxa"/>
            <w:shd w:val="clear" w:color="auto" w:fill="612C69"/>
          </w:tcPr>
          <w:p w14:paraId="1C1BA392" w14:textId="77777777" w:rsidR="004B0BFE" w:rsidRPr="00FA7EC3" w:rsidRDefault="004B0BFE" w:rsidP="00D8524B">
            <w:pPr>
              <w:rPr>
                <w:b/>
                <w:color w:val="FFFFFF" w:themeColor="background1"/>
              </w:rPr>
            </w:pPr>
            <w:r w:rsidRPr="00FA7EC3">
              <w:rPr>
                <w:b/>
                <w:color w:val="FFFFFF" w:themeColor="background1"/>
              </w:rPr>
              <w:t>Requirement</w:t>
            </w:r>
          </w:p>
        </w:tc>
        <w:tc>
          <w:tcPr>
            <w:tcW w:w="7087" w:type="dxa"/>
            <w:shd w:val="clear" w:color="auto" w:fill="612C69"/>
          </w:tcPr>
          <w:p w14:paraId="6B5ED7CD" w14:textId="77777777" w:rsidR="004B0BFE" w:rsidRPr="00FA7EC3" w:rsidRDefault="004B0BFE"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4B0BFE" w14:paraId="7F90F034" w14:textId="77777777" w:rsidTr="00E82DCA">
        <w:trPr>
          <w:cantSplit/>
        </w:trPr>
        <w:tc>
          <w:tcPr>
            <w:tcW w:w="2689" w:type="dxa"/>
          </w:tcPr>
          <w:p w14:paraId="301AA1BC" w14:textId="77777777" w:rsidR="004B0BFE" w:rsidRPr="00421396" w:rsidRDefault="004B0BFE" w:rsidP="00CF5641">
            <w:pPr>
              <w:pStyle w:val="Bullet1"/>
              <w:numPr>
                <w:ilvl w:val="0"/>
                <w:numId w:val="0"/>
              </w:numPr>
              <w:rPr>
                <w:bCs/>
                <w:i/>
                <w:sz w:val="20"/>
              </w:rPr>
            </w:pPr>
            <w:r w:rsidRPr="00421396">
              <w:rPr>
                <w:bCs/>
                <w:i/>
                <w:sz w:val="20"/>
              </w:rPr>
              <w:t>5.3.1 Our regulatory outputs are publicly available</w:t>
            </w:r>
          </w:p>
          <w:p w14:paraId="08BB762D" w14:textId="77777777" w:rsidR="004B0BFE" w:rsidRPr="00421396" w:rsidRDefault="004B0BFE" w:rsidP="00D8524B">
            <w:pPr>
              <w:pStyle w:val="Bullet1"/>
              <w:numPr>
                <w:ilvl w:val="0"/>
                <w:numId w:val="0"/>
              </w:numPr>
              <w:rPr>
                <w:sz w:val="20"/>
              </w:rPr>
            </w:pPr>
          </w:p>
        </w:tc>
        <w:tc>
          <w:tcPr>
            <w:tcW w:w="7087" w:type="dxa"/>
          </w:tcPr>
          <w:p w14:paraId="1AB15DC3" w14:textId="77777777" w:rsidR="004B0BFE" w:rsidRPr="00421396" w:rsidRDefault="004B0BFE" w:rsidP="00CF5641">
            <w:pPr>
              <w:pStyle w:val="Bullet1"/>
              <w:rPr>
                <w:sz w:val="20"/>
              </w:rPr>
            </w:pPr>
            <w:r w:rsidRPr="00421396">
              <w:rPr>
                <w:sz w:val="20"/>
              </w:rPr>
              <w:t xml:space="preserve">Regulatory outputs are reported in the NDIS Commission's Annual Performance Statements / Annual Report and published on our website. Our regulatory activity (including registration, complaints, reportable incidents, compliance and enforcement activity) is also published our website. We publish an NDIS Provider Register in two parts. Part 1 contains information about the registration status of the provider and its registration renewal date, the supports and services it is registered to deliver and its conditions of registration. Part 2 contains information on compliance activities we have undertaken, including banning orders, compliance notices, suspensions of registration, revocations of registration and refusals to re-register previously registered NDIS providers. </w:t>
            </w:r>
          </w:p>
          <w:p w14:paraId="2166CB46" w14:textId="77777777" w:rsidR="004B0BFE" w:rsidRPr="00421396" w:rsidRDefault="009E7303" w:rsidP="00421396">
            <w:pPr>
              <w:pStyle w:val="Bullet1"/>
              <w:rPr>
                <w:sz w:val="20"/>
              </w:rPr>
            </w:pPr>
            <w:r>
              <w:rPr>
                <w:sz w:val="20"/>
              </w:rPr>
              <w:t>Our re</w:t>
            </w:r>
            <w:r w:rsidR="004B0BFE" w:rsidRPr="00421396">
              <w:rPr>
                <w:sz w:val="20"/>
              </w:rPr>
              <w:t xml:space="preserve">porting capacity continues to be developed as refinements </w:t>
            </w:r>
            <w:r>
              <w:rPr>
                <w:sz w:val="20"/>
              </w:rPr>
              <w:t>are made to COS. S</w:t>
            </w:r>
            <w:r w:rsidR="004B0BFE" w:rsidRPr="00421396">
              <w:rPr>
                <w:sz w:val="20"/>
              </w:rPr>
              <w:t xml:space="preserve">ix-monthly </w:t>
            </w:r>
            <w:hyperlink r:id="rId35" w:history="1">
              <w:r w:rsidR="004B0BFE" w:rsidRPr="00421396">
                <w:rPr>
                  <w:rStyle w:val="Hyperlink"/>
                  <w:rFonts w:cstheme="minorHAnsi"/>
                  <w:spacing w:val="4"/>
                  <w:sz w:val="20"/>
                </w:rPr>
                <w:t>Activity Reports</w:t>
              </w:r>
            </w:hyperlink>
            <w:r w:rsidR="004B0BFE" w:rsidRPr="00421396">
              <w:rPr>
                <w:sz w:val="20"/>
              </w:rPr>
              <w:t xml:space="preserve"> available on the NDIS Commission’s website give breakdowns of key data including registrations, complaints and reportable incidents. This information is also incorporated into our annual report.</w:t>
            </w:r>
          </w:p>
        </w:tc>
      </w:tr>
    </w:tbl>
    <w:p w14:paraId="765BE86F" w14:textId="4DD38021" w:rsidR="00421396" w:rsidRDefault="00421396" w:rsidP="00677B67"/>
    <w:p w14:paraId="3EF0D9BE" w14:textId="77777777" w:rsidR="00421396" w:rsidRDefault="00421396">
      <w:pPr>
        <w:suppressAutoHyphens w:val="0"/>
        <w:spacing w:before="120" w:after="120" w:line="240" w:lineRule="auto"/>
        <w:rPr>
          <w:rFonts w:asciiTheme="majorHAnsi" w:eastAsiaTheme="majorEastAsia" w:hAnsiTheme="majorHAnsi" w:cstheme="majorBidi"/>
          <w:b/>
          <w:color w:val="5F2E74" w:themeColor="text2"/>
          <w:sz w:val="26"/>
          <w:szCs w:val="24"/>
        </w:rPr>
      </w:pPr>
      <w:r>
        <w:br w:type="page"/>
      </w:r>
    </w:p>
    <w:p w14:paraId="38DE2BC2" w14:textId="77777777" w:rsidR="000240BC" w:rsidRDefault="00F868BB" w:rsidP="0004571B">
      <w:pPr>
        <w:pStyle w:val="Heading2"/>
      </w:pPr>
      <w:bookmarkStart w:id="34" w:name="_Toc128477939"/>
      <w:r w:rsidRPr="00F868BB">
        <w:lastRenderedPageBreak/>
        <w:t>KPI 6 - Regulators actively contribute to the continuous improvement of regulatory frameworks</w:t>
      </w:r>
      <w:bookmarkEnd w:id="34"/>
    </w:p>
    <w:p w14:paraId="628525A6" w14:textId="4A4853EB" w:rsidR="001645E2" w:rsidRPr="001645E2" w:rsidRDefault="00F868BB" w:rsidP="00883371">
      <w:pPr>
        <w:suppressAutoHyphens w:val="0"/>
        <w:spacing w:before="0" w:after="120" w:line="276" w:lineRule="auto"/>
        <w:rPr>
          <w:rFonts w:cstheme="minorHAnsi"/>
          <w:i/>
          <w:color w:val="auto"/>
          <w:spacing w:val="4"/>
          <w:sz w:val="24"/>
          <w:szCs w:val="24"/>
        </w:rPr>
      </w:pPr>
      <w:r w:rsidRPr="00820CF3">
        <w:rPr>
          <w:rFonts w:cstheme="minorHAnsi"/>
          <w:i/>
          <w:color w:val="auto"/>
          <w:spacing w:val="4"/>
          <w:sz w:val="24"/>
          <w:szCs w:val="24"/>
        </w:rPr>
        <w:t xml:space="preserve">Rating: </w:t>
      </w:r>
    </w:p>
    <w:tbl>
      <w:tblPr>
        <w:tblStyle w:val="TableGrid"/>
        <w:tblW w:w="0" w:type="auto"/>
        <w:tblLook w:val="04A0" w:firstRow="1" w:lastRow="0" w:firstColumn="1" w:lastColumn="0" w:noHBand="0" w:noVBand="1"/>
        <w:tblCaption w:val="Comparison Rating KPI6"/>
        <w:tblDescription w:val="Comparison of 2019-20 rating to 2020-21"/>
      </w:tblPr>
      <w:tblGrid>
        <w:gridCol w:w="2547"/>
        <w:gridCol w:w="2693"/>
      </w:tblGrid>
      <w:tr w:rsidR="001645E2" w:rsidRPr="00E434E0" w14:paraId="4E01A6CD" w14:textId="77777777" w:rsidTr="00FA7EC3">
        <w:trPr>
          <w:tblHeader/>
        </w:trPr>
        <w:tc>
          <w:tcPr>
            <w:tcW w:w="2547" w:type="dxa"/>
            <w:shd w:val="clear" w:color="auto" w:fill="612C69"/>
            <w:vAlign w:val="center"/>
          </w:tcPr>
          <w:p w14:paraId="290FAAD7"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zCs w:val="22"/>
              </w:rPr>
              <w:t>2019–20 (previous year)</w:t>
            </w:r>
          </w:p>
        </w:tc>
        <w:tc>
          <w:tcPr>
            <w:tcW w:w="2693" w:type="dxa"/>
            <w:shd w:val="clear" w:color="auto" w:fill="612C69"/>
            <w:vAlign w:val="center"/>
          </w:tcPr>
          <w:p w14:paraId="5919CE06" w14:textId="77777777" w:rsidR="001645E2" w:rsidRPr="00FA7EC3" w:rsidRDefault="001645E2" w:rsidP="00E54F09">
            <w:pPr>
              <w:suppressAutoHyphens w:val="0"/>
              <w:spacing w:before="0" w:after="120" w:line="276" w:lineRule="auto"/>
              <w:jc w:val="center"/>
              <w:rPr>
                <w:rFonts w:cstheme="minorHAnsi"/>
                <w:b/>
                <w:color w:val="FFFFFF" w:themeColor="background1"/>
                <w:spacing w:val="4"/>
                <w:szCs w:val="22"/>
              </w:rPr>
            </w:pPr>
            <w:r w:rsidRPr="00FA7EC3">
              <w:rPr>
                <w:rFonts w:cstheme="minorHAnsi"/>
                <w:b/>
                <w:color w:val="FFFFFF" w:themeColor="background1"/>
                <w:spacing w:val="4"/>
                <w:szCs w:val="22"/>
              </w:rPr>
              <w:t>2020–21</w:t>
            </w:r>
          </w:p>
        </w:tc>
      </w:tr>
      <w:tr w:rsidR="001645E2" w14:paraId="54E00EAD" w14:textId="77777777" w:rsidTr="002E0B88">
        <w:tc>
          <w:tcPr>
            <w:tcW w:w="2547" w:type="dxa"/>
            <w:shd w:val="clear" w:color="auto" w:fill="C59BD7" w:themeFill="text2" w:themeFillTint="66"/>
          </w:tcPr>
          <w:p w14:paraId="3068F285" w14:textId="77777777" w:rsidR="001645E2" w:rsidRDefault="001645E2" w:rsidP="00E54F09">
            <w:pPr>
              <w:suppressAutoHyphens w:val="0"/>
              <w:spacing w:before="0" w:after="120" w:line="276" w:lineRule="auto"/>
              <w:rPr>
                <w:rFonts w:cstheme="minorHAnsi"/>
                <w:color w:val="auto"/>
                <w:sz w:val="20"/>
                <w:szCs w:val="22"/>
              </w:rPr>
            </w:pPr>
          </w:p>
          <w:p w14:paraId="452CAF4F" w14:textId="77777777" w:rsidR="001645E2" w:rsidRDefault="001645E2" w:rsidP="00E54F09">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c>
          <w:tcPr>
            <w:tcW w:w="2693" w:type="dxa"/>
          </w:tcPr>
          <w:p w14:paraId="5E4E3F1E" w14:textId="77777777" w:rsidR="001645E2" w:rsidRDefault="001645E2" w:rsidP="00E54F09">
            <w:pPr>
              <w:suppressAutoHyphens w:val="0"/>
              <w:spacing w:before="0" w:after="120" w:line="276" w:lineRule="auto"/>
              <w:rPr>
                <w:rFonts w:cstheme="minorHAnsi"/>
                <w:sz w:val="20"/>
                <w:szCs w:val="22"/>
              </w:rPr>
            </w:pPr>
          </w:p>
          <w:p w14:paraId="7AD83E6E" w14:textId="02FC2DE6" w:rsidR="001645E2" w:rsidRDefault="001645E2" w:rsidP="00E54F09">
            <w:pPr>
              <w:suppressAutoHyphens w:val="0"/>
              <w:spacing w:before="0" w:after="120" w:line="276" w:lineRule="auto"/>
              <w:jc w:val="center"/>
              <w:rPr>
                <w:rFonts w:cstheme="minorHAnsi"/>
                <w:color w:val="auto"/>
                <w:spacing w:val="4"/>
                <w:sz w:val="24"/>
              </w:rPr>
            </w:pPr>
            <w:r w:rsidRPr="00DC0B23">
              <w:rPr>
                <w:rFonts w:cstheme="minorHAnsi"/>
                <w:color w:val="auto"/>
                <w:sz w:val="20"/>
                <w:szCs w:val="22"/>
              </w:rPr>
              <w:t>Substantially Achieved</w:t>
            </w:r>
            <w:r w:rsidRPr="00505099">
              <w:rPr>
                <w:rFonts w:cstheme="minorHAnsi"/>
                <w:sz w:val="20"/>
                <w:szCs w:val="22"/>
              </w:rPr>
              <w:br/>
            </w:r>
            <w:r w:rsidRPr="00FA590A">
              <w:rPr>
                <w:rFonts w:cstheme="minorHAnsi"/>
                <w:color w:val="539250" w:themeColor="accent4"/>
                <w:sz w:val="96"/>
                <w:szCs w:val="96"/>
              </w:rPr>
              <w:sym w:font="Webdings" w:char="F0D6"/>
            </w:r>
          </w:p>
        </w:tc>
      </w:tr>
    </w:tbl>
    <w:p w14:paraId="1DFAFCBA" w14:textId="77777777" w:rsidR="001645E2" w:rsidRDefault="001645E2" w:rsidP="00883371">
      <w:pPr>
        <w:suppressAutoHyphens w:val="0"/>
        <w:spacing w:before="0" w:after="120" w:line="276" w:lineRule="auto"/>
        <w:rPr>
          <w:rFonts w:cstheme="minorHAnsi"/>
          <w:color w:val="333333"/>
          <w:spacing w:val="4"/>
          <w:sz w:val="20"/>
        </w:rPr>
      </w:pPr>
    </w:p>
    <w:p w14:paraId="12E955B0" w14:textId="7E962E8F" w:rsidR="00883371" w:rsidRPr="00421396" w:rsidRDefault="00883371" w:rsidP="00883371">
      <w:pPr>
        <w:suppressAutoHyphens w:val="0"/>
        <w:spacing w:before="0" w:after="120" w:line="276" w:lineRule="auto"/>
        <w:rPr>
          <w:rFonts w:cstheme="minorHAnsi"/>
          <w:i/>
          <w:color w:val="333333"/>
          <w:spacing w:val="4"/>
          <w:sz w:val="20"/>
          <w:u w:val="single"/>
        </w:rPr>
      </w:pPr>
      <w:r w:rsidRPr="00421396">
        <w:rPr>
          <w:rFonts w:cstheme="minorHAnsi"/>
          <w:i/>
          <w:color w:val="333333"/>
          <w:spacing w:val="4"/>
          <w:sz w:val="20"/>
          <w:u w:val="single"/>
        </w:rPr>
        <w:t xml:space="preserve">Summary </w:t>
      </w:r>
    </w:p>
    <w:p w14:paraId="1C88F1B8" w14:textId="77777777" w:rsidR="00421396" w:rsidRDefault="00177824" w:rsidP="00883371">
      <w:pPr>
        <w:suppressAutoHyphens w:val="0"/>
        <w:spacing w:before="0" w:after="120" w:line="276" w:lineRule="auto"/>
        <w:rPr>
          <w:rFonts w:cstheme="minorHAnsi"/>
          <w:i/>
          <w:color w:val="333333"/>
          <w:spacing w:val="4"/>
          <w:sz w:val="20"/>
        </w:rPr>
      </w:pPr>
      <w:r>
        <w:rPr>
          <w:rFonts w:cstheme="minorHAnsi"/>
          <w:i/>
          <w:color w:val="333333"/>
          <w:spacing w:val="4"/>
          <w:sz w:val="20"/>
        </w:rPr>
        <w:t>Our responses to measures in this category vary little from the previous year, bearing in mind their prescriptive nature</w:t>
      </w:r>
      <w:r w:rsidR="00421396">
        <w:rPr>
          <w:rFonts w:cstheme="minorHAnsi"/>
          <w:i/>
          <w:color w:val="333333"/>
          <w:spacing w:val="4"/>
          <w:sz w:val="20"/>
        </w:rPr>
        <w:t xml:space="preserve"> and coverage in other KPIs above</w:t>
      </w:r>
      <w:r>
        <w:rPr>
          <w:rFonts w:cstheme="minorHAnsi"/>
          <w:i/>
          <w:color w:val="333333"/>
          <w:spacing w:val="4"/>
          <w:sz w:val="20"/>
        </w:rPr>
        <w:t xml:space="preserve">. </w:t>
      </w:r>
    </w:p>
    <w:p w14:paraId="4CADDCD6" w14:textId="77777777" w:rsidR="00883371" w:rsidRDefault="00177824" w:rsidP="00883371">
      <w:pPr>
        <w:suppressAutoHyphens w:val="0"/>
        <w:spacing w:before="0" w:after="120" w:line="276" w:lineRule="auto"/>
        <w:rPr>
          <w:rFonts w:cstheme="minorHAnsi"/>
          <w:i/>
          <w:color w:val="333333"/>
          <w:spacing w:val="4"/>
          <w:sz w:val="20"/>
        </w:rPr>
      </w:pPr>
      <w:r>
        <w:rPr>
          <w:rFonts w:cstheme="minorHAnsi"/>
          <w:i/>
          <w:color w:val="333333"/>
          <w:spacing w:val="4"/>
          <w:sz w:val="20"/>
        </w:rPr>
        <w:t xml:space="preserve">We have established cooperative and collaborative relationships with a vast array of stakeholders over our first three years of operation, as we spread across the states and territories initiating the Commission and established ties with government, advocacy and peak bodies. Through these </w:t>
      </w:r>
      <w:r w:rsidR="009E7303">
        <w:rPr>
          <w:rFonts w:cstheme="minorHAnsi"/>
          <w:i/>
          <w:color w:val="333333"/>
          <w:spacing w:val="4"/>
          <w:sz w:val="20"/>
        </w:rPr>
        <w:t>relationships,</w:t>
      </w:r>
      <w:r>
        <w:rPr>
          <w:rFonts w:cstheme="minorHAnsi"/>
          <w:i/>
          <w:color w:val="333333"/>
          <w:spacing w:val="4"/>
          <w:sz w:val="20"/>
        </w:rPr>
        <w:t xml:space="preserve"> we are establishing our place in the federal regulatory environment, by working to contribute to the continuous improvement of both internal and external regulatory frameworks. We continue to mature in this are</w:t>
      </w:r>
      <w:r w:rsidR="00EE0738">
        <w:rPr>
          <w:rFonts w:cstheme="minorHAnsi"/>
          <w:i/>
          <w:color w:val="333333"/>
          <w:spacing w:val="4"/>
          <w:sz w:val="20"/>
        </w:rPr>
        <w:t>a</w:t>
      </w:r>
      <w:r>
        <w:rPr>
          <w:rFonts w:cstheme="minorHAnsi"/>
          <w:i/>
          <w:color w:val="333333"/>
          <w:spacing w:val="4"/>
          <w:sz w:val="20"/>
        </w:rPr>
        <w:t xml:space="preserve"> of our practice</w:t>
      </w:r>
      <w:r w:rsidR="00EE0738">
        <w:rPr>
          <w:rFonts w:cstheme="minorHAnsi"/>
          <w:i/>
          <w:color w:val="333333"/>
          <w:spacing w:val="4"/>
          <w:sz w:val="20"/>
        </w:rPr>
        <w:t>.</w:t>
      </w:r>
    </w:p>
    <w:p w14:paraId="44FDD209" w14:textId="77777777" w:rsidR="0068069F" w:rsidRDefault="003251D3" w:rsidP="003251D3">
      <w:pPr>
        <w:pStyle w:val="Heading3"/>
      </w:pPr>
      <w:bookmarkStart w:id="35" w:name="_Toc128477940"/>
      <w:r w:rsidRPr="00870C23">
        <w:t>Measure 6.1: We establish cooperative and collaborative relationships with stakeholders to promote trust and improve the efficiency and effectiveness of the regulatory framework</w:t>
      </w:r>
      <w:bookmarkEnd w:id="35"/>
    </w:p>
    <w:p w14:paraId="586F8A5F" w14:textId="77777777" w:rsidR="00421396" w:rsidRPr="00421396" w:rsidRDefault="00421396" w:rsidP="00421396"/>
    <w:tbl>
      <w:tblPr>
        <w:tblStyle w:val="TableGrid"/>
        <w:tblW w:w="9776" w:type="dxa"/>
        <w:tblLook w:val="04A0" w:firstRow="1" w:lastRow="0" w:firstColumn="1" w:lastColumn="0" w:noHBand="0" w:noVBand="1"/>
        <w:tblDescription w:val="Requirement and responses in relation to measure 6.1."/>
      </w:tblPr>
      <w:tblGrid>
        <w:gridCol w:w="2689"/>
        <w:gridCol w:w="7087"/>
      </w:tblGrid>
      <w:tr w:rsidR="0068069F" w14:paraId="5FF00109" w14:textId="77777777" w:rsidTr="00FA7EC3">
        <w:trPr>
          <w:cantSplit/>
          <w:tblHeader/>
        </w:trPr>
        <w:tc>
          <w:tcPr>
            <w:tcW w:w="2689" w:type="dxa"/>
            <w:shd w:val="clear" w:color="auto" w:fill="612C69"/>
          </w:tcPr>
          <w:p w14:paraId="4A1C35F4" w14:textId="77777777" w:rsidR="0068069F" w:rsidRPr="00FA7EC3" w:rsidRDefault="0068069F" w:rsidP="00D8524B">
            <w:pPr>
              <w:rPr>
                <w:b/>
                <w:color w:val="FFFFFF" w:themeColor="background1"/>
              </w:rPr>
            </w:pPr>
            <w:r w:rsidRPr="00FA7EC3">
              <w:rPr>
                <w:b/>
                <w:color w:val="FFFFFF" w:themeColor="background1"/>
              </w:rPr>
              <w:t>Requirement</w:t>
            </w:r>
          </w:p>
        </w:tc>
        <w:tc>
          <w:tcPr>
            <w:tcW w:w="7087" w:type="dxa"/>
            <w:shd w:val="clear" w:color="auto" w:fill="612C69"/>
          </w:tcPr>
          <w:p w14:paraId="374EAA82" w14:textId="77777777" w:rsidR="0068069F" w:rsidRPr="00FA7EC3" w:rsidRDefault="0068069F"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68069F" w14:paraId="7287A417" w14:textId="77777777" w:rsidTr="00E82DCA">
        <w:trPr>
          <w:cantSplit/>
        </w:trPr>
        <w:tc>
          <w:tcPr>
            <w:tcW w:w="2689" w:type="dxa"/>
          </w:tcPr>
          <w:p w14:paraId="15649EDF" w14:textId="77777777" w:rsidR="0068069F" w:rsidRPr="009E7303" w:rsidRDefault="0068069F" w:rsidP="00CF5641">
            <w:pPr>
              <w:pStyle w:val="Bullet1"/>
              <w:numPr>
                <w:ilvl w:val="0"/>
                <w:numId w:val="0"/>
              </w:numPr>
              <w:rPr>
                <w:bCs/>
                <w:i/>
                <w:sz w:val="20"/>
              </w:rPr>
            </w:pPr>
            <w:r w:rsidRPr="009E7303">
              <w:rPr>
                <w:bCs/>
                <w:i/>
                <w:sz w:val="20"/>
              </w:rPr>
              <w:t>6.1.1 Consultation and engagement mechanisms are in place to promote activities with stakeholders</w:t>
            </w:r>
          </w:p>
          <w:p w14:paraId="502F9A5E" w14:textId="77777777" w:rsidR="0068069F" w:rsidRPr="009E7303" w:rsidRDefault="0068069F" w:rsidP="00D8524B">
            <w:pPr>
              <w:pStyle w:val="Bullet1"/>
              <w:numPr>
                <w:ilvl w:val="0"/>
                <w:numId w:val="0"/>
              </w:numPr>
              <w:rPr>
                <w:sz w:val="20"/>
              </w:rPr>
            </w:pPr>
          </w:p>
        </w:tc>
        <w:tc>
          <w:tcPr>
            <w:tcW w:w="7087" w:type="dxa"/>
          </w:tcPr>
          <w:p w14:paraId="4D41DB51" w14:textId="77777777" w:rsidR="0068069F" w:rsidRPr="009E7303" w:rsidRDefault="00027622" w:rsidP="00421396">
            <w:pPr>
              <w:pStyle w:val="Bullet1"/>
              <w:rPr>
                <w:sz w:val="20"/>
              </w:rPr>
            </w:pPr>
            <w:r w:rsidRPr="009E7303">
              <w:rPr>
                <w:sz w:val="20"/>
              </w:rPr>
              <w:t>We have</w:t>
            </w:r>
            <w:r w:rsidR="0068069F" w:rsidRPr="009E7303">
              <w:rPr>
                <w:sz w:val="20"/>
              </w:rPr>
              <w:t xml:space="preserve"> developed and operationalised an engagement framework that helps guide engagement and related communication activities for stakeholders including advisory groups, expert panels, time-limited focus groups, and people who have experience with different disability sub-types. In addition, provider alerts and practice alerts are issued to ensure providers are kept informed of events that can affect the regulatory regime. </w:t>
            </w:r>
          </w:p>
        </w:tc>
      </w:tr>
    </w:tbl>
    <w:p w14:paraId="58AEF540" w14:textId="77777777" w:rsidR="0068069F" w:rsidRDefault="003251D3" w:rsidP="003251D3">
      <w:pPr>
        <w:pStyle w:val="Heading3"/>
      </w:pPr>
      <w:bookmarkStart w:id="36" w:name="_Toc128477941"/>
      <w:r w:rsidRPr="00870C23">
        <w:lastRenderedPageBreak/>
        <w:t>Measure 6.2: We engage stakeholders in the development of options to reduce compliance costs. This could include industry self-regulation, changes to the overarching regulatory framework, or other strategies to streamline monitoring and compliance approaches</w:t>
      </w:r>
      <w:bookmarkEnd w:id="36"/>
    </w:p>
    <w:tbl>
      <w:tblPr>
        <w:tblStyle w:val="TableGrid"/>
        <w:tblW w:w="9776" w:type="dxa"/>
        <w:tblLook w:val="04A0" w:firstRow="1" w:lastRow="0" w:firstColumn="1" w:lastColumn="0" w:noHBand="0" w:noVBand="1"/>
        <w:tblDescription w:val="Requirement and responses in relation to measure 6.2."/>
      </w:tblPr>
      <w:tblGrid>
        <w:gridCol w:w="2689"/>
        <w:gridCol w:w="7087"/>
      </w:tblGrid>
      <w:tr w:rsidR="0068069F" w14:paraId="70B8B58D" w14:textId="77777777" w:rsidTr="00FA7EC3">
        <w:trPr>
          <w:cantSplit/>
          <w:tblHeader/>
        </w:trPr>
        <w:tc>
          <w:tcPr>
            <w:tcW w:w="2689" w:type="dxa"/>
            <w:shd w:val="clear" w:color="auto" w:fill="612C69"/>
          </w:tcPr>
          <w:p w14:paraId="4B036B7F" w14:textId="77777777" w:rsidR="0068069F" w:rsidRPr="00FA7EC3" w:rsidRDefault="0068069F" w:rsidP="00D8524B">
            <w:pPr>
              <w:rPr>
                <w:b/>
                <w:color w:val="FFFFFF" w:themeColor="background1"/>
              </w:rPr>
            </w:pPr>
            <w:r w:rsidRPr="00FA7EC3">
              <w:rPr>
                <w:b/>
                <w:color w:val="FFFFFF" w:themeColor="background1"/>
              </w:rPr>
              <w:t>Requirement</w:t>
            </w:r>
          </w:p>
        </w:tc>
        <w:tc>
          <w:tcPr>
            <w:tcW w:w="7087" w:type="dxa"/>
            <w:shd w:val="clear" w:color="auto" w:fill="612C69"/>
          </w:tcPr>
          <w:p w14:paraId="5D3FB968" w14:textId="77777777" w:rsidR="0068069F" w:rsidRPr="00FA7EC3" w:rsidRDefault="0068069F"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68069F" w14:paraId="16AFAED9" w14:textId="77777777" w:rsidTr="00E82DCA">
        <w:trPr>
          <w:cantSplit/>
        </w:trPr>
        <w:tc>
          <w:tcPr>
            <w:tcW w:w="2689" w:type="dxa"/>
          </w:tcPr>
          <w:p w14:paraId="7919DC34" w14:textId="77777777" w:rsidR="00027622" w:rsidRPr="008C3B4E" w:rsidRDefault="00027622" w:rsidP="00CF5641">
            <w:pPr>
              <w:pStyle w:val="Bullet1"/>
              <w:numPr>
                <w:ilvl w:val="0"/>
                <w:numId w:val="0"/>
              </w:numPr>
              <w:rPr>
                <w:b/>
                <w:bCs/>
                <w:i/>
                <w:sz w:val="20"/>
              </w:rPr>
            </w:pPr>
            <w:r w:rsidRPr="008C3B4E">
              <w:rPr>
                <w:bCs/>
                <w:i/>
                <w:sz w:val="20"/>
              </w:rPr>
              <w:t>6.2.1 Feedback mechanisms are available and made known to all stakeholders</w:t>
            </w:r>
          </w:p>
          <w:p w14:paraId="7021AC00" w14:textId="77777777" w:rsidR="0068069F" w:rsidRPr="008C3B4E" w:rsidRDefault="0068069F" w:rsidP="00D8524B">
            <w:pPr>
              <w:pStyle w:val="Bullet1"/>
              <w:numPr>
                <w:ilvl w:val="0"/>
                <w:numId w:val="0"/>
              </w:numPr>
              <w:rPr>
                <w:sz w:val="20"/>
              </w:rPr>
            </w:pPr>
          </w:p>
        </w:tc>
        <w:tc>
          <w:tcPr>
            <w:tcW w:w="7087" w:type="dxa"/>
          </w:tcPr>
          <w:p w14:paraId="56D0789B" w14:textId="77777777" w:rsidR="0068069F" w:rsidRPr="008C3B4E" w:rsidRDefault="00027622" w:rsidP="0097051C">
            <w:pPr>
              <w:pStyle w:val="Bullet1"/>
              <w:rPr>
                <w:sz w:val="20"/>
              </w:rPr>
            </w:pPr>
            <w:r w:rsidRPr="008C3B4E">
              <w:rPr>
                <w:sz w:val="20"/>
              </w:rPr>
              <w:t>Feedback mechanisms are promoted and available on our website, and are included in most of our published materials, for example fact sheets, newsletters and provider alerts. These mechanisms include information on how to make a complaint, how to contact us to provide feedback, and the locations of our social media channels.</w:t>
            </w:r>
          </w:p>
        </w:tc>
      </w:tr>
      <w:tr w:rsidR="0068069F" w14:paraId="6A644CE0" w14:textId="77777777" w:rsidTr="00E82DCA">
        <w:trPr>
          <w:cantSplit/>
        </w:trPr>
        <w:tc>
          <w:tcPr>
            <w:tcW w:w="2689" w:type="dxa"/>
          </w:tcPr>
          <w:p w14:paraId="6CD37AD2" w14:textId="77777777" w:rsidR="00027622" w:rsidRPr="008C3B4E" w:rsidRDefault="00027622" w:rsidP="00CF5641">
            <w:pPr>
              <w:pStyle w:val="Bullet1"/>
              <w:numPr>
                <w:ilvl w:val="0"/>
                <w:numId w:val="0"/>
              </w:numPr>
              <w:rPr>
                <w:bCs/>
                <w:i/>
                <w:sz w:val="20"/>
              </w:rPr>
            </w:pPr>
            <w:r w:rsidRPr="008C3B4E">
              <w:rPr>
                <w:bCs/>
                <w:i/>
                <w:sz w:val="20"/>
              </w:rPr>
              <w:t>6.2.2 Sector stakeholders are consulted on proposed regulatory policy, procedural and system changes through formal and informal mechanisms</w:t>
            </w:r>
          </w:p>
          <w:p w14:paraId="081BA8C7" w14:textId="77777777" w:rsidR="0068069F" w:rsidRPr="008C3B4E" w:rsidRDefault="0068069F" w:rsidP="00D8524B">
            <w:pPr>
              <w:pStyle w:val="Bullet1"/>
              <w:numPr>
                <w:ilvl w:val="0"/>
                <w:numId w:val="0"/>
              </w:numPr>
              <w:rPr>
                <w:i/>
                <w:sz w:val="20"/>
              </w:rPr>
            </w:pPr>
          </w:p>
        </w:tc>
        <w:tc>
          <w:tcPr>
            <w:tcW w:w="7087" w:type="dxa"/>
          </w:tcPr>
          <w:p w14:paraId="28268FB8" w14:textId="77777777" w:rsidR="0068069F" w:rsidRPr="0097051C" w:rsidRDefault="00027622" w:rsidP="0097051C">
            <w:pPr>
              <w:pStyle w:val="Bullet1"/>
              <w:rPr>
                <w:rFonts w:ascii="Calibri" w:hAnsi="Calibri" w:cs="Calibri"/>
                <w:color w:val="auto"/>
                <w:spacing w:val="4"/>
                <w:sz w:val="20"/>
              </w:rPr>
            </w:pPr>
            <w:r w:rsidRPr="00027622">
              <w:rPr>
                <w:rFonts w:ascii="Calibri" w:hAnsi="Calibri" w:cs="Calibri"/>
                <w:color w:val="auto"/>
                <w:spacing w:val="4"/>
                <w:sz w:val="20"/>
              </w:rPr>
              <w:t>The NDIS Commission held meetings with the NDIS Commission Industry Consultative Committee and the NDIS Commission Disability Consultative Committee in November 2020 and March 2021. The NDIS Commission’s Policy &amp; Strategy team oversee Secretariat for both of these committees.</w:t>
            </w:r>
          </w:p>
        </w:tc>
      </w:tr>
    </w:tbl>
    <w:p w14:paraId="24E60EB5" w14:textId="77777777" w:rsidR="00027622" w:rsidRPr="00421396" w:rsidRDefault="007557AE" w:rsidP="003251D3">
      <w:pPr>
        <w:pStyle w:val="Heading3"/>
        <w:rPr>
          <w:rFonts w:cstheme="minorHAnsi"/>
          <w:b w:val="0"/>
          <w:bCs/>
          <w:color w:val="333333"/>
          <w:spacing w:val="4"/>
          <w:sz w:val="20"/>
        </w:rPr>
      </w:pPr>
      <w:r>
        <w:br/>
      </w:r>
      <w:bookmarkStart w:id="37" w:name="_Toc128477942"/>
      <w:r w:rsidR="003251D3" w:rsidRPr="00870C23">
        <w:t>Measure 6.3: We regularly share feedback from stakeholders and performance information (including from inspections) with policy departments to improve the operation of the regulatory framework and administrative processes.</w:t>
      </w:r>
      <w:bookmarkEnd w:id="37"/>
    </w:p>
    <w:tbl>
      <w:tblPr>
        <w:tblStyle w:val="TableGrid"/>
        <w:tblW w:w="9634" w:type="dxa"/>
        <w:tblLook w:val="04A0" w:firstRow="1" w:lastRow="0" w:firstColumn="1" w:lastColumn="0" w:noHBand="0" w:noVBand="1"/>
        <w:tblDescription w:val="Requirement and responses in relation to measure 6.3."/>
      </w:tblPr>
      <w:tblGrid>
        <w:gridCol w:w="2689"/>
        <w:gridCol w:w="6945"/>
      </w:tblGrid>
      <w:tr w:rsidR="00027622" w14:paraId="1472ABF4" w14:textId="77777777" w:rsidTr="00FA7EC3">
        <w:trPr>
          <w:cantSplit/>
          <w:tblHeader/>
        </w:trPr>
        <w:tc>
          <w:tcPr>
            <w:tcW w:w="2689" w:type="dxa"/>
            <w:shd w:val="clear" w:color="auto" w:fill="612C69"/>
          </w:tcPr>
          <w:p w14:paraId="28CF0DB9" w14:textId="77777777" w:rsidR="00027622" w:rsidRPr="00FA7EC3" w:rsidRDefault="00027622" w:rsidP="00D8524B">
            <w:pPr>
              <w:rPr>
                <w:b/>
                <w:color w:val="FFFFFF" w:themeColor="background1"/>
              </w:rPr>
            </w:pPr>
            <w:r w:rsidRPr="00FA7EC3">
              <w:rPr>
                <w:b/>
                <w:color w:val="FFFFFF" w:themeColor="background1"/>
              </w:rPr>
              <w:t>Requirement</w:t>
            </w:r>
          </w:p>
        </w:tc>
        <w:tc>
          <w:tcPr>
            <w:tcW w:w="6945" w:type="dxa"/>
            <w:shd w:val="clear" w:color="auto" w:fill="612C69"/>
          </w:tcPr>
          <w:p w14:paraId="2A4E2F20" w14:textId="77777777" w:rsidR="00027622" w:rsidRPr="00FA7EC3" w:rsidRDefault="00027622" w:rsidP="00D8524B">
            <w:pPr>
              <w:rPr>
                <w:color w:val="FFFFFF" w:themeColor="background1"/>
              </w:rPr>
            </w:pPr>
            <w:r w:rsidRPr="00FA7EC3">
              <w:rPr>
                <w:b/>
                <w:color w:val="FFFFFF" w:themeColor="background1"/>
              </w:rPr>
              <w:t>Response</w:t>
            </w:r>
            <w:r w:rsidRPr="00FA7EC3">
              <w:rPr>
                <w:color w:val="FFFFFF" w:themeColor="background1"/>
              </w:rPr>
              <w:t xml:space="preserve"> </w:t>
            </w:r>
          </w:p>
        </w:tc>
      </w:tr>
      <w:tr w:rsidR="00027622" w14:paraId="19A84A3B" w14:textId="77777777" w:rsidTr="00E82DCA">
        <w:trPr>
          <w:cantSplit/>
        </w:trPr>
        <w:tc>
          <w:tcPr>
            <w:tcW w:w="2689" w:type="dxa"/>
          </w:tcPr>
          <w:p w14:paraId="0E3B7481" w14:textId="77777777" w:rsidR="00027622" w:rsidRPr="00F0601D" w:rsidRDefault="00027622" w:rsidP="00CF5641">
            <w:pPr>
              <w:pStyle w:val="Bullet1"/>
              <w:numPr>
                <w:ilvl w:val="0"/>
                <w:numId w:val="0"/>
              </w:numPr>
              <w:rPr>
                <w:bCs/>
                <w:i/>
                <w:sz w:val="20"/>
              </w:rPr>
            </w:pPr>
            <w:r w:rsidRPr="00F0601D">
              <w:rPr>
                <w:bCs/>
                <w:i/>
                <w:sz w:val="20"/>
              </w:rPr>
              <w:t>6.3.1 Information about performance of services is provided to the Department of Social Services (DSS)</w:t>
            </w:r>
          </w:p>
          <w:p w14:paraId="19F12992" w14:textId="77777777" w:rsidR="00027622" w:rsidRPr="00050C46" w:rsidRDefault="00027622" w:rsidP="00D8524B">
            <w:pPr>
              <w:pStyle w:val="Bullet1"/>
              <w:numPr>
                <w:ilvl w:val="0"/>
                <w:numId w:val="0"/>
              </w:numPr>
            </w:pPr>
          </w:p>
        </w:tc>
        <w:tc>
          <w:tcPr>
            <w:tcW w:w="6945" w:type="dxa"/>
          </w:tcPr>
          <w:p w14:paraId="4896C3DD" w14:textId="77777777" w:rsidR="00027622" w:rsidRPr="0092464B" w:rsidRDefault="00027622" w:rsidP="0097051C">
            <w:pPr>
              <w:pStyle w:val="Bullet1"/>
              <w:rPr>
                <w:b/>
                <w:sz w:val="20"/>
              </w:rPr>
            </w:pPr>
            <w:r w:rsidRPr="00F0601D">
              <w:rPr>
                <w:sz w:val="20"/>
              </w:rPr>
              <w:t xml:space="preserve">The NDIS Commission sits on a number of interagency committees and working groups led by the DSS, including the Commonwealth Action Working Group (Australia’s Disability Strategy) and Strengthening Support for Participants at Risk of Harm.  </w:t>
            </w:r>
          </w:p>
          <w:p w14:paraId="53D47C10" w14:textId="521E60A0" w:rsidR="0092464B" w:rsidRPr="00F0601D" w:rsidRDefault="0092464B" w:rsidP="0097051C">
            <w:pPr>
              <w:pStyle w:val="Bullet1"/>
              <w:rPr>
                <w:b/>
                <w:sz w:val="20"/>
              </w:rPr>
            </w:pPr>
            <w:r>
              <w:rPr>
                <w:sz w:val="20"/>
              </w:rPr>
              <w:t xml:space="preserve">Further, the Commission is an active contributor to the passage of amendments to the NDIS Act and the making of amendments to the NDIS rules – amendments </w:t>
            </w:r>
            <w:r w:rsidR="00844E96">
              <w:rPr>
                <w:sz w:val="20"/>
              </w:rPr>
              <w:t>that</w:t>
            </w:r>
            <w:r>
              <w:rPr>
                <w:sz w:val="20"/>
              </w:rPr>
              <w:t xml:space="preserve"> go towards clarifying and reducing inconsistencies in provisions in those statutes. We are active in proposing these recommendations to the DSS and then active in their development and supporting their way through parliament. The amendments help to make the administration of legislation more efficient and timely.</w:t>
            </w:r>
          </w:p>
        </w:tc>
      </w:tr>
    </w:tbl>
    <w:p w14:paraId="683479CB" w14:textId="77777777" w:rsidR="00CD56D6" w:rsidRPr="00662F0F" w:rsidRDefault="00CD56D6" w:rsidP="003F02DC">
      <w:pPr>
        <w:suppressAutoHyphens w:val="0"/>
        <w:spacing w:before="0" w:after="120" w:line="276" w:lineRule="auto"/>
        <w:rPr>
          <w:rFonts w:cstheme="minorHAnsi"/>
          <w:color w:val="333333"/>
          <w:spacing w:val="4"/>
          <w:sz w:val="21"/>
          <w:szCs w:val="21"/>
        </w:rPr>
      </w:pPr>
    </w:p>
    <w:sectPr w:rsidR="00CD56D6" w:rsidRPr="00662F0F" w:rsidSect="003E2932">
      <w:headerReference w:type="default" r:id="rId36"/>
      <w:footerReference w:type="default" r:id="rId37"/>
      <w:footerReference w:type="first" r:id="rId38"/>
      <w:pgSz w:w="11906" w:h="16838" w:code="9"/>
      <w:pgMar w:top="1843" w:right="1440" w:bottom="1440" w:left="1134"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ACAC9" w14:textId="77777777" w:rsidR="00916714" w:rsidRDefault="00916714" w:rsidP="008E21DE">
      <w:pPr>
        <w:spacing w:before="0" w:after="0"/>
      </w:pPr>
      <w:r>
        <w:separator/>
      </w:r>
    </w:p>
  </w:endnote>
  <w:endnote w:type="continuationSeparator" w:id="0">
    <w:p w14:paraId="1747D1B2" w14:textId="77777777" w:rsidR="00916714" w:rsidRDefault="00916714"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Light">
    <w:altName w:val="Franklin Gothic Medium Cond"/>
    <w:charset w:val="00"/>
    <w:family w:val="auto"/>
    <w:pitch w:val="variable"/>
    <w:sig w:usb0="A000002F" w:usb1="5000606A" w:usb2="00000000" w:usb3="00000000" w:csb0="0000009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7531" w14:textId="77777777" w:rsidR="00DB5F80" w:rsidRDefault="00DB5F80" w:rsidP="00362AB6">
    <w:pPr>
      <w:pStyle w:val="Footer"/>
    </w:pPr>
    <w:r>
      <w:rPr>
        <w:b/>
        <w:bCs/>
        <w:noProof/>
        <w:lang w:eastAsia="en-AU"/>
      </w:rPr>
      <mc:AlternateContent>
        <mc:Choice Requires="wps">
          <w:drawing>
            <wp:inline distT="0" distB="0" distL="0" distR="0" wp14:anchorId="7E0557A3" wp14:editId="2E0001D3">
              <wp:extent cx="5976000" cy="79200"/>
              <wp:effectExtent l="0" t="0" r="5715" b="0"/>
              <wp:docPr id="8" name="Rectangle 8"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DC4EA" id="Rectangle 8"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6D98BC27" w14:textId="47F052BE" w:rsidR="00DB5F80" w:rsidRPr="00080615" w:rsidRDefault="00DB5F80" w:rsidP="009301DC">
    <w:pPr>
      <w:pStyle w:val="Footer"/>
      <w:jc w:val="right"/>
    </w:pPr>
    <w:r w:rsidRPr="00362AB6">
      <w:rPr>
        <w:sz w:val="18"/>
        <w:szCs w:val="18"/>
      </w:rPr>
      <w:t>NDIS Quality and Safeguards Commission</w:t>
    </w:r>
    <w:r>
      <w:rPr>
        <w:sz w:val="18"/>
        <w:szCs w:val="18"/>
      </w:rPr>
      <w:t xml:space="preserve"> Regulator Performance Framework Self-Assessment Report 2020–21</w:t>
    </w:r>
    <w:r>
      <w:tab/>
    </w:r>
    <w:r>
      <w:fldChar w:fldCharType="begin"/>
    </w:r>
    <w:r>
      <w:instrText xml:space="preserve"> PAGE   \* MERGEFORMAT </w:instrText>
    </w:r>
    <w:r>
      <w:fldChar w:fldCharType="separate"/>
    </w:r>
    <w:r w:rsidR="002657A9">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F6457" w14:textId="77777777" w:rsidR="00DB5F80" w:rsidRPr="00080615" w:rsidRDefault="00DB5F80" w:rsidP="00080615">
    <w:pPr>
      <w:pStyle w:val="Footer"/>
    </w:pP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1DEA" w14:textId="77777777" w:rsidR="00DB5F80" w:rsidRDefault="00DB5F80" w:rsidP="00080615">
    <w:pPr>
      <w:pStyle w:val="Footer"/>
      <w:rPr>
        <w:sz w:val="18"/>
        <w:szCs w:val="18"/>
      </w:rPr>
    </w:pPr>
    <w:r>
      <w:rPr>
        <w:b/>
        <w:bCs/>
        <w:noProof/>
        <w:lang w:eastAsia="en-AU"/>
      </w:rPr>
      <mc:AlternateContent>
        <mc:Choice Requires="wps">
          <w:drawing>
            <wp:inline distT="0" distB="0" distL="0" distR="0" wp14:anchorId="00C90B8B" wp14:editId="3BCC80E7">
              <wp:extent cx="5976000" cy="80010"/>
              <wp:effectExtent l="0" t="0" r="5715" b="0"/>
              <wp:docPr id="3" name="Rectangle 3" descr="background" title="background"/>
              <wp:cNvGraphicFramePr/>
              <a:graphic xmlns:a="http://schemas.openxmlformats.org/drawingml/2006/main">
                <a:graphicData uri="http://schemas.microsoft.com/office/word/2010/wordprocessingShape">
                  <wps:wsp>
                    <wps:cNvSpPr/>
                    <wps:spPr>
                      <a:xfrm>
                        <a:off x="0" y="0"/>
                        <a:ext cx="5976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30EC38B" id="Rectangle 3" o:spid="_x0000_s1026" alt="Title: background - Description: background" style="width:470.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0B2B75F3" w14:textId="7B1E9CFF" w:rsidR="00DB5F80" w:rsidRPr="00080615" w:rsidRDefault="00DB5F80" w:rsidP="009301DC">
    <w:pPr>
      <w:pStyle w:val="Footer"/>
      <w:jc w:val="right"/>
    </w:pPr>
    <w:r w:rsidRPr="00362AB6">
      <w:rPr>
        <w:sz w:val="18"/>
        <w:szCs w:val="18"/>
      </w:rPr>
      <w:t>NDIS Quality and Safeguards Commission</w:t>
    </w:r>
    <w:r>
      <w:rPr>
        <w:sz w:val="18"/>
        <w:szCs w:val="18"/>
      </w:rPr>
      <w:t xml:space="preserve"> Regulator Performance Framework Self-Assessment Report 2020–21 </w:t>
    </w:r>
    <w:r>
      <w:tab/>
    </w:r>
    <w:r>
      <w:fldChar w:fldCharType="begin"/>
    </w:r>
    <w:r>
      <w:instrText xml:space="preserve"> PAGE   \* MERGEFORMAT </w:instrText>
    </w:r>
    <w:r>
      <w:fldChar w:fldCharType="separate"/>
    </w:r>
    <w:r w:rsidR="002657A9">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DA3C" w14:textId="77777777" w:rsidR="00DB5F80" w:rsidRDefault="00DB5F80" w:rsidP="00362AB6">
    <w:pPr>
      <w:pStyle w:val="Footer"/>
    </w:pPr>
    <w:r>
      <w:rPr>
        <w:b/>
        <w:bCs/>
        <w:noProof/>
        <w:lang w:eastAsia="en-AU"/>
      </w:rPr>
      <mc:AlternateContent>
        <mc:Choice Requires="wps">
          <w:drawing>
            <wp:inline distT="0" distB="0" distL="0" distR="0" wp14:anchorId="7352891F" wp14:editId="16166326">
              <wp:extent cx="5976000" cy="79200"/>
              <wp:effectExtent l="0" t="0" r="5715" b="0"/>
              <wp:docPr id="7" name="Rectangle 7"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E94C9A" id="Rectangle 7"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093C1AF3" w14:textId="67FEE9E7" w:rsidR="00DB5F80" w:rsidRPr="00080615" w:rsidRDefault="00DB5F80" w:rsidP="009301DC">
    <w:pPr>
      <w:pStyle w:val="Footer"/>
      <w:jc w:val="right"/>
    </w:pPr>
    <w:r w:rsidRPr="00362AB6">
      <w:rPr>
        <w:sz w:val="18"/>
        <w:szCs w:val="18"/>
      </w:rPr>
      <w:t>NDIS Quality and Safeguards Commission</w:t>
    </w:r>
    <w:r>
      <w:rPr>
        <w:sz w:val="18"/>
        <w:szCs w:val="18"/>
      </w:rPr>
      <w:t xml:space="preserve"> Regulator Performance Framework Self-Assessment Report 2020 -2021</w:t>
    </w:r>
    <w:r>
      <w:tab/>
    </w:r>
    <w:r>
      <w:fldChar w:fldCharType="begin"/>
    </w:r>
    <w:r>
      <w:instrText xml:space="preserve"> PAGE   \* MERGEFORMAT </w:instrText>
    </w:r>
    <w:r>
      <w:fldChar w:fldCharType="separate"/>
    </w:r>
    <w:r w:rsidR="002657A9">
      <w:rPr>
        <w:noProof/>
      </w:rPr>
      <w:t>35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0199" w14:textId="77777777" w:rsidR="00DB5F80" w:rsidRDefault="00DB5F80" w:rsidP="00080615">
    <w:pPr>
      <w:pStyle w:val="Footer"/>
      <w:rPr>
        <w:sz w:val="18"/>
        <w:szCs w:val="18"/>
      </w:rPr>
    </w:pPr>
    <w:r>
      <w:rPr>
        <w:b/>
        <w:bCs/>
        <w:noProof/>
        <w:lang w:eastAsia="en-AU"/>
      </w:rPr>
      <mc:AlternateContent>
        <mc:Choice Requires="wps">
          <w:drawing>
            <wp:inline distT="0" distB="0" distL="0" distR="0" wp14:anchorId="42065CD2" wp14:editId="574C3DF6">
              <wp:extent cx="5976000" cy="80010"/>
              <wp:effectExtent l="0" t="0" r="5715" b="0"/>
              <wp:docPr id="10" name="Rectangle 10" descr="background" title="background"/>
              <wp:cNvGraphicFramePr/>
              <a:graphic xmlns:a="http://schemas.openxmlformats.org/drawingml/2006/main">
                <a:graphicData uri="http://schemas.microsoft.com/office/word/2010/wordprocessingShape">
                  <wps:wsp>
                    <wps:cNvSpPr/>
                    <wps:spPr>
                      <a:xfrm>
                        <a:off x="0" y="0"/>
                        <a:ext cx="5976000" cy="8001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90A7F4" id="Rectangle 10" o:spid="_x0000_s1026" alt="Title: background - Description: background" style="width:470.5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" fillcolor="#539250 [3207]" stroked="f" strokeweight="1pt">
              <v:fill color2="#83b14c [3208]" angle="90" colors="0 #539250;.5 #83b14c" focus="100%" type="gradient">
                <o:fill v:ext="view" type="gradientUnscaled"/>
              </v:fill>
              <w10:anchorlock/>
            </v:rect>
          </w:pict>
        </mc:Fallback>
      </mc:AlternateContent>
    </w:r>
  </w:p>
  <w:p w14:paraId="7B16229F" w14:textId="6EF46A41" w:rsidR="00DB5F80" w:rsidRPr="00080615" w:rsidRDefault="00DB5F80" w:rsidP="009301DC">
    <w:pPr>
      <w:pStyle w:val="Footer"/>
      <w:jc w:val="right"/>
    </w:pPr>
    <w:r w:rsidRPr="00362AB6">
      <w:rPr>
        <w:sz w:val="18"/>
        <w:szCs w:val="18"/>
      </w:rPr>
      <w:t>NDIS Quality and Safeguards Commission</w:t>
    </w:r>
    <w:r>
      <w:rPr>
        <w:sz w:val="18"/>
        <w:szCs w:val="18"/>
      </w:rPr>
      <w:t xml:space="preserve"> Regulator Performance Framework Self-Assessment Report 2020 -2021</w:t>
    </w:r>
    <w:r>
      <w:tab/>
    </w:r>
    <w:r>
      <w:fldChar w:fldCharType="begin"/>
    </w:r>
    <w:r>
      <w:instrText xml:space="preserve"> PAGE   \* MERGEFORMAT </w:instrText>
    </w:r>
    <w:r>
      <w:fldChar w:fldCharType="separate"/>
    </w:r>
    <w:r w:rsidR="002657A9">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400C5" w14:textId="77777777" w:rsidR="00916714" w:rsidRDefault="00916714" w:rsidP="008E21DE">
      <w:pPr>
        <w:spacing w:before="0" w:after="0"/>
      </w:pPr>
      <w:r>
        <w:separator/>
      </w:r>
    </w:p>
  </w:footnote>
  <w:footnote w:type="continuationSeparator" w:id="0">
    <w:p w14:paraId="7FB231E5" w14:textId="77777777" w:rsidR="00916714" w:rsidRDefault="00916714" w:rsidP="008E21DE">
      <w:pPr>
        <w:spacing w:before="0" w:after="0"/>
      </w:pPr>
      <w:r>
        <w:continuationSeparator/>
      </w:r>
    </w:p>
  </w:footnote>
  <w:footnote w:id="1">
    <w:p w14:paraId="3BAC24E0" w14:textId="77777777" w:rsidR="00DB5F80" w:rsidRDefault="00DB5F80" w:rsidP="00892EE8">
      <w:pPr>
        <w:pStyle w:val="FootnoteText"/>
        <w:spacing w:before="0" w:after="0" w:line="240" w:lineRule="auto"/>
      </w:pPr>
      <w:r>
        <w:rPr>
          <w:rStyle w:val="FootnoteReference"/>
        </w:rPr>
        <w:footnoteRef/>
      </w:r>
      <w:r>
        <w:t xml:space="preserve"> </w:t>
      </w:r>
      <w:r>
        <w:rPr>
          <w:bCs/>
        </w:rPr>
        <w:t>F</w:t>
      </w:r>
      <w:r w:rsidRPr="0086146A">
        <w:rPr>
          <w:bCs/>
        </w:rPr>
        <w:t>or clarity, this refers to complaints about the NDIS Commission to the NDIS Commission, not the exercise of the NDIS Commission’s complaints function</w:t>
      </w:r>
      <w:r>
        <w:rPr>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2307F" w14:textId="77777777" w:rsidR="00DB5F80" w:rsidRDefault="00DB5F80">
    <w:pPr>
      <w:pStyle w:val="Header"/>
    </w:pPr>
  </w:p>
  <w:p w14:paraId="4F9B4E87" w14:textId="77777777" w:rsidR="00DB5F80" w:rsidRDefault="00DB5F80">
    <w:pPr>
      <w:pStyle w:val="Header"/>
    </w:pPr>
    <w:r>
      <w:rPr>
        <w:b w:val="0"/>
        <w:bCs/>
        <w:noProof/>
        <w:lang w:eastAsia="en-AU"/>
      </w:rPr>
      <mc:AlternateContent>
        <mc:Choice Requires="wps">
          <w:drawing>
            <wp:inline distT="0" distB="0" distL="0" distR="0" wp14:anchorId="4FF28C95" wp14:editId="270821CC">
              <wp:extent cx="5976000" cy="79200"/>
              <wp:effectExtent l="0" t="0" r="5715" b="0"/>
              <wp:docPr id="2" name="Rectangle 2"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4879F1" id="Rectangle 2"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mipg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6BD4" w14:textId="77777777" w:rsidR="00DB5F80" w:rsidRDefault="00DB5F80">
    <w:pPr>
      <w:pStyle w:val="Header"/>
    </w:pPr>
    <w:r>
      <w:rPr>
        <w:noProof/>
        <w:lang w:eastAsia="en-AU"/>
      </w:rPr>
      <mc:AlternateContent>
        <mc:Choice Requires="wps">
          <w:drawing>
            <wp:anchor distT="0" distB="0" distL="114300" distR="114300" simplePos="0" relativeHeight="251657216" behindDoc="1" locked="0" layoutInCell="1" allowOverlap="1" wp14:anchorId="5152CDFF" wp14:editId="70B5A160">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49ADD28" id="Rectangle 3" o:spid="_x0000_s1026" alt="Decorative background" style="position:absolute;margin-left:-119.35pt;margin-top:-29.95pt;width:960pt;height:99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02FCD5BE" wp14:editId="38A082DC">
          <wp:extent cx="3572510" cy="1109345"/>
          <wp:effectExtent l="0" t="0" r="0" b="0"/>
          <wp:docPr id="11" name="Picture 11"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2510" cy="11093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1E540" w14:textId="77777777" w:rsidR="00DB5F80" w:rsidRDefault="00DB5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44C30" w14:textId="77777777" w:rsidR="00DB5F80" w:rsidRDefault="00DB5F80" w:rsidP="0096396E">
    <w:pPr>
      <w:pStyle w:val="Header"/>
    </w:pPr>
  </w:p>
  <w:p w14:paraId="04BBCC85" w14:textId="77777777" w:rsidR="00DB5F80" w:rsidRDefault="00DB5F80" w:rsidP="0096396E">
    <w:pPr>
      <w:pStyle w:val="Header"/>
    </w:pPr>
    <w:r>
      <w:rPr>
        <w:b w:val="0"/>
        <w:bCs/>
        <w:noProof/>
        <w:lang w:eastAsia="en-AU"/>
      </w:rPr>
      <mc:AlternateContent>
        <mc:Choice Requires="wps">
          <w:drawing>
            <wp:inline distT="0" distB="0" distL="0" distR="0" wp14:anchorId="2F79FA9B" wp14:editId="758FE5B2">
              <wp:extent cx="5976000" cy="79200"/>
              <wp:effectExtent l="0" t="0" r="5715" b="0"/>
              <wp:docPr id="1" name="Rectangle 1"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03FDA6" id="Rectangle 1"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" fillcolor="#612c69" stroked="f" strokeweight="1pt">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E247" w14:textId="77777777" w:rsidR="00DB5F80" w:rsidRDefault="00DB5F80">
    <w:pPr>
      <w:pStyle w:val="Header"/>
    </w:pPr>
  </w:p>
  <w:p w14:paraId="2333ACC4" w14:textId="77777777" w:rsidR="00DB5F80" w:rsidRDefault="00DB5F80">
    <w:pPr>
      <w:pStyle w:val="Header"/>
    </w:pPr>
    <w:r>
      <w:rPr>
        <w:b w:val="0"/>
        <w:bCs/>
        <w:noProof/>
        <w:lang w:eastAsia="en-AU"/>
      </w:rPr>
      <mc:AlternateContent>
        <mc:Choice Requires="wps">
          <w:drawing>
            <wp:inline distT="0" distB="0" distL="0" distR="0" wp14:anchorId="2C6BD241" wp14:editId="767D7FAC">
              <wp:extent cx="5976000" cy="79200"/>
              <wp:effectExtent l="0" t="0" r="5715" b="0"/>
              <wp:docPr id="5" name="Rectangle 5" descr="background" title="background"/>
              <wp:cNvGraphicFramePr/>
              <a:graphic xmlns:a="http://schemas.openxmlformats.org/drawingml/2006/main">
                <a:graphicData uri="http://schemas.microsoft.com/office/word/2010/wordprocessingShape">
                  <wps:wsp>
                    <wps:cNvSpPr/>
                    <wps:spPr>
                      <a:xfrm>
                        <a:off x="0" y="0"/>
                        <a:ext cx="5976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CEF88A" id="Rectangle 5" o:spid="_x0000_s1026" alt="Title: background - Description: background" style="width:470.55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" fillcolor="#612c69" stroked="f" strokeweight="1p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0A2F42"/>
    <w:lvl w:ilvl="0">
      <w:numFmt w:val="bullet"/>
      <w:pStyle w:val="ListBullet"/>
      <w:lvlText w:val=""/>
      <w:lvlJc w:val="left"/>
      <w:pPr>
        <w:ind w:left="360" w:hanging="360"/>
      </w:pPr>
      <w:rPr>
        <w:rFonts w:ascii="Wingdings" w:eastAsia="Wingdings" w:hAnsi="Wingdings" w:cs="Wingdings" w:hint="default"/>
        <w:color w:val="5E2265"/>
        <w:w w:val="64"/>
        <w:sz w:val="18"/>
        <w:szCs w:val="18"/>
      </w:rPr>
    </w:lvl>
  </w:abstractNum>
  <w:abstractNum w:abstractNumId="1" w15:restartNumberingAfterBreak="0">
    <w:nsid w:val="05AE0290"/>
    <w:multiLevelType w:val="hybridMultilevel"/>
    <w:tmpl w:val="052CC9B4"/>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32BBE"/>
    <w:multiLevelType w:val="hybridMultilevel"/>
    <w:tmpl w:val="3B2A2ADA"/>
    <w:lvl w:ilvl="0" w:tplc="DF80B098">
      <w:start w:val="1"/>
      <w:numFmt w:val="bullet"/>
      <w:lvlText w:val="o"/>
      <w:lvlJc w:val="left"/>
      <w:pPr>
        <w:ind w:left="680" w:hanging="340"/>
      </w:pPr>
      <w:rPr>
        <w:rFonts w:ascii="Courier New" w:hAnsi="Courier New"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 w15:restartNumberingAfterBreak="0">
    <w:nsid w:val="0B2B1767"/>
    <w:multiLevelType w:val="hybridMultilevel"/>
    <w:tmpl w:val="5A26F2FA"/>
    <w:lvl w:ilvl="0" w:tplc="D9FC2848">
      <w:start w:val="1"/>
      <w:numFmt w:val="bullet"/>
      <w:lvlText w:val="o"/>
      <w:lvlJc w:val="left"/>
      <w:pPr>
        <w:ind w:left="680" w:hanging="340"/>
      </w:pPr>
      <w:rPr>
        <w:rFonts w:ascii="Courier New" w:hAnsi="Courier New" w:hint="default"/>
      </w:rPr>
    </w:lvl>
    <w:lvl w:ilvl="1" w:tplc="0C090003" w:tentative="1">
      <w:start w:val="1"/>
      <w:numFmt w:val="bullet"/>
      <w:lvlText w:val="o"/>
      <w:lvlJc w:val="left"/>
      <w:pPr>
        <w:ind w:left="1839" w:hanging="360"/>
      </w:pPr>
      <w:rPr>
        <w:rFonts w:ascii="Courier New" w:hAnsi="Courier New" w:cs="Courier New" w:hint="default"/>
      </w:rPr>
    </w:lvl>
    <w:lvl w:ilvl="2" w:tplc="0C090005" w:tentative="1">
      <w:start w:val="1"/>
      <w:numFmt w:val="bullet"/>
      <w:lvlText w:val=""/>
      <w:lvlJc w:val="left"/>
      <w:pPr>
        <w:ind w:left="2559" w:hanging="360"/>
      </w:pPr>
      <w:rPr>
        <w:rFonts w:ascii="Wingdings" w:hAnsi="Wingdings" w:hint="default"/>
      </w:rPr>
    </w:lvl>
    <w:lvl w:ilvl="3" w:tplc="0C090001" w:tentative="1">
      <w:start w:val="1"/>
      <w:numFmt w:val="bullet"/>
      <w:lvlText w:val=""/>
      <w:lvlJc w:val="left"/>
      <w:pPr>
        <w:ind w:left="3279" w:hanging="360"/>
      </w:pPr>
      <w:rPr>
        <w:rFonts w:ascii="Symbol" w:hAnsi="Symbol" w:hint="default"/>
      </w:rPr>
    </w:lvl>
    <w:lvl w:ilvl="4" w:tplc="0C090003" w:tentative="1">
      <w:start w:val="1"/>
      <w:numFmt w:val="bullet"/>
      <w:lvlText w:val="o"/>
      <w:lvlJc w:val="left"/>
      <w:pPr>
        <w:ind w:left="3999" w:hanging="360"/>
      </w:pPr>
      <w:rPr>
        <w:rFonts w:ascii="Courier New" w:hAnsi="Courier New" w:cs="Courier New" w:hint="default"/>
      </w:rPr>
    </w:lvl>
    <w:lvl w:ilvl="5" w:tplc="0C090005" w:tentative="1">
      <w:start w:val="1"/>
      <w:numFmt w:val="bullet"/>
      <w:lvlText w:val=""/>
      <w:lvlJc w:val="left"/>
      <w:pPr>
        <w:ind w:left="4719" w:hanging="360"/>
      </w:pPr>
      <w:rPr>
        <w:rFonts w:ascii="Wingdings" w:hAnsi="Wingdings" w:hint="default"/>
      </w:rPr>
    </w:lvl>
    <w:lvl w:ilvl="6" w:tplc="0C090001" w:tentative="1">
      <w:start w:val="1"/>
      <w:numFmt w:val="bullet"/>
      <w:lvlText w:val=""/>
      <w:lvlJc w:val="left"/>
      <w:pPr>
        <w:ind w:left="5439" w:hanging="360"/>
      </w:pPr>
      <w:rPr>
        <w:rFonts w:ascii="Symbol" w:hAnsi="Symbol" w:hint="default"/>
      </w:rPr>
    </w:lvl>
    <w:lvl w:ilvl="7" w:tplc="0C090003" w:tentative="1">
      <w:start w:val="1"/>
      <w:numFmt w:val="bullet"/>
      <w:lvlText w:val="o"/>
      <w:lvlJc w:val="left"/>
      <w:pPr>
        <w:ind w:left="6159" w:hanging="360"/>
      </w:pPr>
      <w:rPr>
        <w:rFonts w:ascii="Courier New" w:hAnsi="Courier New" w:cs="Courier New" w:hint="default"/>
      </w:rPr>
    </w:lvl>
    <w:lvl w:ilvl="8" w:tplc="0C090005" w:tentative="1">
      <w:start w:val="1"/>
      <w:numFmt w:val="bullet"/>
      <w:lvlText w:val=""/>
      <w:lvlJc w:val="left"/>
      <w:pPr>
        <w:ind w:left="6879"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0CA40E0"/>
    <w:multiLevelType w:val="hybridMultilevel"/>
    <w:tmpl w:val="1C4276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F307B7"/>
    <w:multiLevelType w:val="hybridMultilevel"/>
    <w:tmpl w:val="A9B2A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80" w:hanging="34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387AE9BE">
      <w:numFmt w:val="bullet"/>
      <w:lvlText w:val="•"/>
      <w:lvlJc w:val="left"/>
      <w:pPr>
        <w:ind w:left="2895" w:hanging="735"/>
      </w:pPr>
      <w:rPr>
        <w:rFonts w:ascii="Calibri" w:eastAsiaTheme="minorHAnsi" w:hAnsi="Calibri" w:cs="Calibri"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645BC8"/>
    <w:multiLevelType w:val="hybridMultilevel"/>
    <w:tmpl w:val="3F34F9DA"/>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F0CFB"/>
    <w:multiLevelType w:val="hybridMultilevel"/>
    <w:tmpl w:val="67DCB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BC33C22"/>
    <w:multiLevelType w:val="hybridMultilevel"/>
    <w:tmpl w:val="D2BE759C"/>
    <w:lvl w:ilvl="0" w:tplc="8D3A8F58">
      <w:start w:val="1"/>
      <w:numFmt w:val="bullet"/>
      <w:lvlText w:val=""/>
      <w:lvlJc w:val="left"/>
      <w:pPr>
        <w:ind w:left="680" w:hanging="340"/>
      </w:pPr>
      <w:rPr>
        <w:rFonts w:ascii="Symbol" w:hAnsi="Symbol" w:hint="default"/>
      </w:rPr>
    </w:lvl>
    <w:lvl w:ilvl="1" w:tplc="9E62B6B4">
      <w:start w:val="1"/>
      <w:numFmt w:val="bullet"/>
      <w:lvlText w:val="o"/>
      <w:lvlJc w:val="left"/>
      <w:pPr>
        <w:ind w:left="340" w:hanging="340"/>
      </w:pPr>
      <w:rPr>
        <w:rFonts w:ascii="Courier New" w:hAnsi="Courier New" w:hint="default"/>
      </w:rPr>
    </w:lvl>
    <w:lvl w:ilvl="2" w:tplc="0C090005">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C02C99"/>
    <w:multiLevelType w:val="hybridMultilevel"/>
    <w:tmpl w:val="A3FC81B2"/>
    <w:lvl w:ilvl="0" w:tplc="0C090003">
      <w:start w:val="1"/>
      <w:numFmt w:val="bullet"/>
      <w:lvlText w:val="o"/>
      <w:lvlJc w:val="left"/>
      <w:pPr>
        <w:ind w:left="737" w:hanging="34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3736E7"/>
    <w:multiLevelType w:val="hybridMultilevel"/>
    <w:tmpl w:val="057EF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4D2605"/>
    <w:multiLevelType w:val="hybridMultilevel"/>
    <w:tmpl w:val="F4DAD3C0"/>
    <w:lvl w:ilvl="0" w:tplc="B9EAB824">
      <w:start w:val="1"/>
      <w:numFmt w:val="bullet"/>
      <w:lvlText w:val=""/>
      <w:lvlJc w:val="left"/>
      <w:pPr>
        <w:ind w:left="340" w:hanging="34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41031A3"/>
    <w:multiLevelType w:val="hybridMultilevel"/>
    <w:tmpl w:val="DF64AE74"/>
    <w:lvl w:ilvl="0" w:tplc="5F3A8E2E">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667969"/>
    <w:multiLevelType w:val="hybridMultilevel"/>
    <w:tmpl w:val="3E1E6124"/>
    <w:lvl w:ilvl="0" w:tplc="0C090003">
      <w:start w:val="1"/>
      <w:numFmt w:val="bullet"/>
      <w:lvlText w:val="o"/>
      <w:lvlJc w:val="left"/>
      <w:pPr>
        <w:ind w:left="700" w:hanging="34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BF6286A"/>
    <w:multiLevelType w:val="hybridMultilevel"/>
    <w:tmpl w:val="5A3874E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9" w15:restartNumberingAfterBreak="0">
    <w:nsid w:val="2D5600F5"/>
    <w:multiLevelType w:val="hybridMultilevel"/>
    <w:tmpl w:val="9B082DA4"/>
    <w:lvl w:ilvl="0" w:tplc="356484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2904E9"/>
    <w:multiLevelType w:val="hybridMultilevel"/>
    <w:tmpl w:val="AAD06D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EA2AA8"/>
    <w:multiLevelType w:val="hybridMultilevel"/>
    <w:tmpl w:val="0D10774E"/>
    <w:lvl w:ilvl="0" w:tplc="0BDAFAEE">
      <w:start w:val="1"/>
      <w:numFmt w:val="bullet"/>
      <w:lvlText w:val="o"/>
      <w:lvlJc w:val="left"/>
      <w:pPr>
        <w:ind w:left="757" w:hanging="360"/>
      </w:pPr>
      <w:rPr>
        <w:rFonts w:ascii="Courier New" w:hAnsi="Courier New" w:hint="default"/>
      </w:rPr>
    </w:lvl>
    <w:lvl w:ilvl="1" w:tplc="0C090003" w:tentative="1">
      <w:start w:val="1"/>
      <w:numFmt w:val="bullet"/>
      <w:lvlText w:val="o"/>
      <w:lvlJc w:val="left"/>
      <w:pPr>
        <w:ind w:left="2050" w:hanging="360"/>
      </w:pPr>
      <w:rPr>
        <w:rFonts w:ascii="Courier New" w:hAnsi="Courier New" w:cs="Courier New" w:hint="default"/>
      </w:rPr>
    </w:lvl>
    <w:lvl w:ilvl="2" w:tplc="0C090005" w:tentative="1">
      <w:start w:val="1"/>
      <w:numFmt w:val="bullet"/>
      <w:lvlText w:val=""/>
      <w:lvlJc w:val="left"/>
      <w:pPr>
        <w:ind w:left="2770" w:hanging="360"/>
      </w:pPr>
      <w:rPr>
        <w:rFonts w:ascii="Wingdings" w:hAnsi="Wingdings" w:hint="default"/>
      </w:rPr>
    </w:lvl>
    <w:lvl w:ilvl="3" w:tplc="0C090001" w:tentative="1">
      <w:start w:val="1"/>
      <w:numFmt w:val="bullet"/>
      <w:lvlText w:val=""/>
      <w:lvlJc w:val="left"/>
      <w:pPr>
        <w:ind w:left="3490" w:hanging="360"/>
      </w:pPr>
      <w:rPr>
        <w:rFonts w:ascii="Symbol" w:hAnsi="Symbol" w:hint="default"/>
      </w:rPr>
    </w:lvl>
    <w:lvl w:ilvl="4" w:tplc="0C090003" w:tentative="1">
      <w:start w:val="1"/>
      <w:numFmt w:val="bullet"/>
      <w:lvlText w:val="o"/>
      <w:lvlJc w:val="left"/>
      <w:pPr>
        <w:ind w:left="4210" w:hanging="360"/>
      </w:pPr>
      <w:rPr>
        <w:rFonts w:ascii="Courier New" w:hAnsi="Courier New" w:cs="Courier New" w:hint="default"/>
      </w:rPr>
    </w:lvl>
    <w:lvl w:ilvl="5" w:tplc="0C090005" w:tentative="1">
      <w:start w:val="1"/>
      <w:numFmt w:val="bullet"/>
      <w:lvlText w:val=""/>
      <w:lvlJc w:val="left"/>
      <w:pPr>
        <w:ind w:left="4930" w:hanging="360"/>
      </w:pPr>
      <w:rPr>
        <w:rFonts w:ascii="Wingdings" w:hAnsi="Wingdings" w:hint="default"/>
      </w:rPr>
    </w:lvl>
    <w:lvl w:ilvl="6" w:tplc="0C090001" w:tentative="1">
      <w:start w:val="1"/>
      <w:numFmt w:val="bullet"/>
      <w:lvlText w:val=""/>
      <w:lvlJc w:val="left"/>
      <w:pPr>
        <w:ind w:left="5650" w:hanging="360"/>
      </w:pPr>
      <w:rPr>
        <w:rFonts w:ascii="Symbol" w:hAnsi="Symbol" w:hint="default"/>
      </w:rPr>
    </w:lvl>
    <w:lvl w:ilvl="7" w:tplc="0C090003" w:tentative="1">
      <w:start w:val="1"/>
      <w:numFmt w:val="bullet"/>
      <w:lvlText w:val="o"/>
      <w:lvlJc w:val="left"/>
      <w:pPr>
        <w:ind w:left="6370" w:hanging="360"/>
      </w:pPr>
      <w:rPr>
        <w:rFonts w:ascii="Courier New" w:hAnsi="Courier New" w:cs="Courier New" w:hint="default"/>
      </w:rPr>
    </w:lvl>
    <w:lvl w:ilvl="8" w:tplc="0C090005" w:tentative="1">
      <w:start w:val="1"/>
      <w:numFmt w:val="bullet"/>
      <w:lvlText w:val=""/>
      <w:lvlJc w:val="left"/>
      <w:pPr>
        <w:ind w:left="7090" w:hanging="360"/>
      </w:pPr>
      <w:rPr>
        <w:rFonts w:ascii="Wingdings" w:hAnsi="Wingdings" w:hint="default"/>
      </w:rPr>
    </w:lvl>
  </w:abstractNum>
  <w:abstractNum w:abstractNumId="22" w15:restartNumberingAfterBreak="0">
    <w:nsid w:val="33B85D62"/>
    <w:multiLevelType w:val="multilevel"/>
    <w:tmpl w:val="35763A5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4A73A7F"/>
    <w:multiLevelType w:val="hybridMultilevel"/>
    <w:tmpl w:val="CBCAB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0CE4E05"/>
    <w:multiLevelType w:val="hybridMultilevel"/>
    <w:tmpl w:val="79B6C636"/>
    <w:lvl w:ilvl="0" w:tplc="0C090003">
      <w:start w:val="1"/>
      <w:numFmt w:val="bullet"/>
      <w:lvlText w:val="o"/>
      <w:lvlJc w:val="left"/>
      <w:pPr>
        <w:ind w:left="680" w:hanging="340"/>
      </w:pPr>
      <w:rPr>
        <w:rFonts w:ascii="Courier New" w:hAnsi="Courier New" w:cs="Courier New" w:hint="default"/>
      </w:rPr>
    </w:lvl>
    <w:lvl w:ilvl="1" w:tplc="9E62B6B4">
      <w:start w:val="1"/>
      <w:numFmt w:val="bullet"/>
      <w:lvlText w:val="o"/>
      <w:lvlJc w:val="left"/>
      <w:pPr>
        <w:ind w:left="340" w:hanging="340"/>
      </w:pPr>
      <w:rPr>
        <w:rFonts w:ascii="Courier New" w:hAnsi="Courier New" w:hint="default"/>
      </w:rPr>
    </w:lvl>
    <w:lvl w:ilvl="2" w:tplc="7244279A">
      <w:start w:val="1"/>
      <w:numFmt w:val="bullet"/>
      <w:lvlText w:val=""/>
      <w:lvlJc w:val="left"/>
      <w:pPr>
        <w:ind w:left="1077" w:hanging="397"/>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CE6E05"/>
    <w:multiLevelType w:val="hybridMultilevel"/>
    <w:tmpl w:val="89B8C70A"/>
    <w:lvl w:ilvl="0" w:tplc="389E5C12">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40F2670"/>
    <w:multiLevelType w:val="hybridMultilevel"/>
    <w:tmpl w:val="06507B7E"/>
    <w:lvl w:ilvl="0" w:tplc="0C090001">
      <w:start w:val="1"/>
      <w:numFmt w:val="bullet"/>
      <w:lvlText w:val=""/>
      <w:lvlJc w:val="left"/>
      <w:pPr>
        <w:ind w:left="340" w:hanging="34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E06265"/>
    <w:multiLevelType w:val="hybridMultilevel"/>
    <w:tmpl w:val="A28C5B5E"/>
    <w:lvl w:ilvl="0" w:tplc="0C090001">
      <w:start w:val="1"/>
      <w:numFmt w:val="bullet"/>
      <w:lvlText w:val=""/>
      <w:lvlJc w:val="left"/>
      <w:pPr>
        <w:ind w:left="340" w:hanging="340"/>
      </w:pPr>
      <w:rPr>
        <w:rFonts w:ascii="Symbol" w:hAnsi="Symbol" w:hint="default"/>
      </w:rPr>
    </w:lvl>
    <w:lvl w:ilvl="1" w:tplc="290C3424">
      <w:start w:val="1"/>
      <w:numFmt w:val="bullet"/>
      <w:lvlText w:val="o"/>
      <w:lvlJc w:val="left"/>
      <w:pPr>
        <w:ind w:left="794" w:hanging="454"/>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061D25"/>
    <w:multiLevelType w:val="hybridMultilevel"/>
    <w:tmpl w:val="A9941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AD57AB"/>
    <w:multiLevelType w:val="hybridMultilevel"/>
    <w:tmpl w:val="79B6A174"/>
    <w:lvl w:ilvl="0" w:tplc="9A622798">
      <w:start w:val="1"/>
      <w:numFmt w:val="bullet"/>
      <w:lvlText w:val=""/>
      <w:lvlJc w:val="left"/>
      <w:pPr>
        <w:ind w:left="680" w:hanging="34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F66F16"/>
    <w:multiLevelType w:val="hybridMultilevel"/>
    <w:tmpl w:val="D9D69480"/>
    <w:lvl w:ilvl="0" w:tplc="9F70311C">
      <w:start w:val="1"/>
      <w:numFmt w:val="bullet"/>
      <w:lvlText w:val=""/>
      <w:lvlJc w:val="left"/>
      <w:pPr>
        <w:ind w:left="1700" w:hanging="340"/>
      </w:pPr>
      <w:rPr>
        <w:rFonts w:ascii="Symbol" w:hAnsi="Symbol" w:hint="default"/>
      </w:rPr>
    </w:lvl>
    <w:lvl w:ilvl="1" w:tplc="0C090003" w:tentative="1">
      <w:start w:val="1"/>
      <w:numFmt w:val="bullet"/>
      <w:lvlText w:val="o"/>
      <w:lvlJc w:val="left"/>
      <w:pPr>
        <w:ind w:left="2800" w:hanging="360"/>
      </w:pPr>
      <w:rPr>
        <w:rFonts w:ascii="Courier New" w:hAnsi="Courier New" w:cs="Courier New" w:hint="default"/>
      </w:rPr>
    </w:lvl>
    <w:lvl w:ilvl="2" w:tplc="0C090005" w:tentative="1">
      <w:start w:val="1"/>
      <w:numFmt w:val="bullet"/>
      <w:lvlText w:val=""/>
      <w:lvlJc w:val="left"/>
      <w:pPr>
        <w:ind w:left="3520" w:hanging="360"/>
      </w:pPr>
      <w:rPr>
        <w:rFonts w:ascii="Wingdings" w:hAnsi="Wingdings"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34" w15:restartNumberingAfterBreak="0">
    <w:nsid w:val="58615703"/>
    <w:multiLevelType w:val="multilevel"/>
    <w:tmpl w:val="803CF862"/>
    <w:numStyleLink w:val="List1Numbered"/>
  </w:abstractNum>
  <w:abstractNum w:abstractNumId="35" w15:restartNumberingAfterBreak="0">
    <w:nsid w:val="65BC37F5"/>
    <w:multiLevelType w:val="hybridMultilevel"/>
    <w:tmpl w:val="5A5E3DF0"/>
    <w:lvl w:ilvl="0" w:tplc="939A0AC8">
      <w:start w:val="1"/>
      <w:numFmt w:val="bullet"/>
      <w:pStyle w:val="TableBullets"/>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8A0008F"/>
    <w:multiLevelType w:val="hybridMultilevel"/>
    <w:tmpl w:val="1A50EC12"/>
    <w:lvl w:ilvl="0" w:tplc="47FAA3E0">
      <w:start w:val="1"/>
      <w:numFmt w:val="bullet"/>
      <w:lvlText w:val=""/>
      <w:lvlJc w:val="left"/>
      <w:pPr>
        <w:ind w:left="851" w:hanging="284"/>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37" w15:restartNumberingAfterBreak="0">
    <w:nsid w:val="6C606D40"/>
    <w:multiLevelType w:val="hybridMultilevel"/>
    <w:tmpl w:val="48368E16"/>
    <w:lvl w:ilvl="0" w:tplc="0C090001">
      <w:start w:val="1"/>
      <w:numFmt w:val="bullet"/>
      <w:lvlText w:val=""/>
      <w:lvlJc w:val="left"/>
      <w:pPr>
        <w:ind w:left="720" w:hanging="360"/>
      </w:pPr>
      <w:rPr>
        <w:rFonts w:ascii="Symbol" w:hAnsi="Symbol" w:hint="default"/>
      </w:rPr>
    </w:lvl>
    <w:lvl w:ilvl="1" w:tplc="21841790">
      <w:start w:val="1"/>
      <w:numFmt w:val="bullet"/>
      <w:lvlText w:val="o"/>
      <w:lvlJc w:val="left"/>
      <w:pPr>
        <w:ind w:left="794" w:hanging="39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4F423B"/>
    <w:multiLevelType w:val="multilevel"/>
    <w:tmpl w:val="4A7CCC2C"/>
    <w:numStyleLink w:val="DefaultBullets"/>
  </w:abstractNum>
  <w:abstractNum w:abstractNumId="39" w15:restartNumberingAfterBreak="0">
    <w:nsid w:val="71866D89"/>
    <w:multiLevelType w:val="hybridMultilevel"/>
    <w:tmpl w:val="F056A46C"/>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1" w15:restartNumberingAfterBreak="0">
    <w:nsid w:val="76BA0444"/>
    <w:multiLevelType w:val="hybridMultilevel"/>
    <w:tmpl w:val="8496028A"/>
    <w:lvl w:ilvl="0" w:tplc="62C46E1C">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0B67C4"/>
    <w:multiLevelType w:val="multilevel"/>
    <w:tmpl w:val="FE688822"/>
    <w:numStyleLink w:val="BoxedBullets"/>
  </w:abstractNum>
  <w:num w:numId="1">
    <w:abstractNumId w:val="4"/>
  </w:num>
  <w:num w:numId="2">
    <w:abstractNumId w:val="31"/>
  </w:num>
  <w:num w:numId="3">
    <w:abstractNumId w:val="42"/>
  </w:num>
  <w:num w:numId="4">
    <w:abstractNumId w:val="26"/>
  </w:num>
  <w:num w:numId="5">
    <w:abstractNumId w:val="12"/>
  </w:num>
  <w:num w:numId="6">
    <w:abstractNumId w:val="9"/>
  </w:num>
  <w:num w:numId="7">
    <w:abstractNumId w:val="34"/>
  </w:num>
  <w:num w:numId="8">
    <w:abstractNumId w:val="32"/>
  </w:num>
  <w:num w:numId="9">
    <w:abstractNumId w:val="14"/>
  </w:num>
  <w:num w:numId="10">
    <w:abstractNumId w:val="40"/>
  </w:num>
  <w:num w:numId="11">
    <w:abstractNumId w:val="38"/>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1"/>
  </w:num>
  <w:num w:numId="13">
    <w:abstractNumId w:val="0"/>
  </w:num>
  <w:num w:numId="14">
    <w:abstractNumId w:val="19"/>
  </w:num>
  <w:num w:numId="15">
    <w:abstractNumId w:val="24"/>
  </w:num>
  <w:num w:numId="16">
    <w:abstractNumId w:val="6"/>
  </w:num>
  <w:num w:numId="17">
    <w:abstractNumId w:val="37"/>
  </w:num>
  <w:num w:numId="18">
    <w:abstractNumId w:val="20"/>
  </w:num>
  <w:num w:numId="19">
    <w:abstractNumId w:val="29"/>
  </w:num>
  <w:num w:numId="20">
    <w:abstractNumId w:val="23"/>
  </w:num>
  <w:num w:numId="21">
    <w:abstractNumId w:val="41"/>
  </w:num>
  <w:num w:numId="22">
    <w:abstractNumId w:val="27"/>
  </w:num>
  <w:num w:numId="23">
    <w:abstractNumId w:val="17"/>
  </w:num>
  <w:num w:numId="24">
    <w:abstractNumId w:val="1"/>
  </w:num>
  <w:num w:numId="25">
    <w:abstractNumId w:val="7"/>
  </w:num>
  <w:num w:numId="26">
    <w:abstractNumId w:val="10"/>
  </w:num>
  <w:num w:numId="27">
    <w:abstractNumId w:val="16"/>
  </w:num>
  <w:num w:numId="28">
    <w:abstractNumId w:val="18"/>
  </w:num>
  <w:num w:numId="29">
    <w:abstractNumId w:val="39"/>
  </w:num>
  <w:num w:numId="30">
    <w:abstractNumId w:val="33"/>
  </w:num>
  <w:num w:numId="31">
    <w:abstractNumId w:val="21"/>
  </w:num>
  <w:num w:numId="32">
    <w:abstractNumId w:val="36"/>
  </w:num>
  <w:num w:numId="33">
    <w:abstractNumId w:val="5"/>
  </w:num>
  <w:num w:numId="34">
    <w:abstractNumId w:val="35"/>
  </w:num>
  <w:num w:numId="35">
    <w:abstractNumId w:val="30"/>
  </w:num>
  <w:num w:numId="36">
    <w:abstractNumId w:val="22"/>
  </w:num>
  <w:num w:numId="37">
    <w:abstractNumId w:val="8"/>
  </w:num>
  <w:num w:numId="38">
    <w:abstractNumId w:val="13"/>
  </w:num>
  <w:num w:numId="39">
    <w:abstractNumId w:val="15"/>
  </w:num>
  <w:num w:numId="40">
    <w:abstractNumId w:val="25"/>
  </w:num>
  <w:num w:numId="41">
    <w:abstractNumId w:val="3"/>
  </w:num>
  <w:num w:numId="42">
    <w:abstractNumId w:val="28"/>
  </w:num>
  <w:num w:numId="43">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74"/>
    <w:rsid w:val="00001EA5"/>
    <w:rsid w:val="000110F9"/>
    <w:rsid w:val="0001439D"/>
    <w:rsid w:val="00014B58"/>
    <w:rsid w:val="00017F32"/>
    <w:rsid w:val="00022958"/>
    <w:rsid w:val="000240BC"/>
    <w:rsid w:val="0002541D"/>
    <w:rsid w:val="000256DD"/>
    <w:rsid w:val="00027622"/>
    <w:rsid w:val="00035C6A"/>
    <w:rsid w:val="00036011"/>
    <w:rsid w:val="000409E4"/>
    <w:rsid w:val="00040BD9"/>
    <w:rsid w:val="00042912"/>
    <w:rsid w:val="0004571B"/>
    <w:rsid w:val="00050C46"/>
    <w:rsid w:val="00055904"/>
    <w:rsid w:val="000564DA"/>
    <w:rsid w:val="00056881"/>
    <w:rsid w:val="0006181D"/>
    <w:rsid w:val="000623A6"/>
    <w:rsid w:val="00065368"/>
    <w:rsid w:val="00067204"/>
    <w:rsid w:val="0006763F"/>
    <w:rsid w:val="00067917"/>
    <w:rsid w:val="00067EC8"/>
    <w:rsid w:val="00067EF1"/>
    <w:rsid w:val="000711C3"/>
    <w:rsid w:val="00071D21"/>
    <w:rsid w:val="00074A33"/>
    <w:rsid w:val="00074B40"/>
    <w:rsid w:val="00074DC9"/>
    <w:rsid w:val="00077471"/>
    <w:rsid w:val="00077A7D"/>
    <w:rsid w:val="00080615"/>
    <w:rsid w:val="00082285"/>
    <w:rsid w:val="000836B4"/>
    <w:rsid w:val="00084C02"/>
    <w:rsid w:val="00085AB6"/>
    <w:rsid w:val="00087143"/>
    <w:rsid w:val="000917A1"/>
    <w:rsid w:val="0009207A"/>
    <w:rsid w:val="00093A0C"/>
    <w:rsid w:val="00095CED"/>
    <w:rsid w:val="0009614E"/>
    <w:rsid w:val="00096D69"/>
    <w:rsid w:val="000A2DA7"/>
    <w:rsid w:val="000A3891"/>
    <w:rsid w:val="000B0E96"/>
    <w:rsid w:val="000B1278"/>
    <w:rsid w:val="000B2B03"/>
    <w:rsid w:val="000B7B52"/>
    <w:rsid w:val="000C252F"/>
    <w:rsid w:val="000C65CA"/>
    <w:rsid w:val="000C66AB"/>
    <w:rsid w:val="000D000B"/>
    <w:rsid w:val="000D5198"/>
    <w:rsid w:val="000D5977"/>
    <w:rsid w:val="000D5AD9"/>
    <w:rsid w:val="000D5F67"/>
    <w:rsid w:val="000D70AA"/>
    <w:rsid w:val="000E16D9"/>
    <w:rsid w:val="000E1783"/>
    <w:rsid w:val="000F0C5E"/>
    <w:rsid w:val="000F0DA7"/>
    <w:rsid w:val="000F390B"/>
    <w:rsid w:val="000F3A54"/>
    <w:rsid w:val="000F48FC"/>
    <w:rsid w:val="000F6F7B"/>
    <w:rsid w:val="000F7622"/>
    <w:rsid w:val="001051F5"/>
    <w:rsid w:val="00105DC5"/>
    <w:rsid w:val="001068EF"/>
    <w:rsid w:val="00111E7B"/>
    <w:rsid w:val="00112DCE"/>
    <w:rsid w:val="00113A8F"/>
    <w:rsid w:val="00117FAB"/>
    <w:rsid w:val="00121F5C"/>
    <w:rsid w:val="0012337E"/>
    <w:rsid w:val="001271E1"/>
    <w:rsid w:val="001275EF"/>
    <w:rsid w:val="00127995"/>
    <w:rsid w:val="00133D32"/>
    <w:rsid w:val="00135811"/>
    <w:rsid w:val="00136300"/>
    <w:rsid w:val="00136418"/>
    <w:rsid w:val="001448F8"/>
    <w:rsid w:val="00150109"/>
    <w:rsid w:val="00160DFA"/>
    <w:rsid w:val="00162283"/>
    <w:rsid w:val="001645E2"/>
    <w:rsid w:val="00165630"/>
    <w:rsid w:val="00172821"/>
    <w:rsid w:val="00173653"/>
    <w:rsid w:val="001747A2"/>
    <w:rsid w:val="00176AA7"/>
    <w:rsid w:val="001772DF"/>
    <w:rsid w:val="00177824"/>
    <w:rsid w:val="00177A8B"/>
    <w:rsid w:val="00181142"/>
    <w:rsid w:val="00183550"/>
    <w:rsid w:val="00184288"/>
    <w:rsid w:val="0018441C"/>
    <w:rsid w:val="00184B9D"/>
    <w:rsid w:val="001850F8"/>
    <w:rsid w:val="00194693"/>
    <w:rsid w:val="001969CF"/>
    <w:rsid w:val="001A2202"/>
    <w:rsid w:val="001A3C00"/>
    <w:rsid w:val="001A3C04"/>
    <w:rsid w:val="001A5FA3"/>
    <w:rsid w:val="001B6018"/>
    <w:rsid w:val="001B74DE"/>
    <w:rsid w:val="001B7B91"/>
    <w:rsid w:val="001B7F04"/>
    <w:rsid w:val="001C3576"/>
    <w:rsid w:val="001C5882"/>
    <w:rsid w:val="001C744E"/>
    <w:rsid w:val="001C74E0"/>
    <w:rsid w:val="001D051A"/>
    <w:rsid w:val="001E12C1"/>
    <w:rsid w:val="001E16E6"/>
    <w:rsid w:val="001E4482"/>
    <w:rsid w:val="001E6598"/>
    <w:rsid w:val="001E6FBD"/>
    <w:rsid w:val="001E7D38"/>
    <w:rsid w:val="001F4029"/>
    <w:rsid w:val="001F40AF"/>
    <w:rsid w:val="001F4132"/>
    <w:rsid w:val="001F7825"/>
    <w:rsid w:val="0020067B"/>
    <w:rsid w:val="002006D4"/>
    <w:rsid w:val="00200A37"/>
    <w:rsid w:val="00201052"/>
    <w:rsid w:val="00201680"/>
    <w:rsid w:val="00204499"/>
    <w:rsid w:val="002054C5"/>
    <w:rsid w:val="0021213D"/>
    <w:rsid w:val="002133F6"/>
    <w:rsid w:val="00213FF6"/>
    <w:rsid w:val="002144AD"/>
    <w:rsid w:val="00214C0A"/>
    <w:rsid w:val="00214FD3"/>
    <w:rsid w:val="0021570B"/>
    <w:rsid w:val="00215C3C"/>
    <w:rsid w:val="00217D56"/>
    <w:rsid w:val="00217EC2"/>
    <w:rsid w:val="00221ED2"/>
    <w:rsid w:val="00222172"/>
    <w:rsid w:val="0022543F"/>
    <w:rsid w:val="00226DC2"/>
    <w:rsid w:val="00227820"/>
    <w:rsid w:val="00230129"/>
    <w:rsid w:val="00231AAC"/>
    <w:rsid w:val="0023318D"/>
    <w:rsid w:val="002342C3"/>
    <w:rsid w:val="0023790F"/>
    <w:rsid w:val="0024009F"/>
    <w:rsid w:val="0024133A"/>
    <w:rsid w:val="00242225"/>
    <w:rsid w:val="00244733"/>
    <w:rsid w:val="00247A8A"/>
    <w:rsid w:val="00251B83"/>
    <w:rsid w:val="00253A10"/>
    <w:rsid w:val="00254D9A"/>
    <w:rsid w:val="0025529C"/>
    <w:rsid w:val="00255C9C"/>
    <w:rsid w:val="0025623B"/>
    <w:rsid w:val="00257319"/>
    <w:rsid w:val="0025780C"/>
    <w:rsid w:val="00260CCC"/>
    <w:rsid w:val="002610A9"/>
    <w:rsid w:val="00262160"/>
    <w:rsid w:val="00264E66"/>
    <w:rsid w:val="002657A9"/>
    <w:rsid w:val="00271A92"/>
    <w:rsid w:val="00273709"/>
    <w:rsid w:val="002804D3"/>
    <w:rsid w:val="0028099D"/>
    <w:rsid w:val="00280F98"/>
    <w:rsid w:val="002830AE"/>
    <w:rsid w:val="00283C64"/>
    <w:rsid w:val="00285C34"/>
    <w:rsid w:val="00290695"/>
    <w:rsid w:val="00290C23"/>
    <w:rsid w:val="00290CE2"/>
    <w:rsid w:val="00292350"/>
    <w:rsid w:val="00295C7E"/>
    <w:rsid w:val="002968DB"/>
    <w:rsid w:val="00296FFE"/>
    <w:rsid w:val="00297E73"/>
    <w:rsid w:val="002A37EC"/>
    <w:rsid w:val="002A562D"/>
    <w:rsid w:val="002B0C02"/>
    <w:rsid w:val="002B136A"/>
    <w:rsid w:val="002B2125"/>
    <w:rsid w:val="002B27E9"/>
    <w:rsid w:val="002B64FA"/>
    <w:rsid w:val="002C143E"/>
    <w:rsid w:val="002C457F"/>
    <w:rsid w:val="002C57DB"/>
    <w:rsid w:val="002D2476"/>
    <w:rsid w:val="002D2956"/>
    <w:rsid w:val="002D2A16"/>
    <w:rsid w:val="002D61A2"/>
    <w:rsid w:val="002E0281"/>
    <w:rsid w:val="002E0B88"/>
    <w:rsid w:val="002E5F6D"/>
    <w:rsid w:val="002E7C68"/>
    <w:rsid w:val="002F0906"/>
    <w:rsid w:val="002F1323"/>
    <w:rsid w:val="002F2A5C"/>
    <w:rsid w:val="003052DA"/>
    <w:rsid w:val="00306222"/>
    <w:rsid w:val="00316738"/>
    <w:rsid w:val="00317445"/>
    <w:rsid w:val="003219D4"/>
    <w:rsid w:val="003251D3"/>
    <w:rsid w:val="00327733"/>
    <w:rsid w:val="00327C8E"/>
    <w:rsid w:val="00330C53"/>
    <w:rsid w:val="003313CE"/>
    <w:rsid w:val="00331C1B"/>
    <w:rsid w:val="00331D74"/>
    <w:rsid w:val="00331F9A"/>
    <w:rsid w:val="003342F1"/>
    <w:rsid w:val="00334F31"/>
    <w:rsid w:val="0033590C"/>
    <w:rsid w:val="00335B81"/>
    <w:rsid w:val="00336B83"/>
    <w:rsid w:val="00336F11"/>
    <w:rsid w:val="00342855"/>
    <w:rsid w:val="003449A0"/>
    <w:rsid w:val="00344F6F"/>
    <w:rsid w:val="003452BE"/>
    <w:rsid w:val="00346F1B"/>
    <w:rsid w:val="0034710E"/>
    <w:rsid w:val="00353D68"/>
    <w:rsid w:val="003556BF"/>
    <w:rsid w:val="00356541"/>
    <w:rsid w:val="0036078B"/>
    <w:rsid w:val="00362AB6"/>
    <w:rsid w:val="003636FF"/>
    <w:rsid w:val="00364296"/>
    <w:rsid w:val="00366D91"/>
    <w:rsid w:val="00370EEE"/>
    <w:rsid w:val="003715E4"/>
    <w:rsid w:val="00374F07"/>
    <w:rsid w:val="0038270F"/>
    <w:rsid w:val="0038439E"/>
    <w:rsid w:val="00387C0C"/>
    <w:rsid w:val="00387F29"/>
    <w:rsid w:val="00391034"/>
    <w:rsid w:val="00391D83"/>
    <w:rsid w:val="0039283A"/>
    <w:rsid w:val="00393053"/>
    <w:rsid w:val="00393526"/>
    <w:rsid w:val="00393766"/>
    <w:rsid w:val="0039389A"/>
    <w:rsid w:val="00395467"/>
    <w:rsid w:val="00396A04"/>
    <w:rsid w:val="003A52F2"/>
    <w:rsid w:val="003A5CE9"/>
    <w:rsid w:val="003A5E4B"/>
    <w:rsid w:val="003B134E"/>
    <w:rsid w:val="003B2C50"/>
    <w:rsid w:val="003B4147"/>
    <w:rsid w:val="003B4453"/>
    <w:rsid w:val="003B7AC9"/>
    <w:rsid w:val="003C1063"/>
    <w:rsid w:val="003C4101"/>
    <w:rsid w:val="003C5381"/>
    <w:rsid w:val="003C5D18"/>
    <w:rsid w:val="003C7C73"/>
    <w:rsid w:val="003D1EEC"/>
    <w:rsid w:val="003D5E4E"/>
    <w:rsid w:val="003D65DB"/>
    <w:rsid w:val="003E12C3"/>
    <w:rsid w:val="003E2932"/>
    <w:rsid w:val="003E2D73"/>
    <w:rsid w:val="003E643B"/>
    <w:rsid w:val="003E6D42"/>
    <w:rsid w:val="003F02DC"/>
    <w:rsid w:val="003F0C82"/>
    <w:rsid w:val="003F2104"/>
    <w:rsid w:val="003F29B8"/>
    <w:rsid w:val="003F373B"/>
    <w:rsid w:val="003F4CD1"/>
    <w:rsid w:val="003F604C"/>
    <w:rsid w:val="003F788A"/>
    <w:rsid w:val="00401B71"/>
    <w:rsid w:val="0040528B"/>
    <w:rsid w:val="00405905"/>
    <w:rsid w:val="00410350"/>
    <w:rsid w:val="00410547"/>
    <w:rsid w:val="00413AF3"/>
    <w:rsid w:val="004154E2"/>
    <w:rsid w:val="00421396"/>
    <w:rsid w:val="00422C04"/>
    <w:rsid w:val="0042330E"/>
    <w:rsid w:val="00424113"/>
    <w:rsid w:val="00425CBA"/>
    <w:rsid w:val="00432589"/>
    <w:rsid w:val="004354BB"/>
    <w:rsid w:val="004359DF"/>
    <w:rsid w:val="00441CAD"/>
    <w:rsid w:val="004508B7"/>
    <w:rsid w:val="00455AAF"/>
    <w:rsid w:val="00465FEE"/>
    <w:rsid w:val="00466320"/>
    <w:rsid w:val="00466AC2"/>
    <w:rsid w:val="00470DBC"/>
    <w:rsid w:val="00471437"/>
    <w:rsid w:val="00471D50"/>
    <w:rsid w:val="004727E0"/>
    <w:rsid w:val="00494357"/>
    <w:rsid w:val="004A1076"/>
    <w:rsid w:val="004A3CFC"/>
    <w:rsid w:val="004A452F"/>
    <w:rsid w:val="004A46B7"/>
    <w:rsid w:val="004B0BFE"/>
    <w:rsid w:val="004B345E"/>
    <w:rsid w:val="004B7BFA"/>
    <w:rsid w:val="004C596D"/>
    <w:rsid w:val="004D22F8"/>
    <w:rsid w:val="004D2648"/>
    <w:rsid w:val="004D2C18"/>
    <w:rsid w:val="004D4273"/>
    <w:rsid w:val="004D4B5D"/>
    <w:rsid w:val="004D7B05"/>
    <w:rsid w:val="004D7BB5"/>
    <w:rsid w:val="004E3535"/>
    <w:rsid w:val="004E6214"/>
    <w:rsid w:val="004F0D84"/>
    <w:rsid w:val="004F4487"/>
    <w:rsid w:val="004F5DE8"/>
    <w:rsid w:val="004F72EE"/>
    <w:rsid w:val="004F7AE5"/>
    <w:rsid w:val="00500EE9"/>
    <w:rsid w:val="00504D8F"/>
    <w:rsid w:val="00505099"/>
    <w:rsid w:val="005056D9"/>
    <w:rsid w:val="0051148F"/>
    <w:rsid w:val="00513A09"/>
    <w:rsid w:val="00514F18"/>
    <w:rsid w:val="0051579B"/>
    <w:rsid w:val="005170C4"/>
    <w:rsid w:val="0052385F"/>
    <w:rsid w:val="005261C7"/>
    <w:rsid w:val="005316B6"/>
    <w:rsid w:val="005347AD"/>
    <w:rsid w:val="00534B77"/>
    <w:rsid w:val="00534D53"/>
    <w:rsid w:val="005351A4"/>
    <w:rsid w:val="00544AF8"/>
    <w:rsid w:val="00545F28"/>
    <w:rsid w:val="005511AB"/>
    <w:rsid w:val="00553250"/>
    <w:rsid w:val="00553B25"/>
    <w:rsid w:val="00554E62"/>
    <w:rsid w:val="00555C58"/>
    <w:rsid w:val="00563043"/>
    <w:rsid w:val="00563327"/>
    <w:rsid w:val="00563CAE"/>
    <w:rsid w:val="0057142B"/>
    <w:rsid w:val="00571445"/>
    <w:rsid w:val="00572A1B"/>
    <w:rsid w:val="00572BD4"/>
    <w:rsid w:val="00576869"/>
    <w:rsid w:val="00576FD8"/>
    <w:rsid w:val="00580907"/>
    <w:rsid w:val="00580D72"/>
    <w:rsid w:val="00582A32"/>
    <w:rsid w:val="005910A0"/>
    <w:rsid w:val="0059182D"/>
    <w:rsid w:val="00597332"/>
    <w:rsid w:val="005A11AF"/>
    <w:rsid w:val="005A1494"/>
    <w:rsid w:val="005A2C40"/>
    <w:rsid w:val="005A4BDA"/>
    <w:rsid w:val="005A665E"/>
    <w:rsid w:val="005B0428"/>
    <w:rsid w:val="005B589A"/>
    <w:rsid w:val="005B734F"/>
    <w:rsid w:val="005B79CC"/>
    <w:rsid w:val="005C22C3"/>
    <w:rsid w:val="005C7B90"/>
    <w:rsid w:val="005D03A6"/>
    <w:rsid w:val="005D1AE8"/>
    <w:rsid w:val="005D46A1"/>
    <w:rsid w:val="005D7053"/>
    <w:rsid w:val="005D718F"/>
    <w:rsid w:val="005D7A94"/>
    <w:rsid w:val="005E0B8E"/>
    <w:rsid w:val="005E0E9D"/>
    <w:rsid w:val="005E1336"/>
    <w:rsid w:val="005E1973"/>
    <w:rsid w:val="005E3B43"/>
    <w:rsid w:val="005E55B6"/>
    <w:rsid w:val="005E7E7C"/>
    <w:rsid w:val="005F2B66"/>
    <w:rsid w:val="005F2D43"/>
    <w:rsid w:val="005F4400"/>
    <w:rsid w:val="005F4704"/>
    <w:rsid w:val="00600F27"/>
    <w:rsid w:val="00600F55"/>
    <w:rsid w:val="00603189"/>
    <w:rsid w:val="0060500B"/>
    <w:rsid w:val="00605462"/>
    <w:rsid w:val="006079E7"/>
    <w:rsid w:val="006102A4"/>
    <w:rsid w:val="00614929"/>
    <w:rsid w:val="00614ADE"/>
    <w:rsid w:val="00614B78"/>
    <w:rsid w:val="006153AA"/>
    <w:rsid w:val="00623B15"/>
    <w:rsid w:val="00631B9F"/>
    <w:rsid w:val="00633755"/>
    <w:rsid w:val="00635FED"/>
    <w:rsid w:val="00642605"/>
    <w:rsid w:val="00643B3D"/>
    <w:rsid w:val="00646611"/>
    <w:rsid w:val="00646885"/>
    <w:rsid w:val="00647196"/>
    <w:rsid w:val="00647C2F"/>
    <w:rsid w:val="00650E13"/>
    <w:rsid w:val="006568D3"/>
    <w:rsid w:val="00661C31"/>
    <w:rsid w:val="00662EB7"/>
    <w:rsid w:val="00662F0F"/>
    <w:rsid w:val="00664956"/>
    <w:rsid w:val="006652FC"/>
    <w:rsid w:val="00666C33"/>
    <w:rsid w:val="00670358"/>
    <w:rsid w:val="0067135E"/>
    <w:rsid w:val="00676428"/>
    <w:rsid w:val="00677B67"/>
    <w:rsid w:val="0068069F"/>
    <w:rsid w:val="00680A20"/>
    <w:rsid w:val="00680F04"/>
    <w:rsid w:val="00681ABC"/>
    <w:rsid w:val="006861B7"/>
    <w:rsid w:val="0068653F"/>
    <w:rsid w:val="00686870"/>
    <w:rsid w:val="006871DA"/>
    <w:rsid w:val="0068758D"/>
    <w:rsid w:val="00691F43"/>
    <w:rsid w:val="00694B7E"/>
    <w:rsid w:val="00696BBF"/>
    <w:rsid w:val="00697B4A"/>
    <w:rsid w:val="006A179B"/>
    <w:rsid w:val="006A5FB6"/>
    <w:rsid w:val="006B17B5"/>
    <w:rsid w:val="006B297D"/>
    <w:rsid w:val="006B4FAD"/>
    <w:rsid w:val="006B5449"/>
    <w:rsid w:val="006B5DD1"/>
    <w:rsid w:val="006B74DA"/>
    <w:rsid w:val="006B7F6A"/>
    <w:rsid w:val="006C175E"/>
    <w:rsid w:val="006C63C4"/>
    <w:rsid w:val="006D0A4C"/>
    <w:rsid w:val="006D2ABC"/>
    <w:rsid w:val="006E26EF"/>
    <w:rsid w:val="006E2E47"/>
    <w:rsid w:val="006E5954"/>
    <w:rsid w:val="006F2E39"/>
    <w:rsid w:val="00700AFE"/>
    <w:rsid w:val="007033D8"/>
    <w:rsid w:val="00703BE7"/>
    <w:rsid w:val="00703C4E"/>
    <w:rsid w:val="00704273"/>
    <w:rsid w:val="00707B7D"/>
    <w:rsid w:val="00710B7F"/>
    <w:rsid w:val="007115E1"/>
    <w:rsid w:val="007144B7"/>
    <w:rsid w:val="00715978"/>
    <w:rsid w:val="00715F8E"/>
    <w:rsid w:val="00721CC1"/>
    <w:rsid w:val="0072708A"/>
    <w:rsid w:val="00733A99"/>
    <w:rsid w:val="00734EA9"/>
    <w:rsid w:val="007411FE"/>
    <w:rsid w:val="0074173B"/>
    <w:rsid w:val="00743D9F"/>
    <w:rsid w:val="00744DDA"/>
    <w:rsid w:val="00744F22"/>
    <w:rsid w:val="00745A0A"/>
    <w:rsid w:val="00750161"/>
    <w:rsid w:val="00750AF4"/>
    <w:rsid w:val="00751A7A"/>
    <w:rsid w:val="007521DB"/>
    <w:rsid w:val="00753F77"/>
    <w:rsid w:val="007557AE"/>
    <w:rsid w:val="00760C39"/>
    <w:rsid w:val="0076178C"/>
    <w:rsid w:val="00766150"/>
    <w:rsid w:val="00767DE1"/>
    <w:rsid w:val="007703DE"/>
    <w:rsid w:val="00770A67"/>
    <w:rsid w:val="00771500"/>
    <w:rsid w:val="00773156"/>
    <w:rsid w:val="00773964"/>
    <w:rsid w:val="00774810"/>
    <w:rsid w:val="00775430"/>
    <w:rsid w:val="007756AB"/>
    <w:rsid w:val="007763E6"/>
    <w:rsid w:val="00782655"/>
    <w:rsid w:val="00787AAA"/>
    <w:rsid w:val="0079299E"/>
    <w:rsid w:val="00796FAB"/>
    <w:rsid w:val="007A2006"/>
    <w:rsid w:val="007A24B7"/>
    <w:rsid w:val="007A6801"/>
    <w:rsid w:val="007A6969"/>
    <w:rsid w:val="007A7C9C"/>
    <w:rsid w:val="007B29EA"/>
    <w:rsid w:val="007B7FD5"/>
    <w:rsid w:val="007C085C"/>
    <w:rsid w:val="007C2F74"/>
    <w:rsid w:val="007C6422"/>
    <w:rsid w:val="007C648A"/>
    <w:rsid w:val="007D0CDF"/>
    <w:rsid w:val="007D4DB4"/>
    <w:rsid w:val="007E0EFE"/>
    <w:rsid w:val="007E18B6"/>
    <w:rsid w:val="007E3F8F"/>
    <w:rsid w:val="007E56DF"/>
    <w:rsid w:val="007E5CEB"/>
    <w:rsid w:val="007F2A45"/>
    <w:rsid w:val="007F3821"/>
    <w:rsid w:val="007F397B"/>
    <w:rsid w:val="00801E41"/>
    <w:rsid w:val="00804B2E"/>
    <w:rsid w:val="008050FD"/>
    <w:rsid w:val="00806BAE"/>
    <w:rsid w:val="0081062C"/>
    <w:rsid w:val="008109F8"/>
    <w:rsid w:val="008129A5"/>
    <w:rsid w:val="008130B1"/>
    <w:rsid w:val="00813170"/>
    <w:rsid w:val="00815BBE"/>
    <w:rsid w:val="00817230"/>
    <w:rsid w:val="008204B4"/>
    <w:rsid w:val="00820CF3"/>
    <w:rsid w:val="00824053"/>
    <w:rsid w:val="00826714"/>
    <w:rsid w:val="0083083E"/>
    <w:rsid w:val="00834231"/>
    <w:rsid w:val="008342B5"/>
    <w:rsid w:val="0083468C"/>
    <w:rsid w:val="00837991"/>
    <w:rsid w:val="00837E37"/>
    <w:rsid w:val="0084013A"/>
    <w:rsid w:val="00840F96"/>
    <w:rsid w:val="008413D5"/>
    <w:rsid w:val="00843773"/>
    <w:rsid w:val="00843B8C"/>
    <w:rsid w:val="008440ED"/>
    <w:rsid w:val="00844E96"/>
    <w:rsid w:val="008451A3"/>
    <w:rsid w:val="008451A6"/>
    <w:rsid w:val="008469B0"/>
    <w:rsid w:val="00847423"/>
    <w:rsid w:val="00847678"/>
    <w:rsid w:val="00850A8C"/>
    <w:rsid w:val="00854610"/>
    <w:rsid w:val="00855796"/>
    <w:rsid w:val="0085753B"/>
    <w:rsid w:val="00860751"/>
    <w:rsid w:val="0086146A"/>
    <w:rsid w:val="00866778"/>
    <w:rsid w:val="00870C23"/>
    <w:rsid w:val="00870DED"/>
    <w:rsid w:val="00871BEC"/>
    <w:rsid w:val="00872FC4"/>
    <w:rsid w:val="00873B6A"/>
    <w:rsid w:val="0087477B"/>
    <w:rsid w:val="00875A04"/>
    <w:rsid w:val="0087733E"/>
    <w:rsid w:val="0088118F"/>
    <w:rsid w:val="00883371"/>
    <w:rsid w:val="008837F9"/>
    <w:rsid w:val="008841D0"/>
    <w:rsid w:val="00885C12"/>
    <w:rsid w:val="00885E8C"/>
    <w:rsid w:val="0088640A"/>
    <w:rsid w:val="00891AFD"/>
    <w:rsid w:val="00892EE8"/>
    <w:rsid w:val="008969BF"/>
    <w:rsid w:val="008A085C"/>
    <w:rsid w:val="008A421E"/>
    <w:rsid w:val="008A62C0"/>
    <w:rsid w:val="008A649A"/>
    <w:rsid w:val="008A7450"/>
    <w:rsid w:val="008B056D"/>
    <w:rsid w:val="008B1C85"/>
    <w:rsid w:val="008B2E33"/>
    <w:rsid w:val="008B4395"/>
    <w:rsid w:val="008C2B9D"/>
    <w:rsid w:val="008C3B4E"/>
    <w:rsid w:val="008C3D2D"/>
    <w:rsid w:val="008C655B"/>
    <w:rsid w:val="008D1CD2"/>
    <w:rsid w:val="008D250D"/>
    <w:rsid w:val="008D3C11"/>
    <w:rsid w:val="008D6DE8"/>
    <w:rsid w:val="008D71A7"/>
    <w:rsid w:val="008E21DE"/>
    <w:rsid w:val="008E33BB"/>
    <w:rsid w:val="008E4F6C"/>
    <w:rsid w:val="008E5084"/>
    <w:rsid w:val="008E714B"/>
    <w:rsid w:val="008F15DD"/>
    <w:rsid w:val="008F3590"/>
    <w:rsid w:val="008F6A38"/>
    <w:rsid w:val="00911996"/>
    <w:rsid w:val="00911C42"/>
    <w:rsid w:val="009166F0"/>
    <w:rsid w:val="00916714"/>
    <w:rsid w:val="0091753F"/>
    <w:rsid w:val="009219DD"/>
    <w:rsid w:val="00922C31"/>
    <w:rsid w:val="00923E84"/>
    <w:rsid w:val="0092464B"/>
    <w:rsid w:val="0092501F"/>
    <w:rsid w:val="0092679E"/>
    <w:rsid w:val="009301DC"/>
    <w:rsid w:val="00934FDC"/>
    <w:rsid w:val="009363B1"/>
    <w:rsid w:val="00936944"/>
    <w:rsid w:val="00942E6F"/>
    <w:rsid w:val="00945EBF"/>
    <w:rsid w:val="0094606A"/>
    <w:rsid w:val="00946567"/>
    <w:rsid w:val="009466D6"/>
    <w:rsid w:val="0094694E"/>
    <w:rsid w:val="009523EA"/>
    <w:rsid w:val="00954F65"/>
    <w:rsid w:val="009563F1"/>
    <w:rsid w:val="00960FE2"/>
    <w:rsid w:val="009615B1"/>
    <w:rsid w:val="00963306"/>
    <w:rsid w:val="0096396E"/>
    <w:rsid w:val="009645E9"/>
    <w:rsid w:val="00964FA1"/>
    <w:rsid w:val="00965458"/>
    <w:rsid w:val="009655AB"/>
    <w:rsid w:val="0096603C"/>
    <w:rsid w:val="0097051C"/>
    <w:rsid w:val="00972219"/>
    <w:rsid w:val="009811C1"/>
    <w:rsid w:val="009861A4"/>
    <w:rsid w:val="00997D1B"/>
    <w:rsid w:val="009A1CF7"/>
    <w:rsid w:val="009A2D66"/>
    <w:rsid w:val="009A3824"/>
    <w:rsid w:val="009A3C07"/>
    <w:rsid w:val="009A516A"/>
    <w:rsid w:val="009B2073"/>
    <w:rsid w:val="009B49CB"/>
    <w:rsid w:val="009C08F6"/>
    <w:rsid w:val="009C2C33"/>
    <w:rsid w:val="009C43DE"/>
    <w:rsid w:val="009C6D33"/>
    <w:rsid w:val="009C78AD"/>
    <w:rsid w:val="009D10A9"/>
    <w:rsid w:val="009D3394"/>
    <w:rsid w:val="009D3E01"/>
    <w:rsid w:val="009D7160"/>
    <w:rsid w:val="009E185F"/>
    <w:rsid w:val="009E2937"/>
    <w:rsid w:val="009E4593"/>
    <w:rsid w:val="009E7303"/>
    <w:rsid w:val="009E74C9"/>
    <w:rsid w:val="009E7CA0"/>
    <w:rsid w:val="009F0B9A"/>
    <w:rsid w:val="009F3333"/>
    <w:rsid w:val="00A009B0"/>
    <w:rsid w:val="00A06C26"/>
    <w:rsid w:val="00A07E16"/>
    <w:rsid w:val="00A07E4A"/>
    <w:rsid w:val="00A1197B"/>
    <w:rsid w:val="00A14BBA"/>
    <w:rsid w:val="00A164DF"/>
    <w:rsid w:val="00A21F1C"/>
    <w:rsid w:val="00A22DC6"/>
    <w:rsid w:val="00A30A5F"/>
    <w:rsid w:val="00A35019"/>
    <w:rsid w:val="00A37072"/>
    <w:rsid w:val="00A42527"/>
    <w:rsid w:val="00A44A96"/>
    <w:rsid w:val="00A45B7E"/>
    <w:rsid w:val="00A466A4"/>
    <w:rsid w:val="00A46D1B"/>
    <w:rsid w:val="00A4714F"/>
    <w:rsid w:val="00A4740A"/>
    <w:rsid w:val="00A51171"/>
    <w:rsid w:val="00A5330E"/>
    <w:rsid w:val="00A53FB4"/>
    <w:rsid w:val="00A54F9C"/>
    <w:rsid w:val="00A55691"/>
    <w:rsid w:val="00A60009"/>
    <w:rsid w:val="00A612E5"/>
    <w:rsid w:val="00A6147B"/>
    <w:rsid w:val="00A7006C"/>
    <w:rsid w:val="00A7008A"/>
    <w:rsid w:val="00A7378E"/>
    <w:rsid w:val="00A73814"/>
    <w:rsid w:val="00A8207D"/>
    <w:rsid w:val="00A84C25"/>
    <w:rsid w:val="00A92E7E"/>
    <w:rsid w:val="00A93442"/>
    <w:rsid w:val="00A977A9"/>
    <w:rsid w:val="00AA094B"/>
    <w:rsid w:val="00AA20EF"/>
    <w:rsid w:val="00AA3349"/>
    <w:rsid w:val="00AB0D2C"/>
    <w:rsid w:val="00AB12D5"/>
    <w:rsid w:val="00AB19BC"/>
    <w:rsid w:val="00AB212E"/>
    <w:rsid w:val="00AB2AC1"/>
    <w:rsid w:val="00AB572B"/>
    <w:rsid w:val="00AB6551"/>
    <w:rsid w:val="00AB65A2"/>
    <w:rsid w:val="00AC3784"/>
    <w:rsid w:val="00AD013E"/>
    <w:rsid w:val="00AD3024"/>
    <w:rsid w:val="00AD37EE"/>
    <w:rsid w:val="00AD476B"/>
    <w:rsid w:val="00AD735D"/>
    <w:rsid w:val="00AE2C3D"/>
    <w:rsid w:val="00AE45F8"/>
    <w:rsid w:val="00AE52F4"/>
    <w:rsid w:val="00AE5A7C"/>
    <w:rsid w:val="00AE68CE"/>
    <w:rsid w:val="00AE6F93"/>
    <w:rsid w:val="00AF0899"/>
    <w:rsid w:val="00AF15BF"/>
    <w:rsid w:val="00AF2771"/>
    <w:rsid w:val="00AF5678"/>
    <w:rsid w:val="00AF6407"/>
    <w:rsid w:val="00B00E7A"/>
    <w:rsid w:val="00B025D1"/>
    <w:rsid w:val="00B032A0"/>
    <w:rsid w:val="00B05AA9"/>
    <w:rsid w:val="00B06D6B"/>
    <w:rsid w:val="00B10016"/>
    <w:rsid w:val="00B10A52"/>
    <w:rsid w:val="00B1630F"/>
    <w:rsid w:val="00B219C2"/>
    <w:rsid w:val="00B3034E"/>
    <w:rsid w:val="00B3114E"/>
    <w:rsid w:val="00B32993"/>
    <w:rsid w:val="00B33548"/>
    <w:rsid w:val="00B347D7"/>
    <w:rsid w:val="00B35BDF"/>
    <w:rsid w:val="00B35DE1"/>
    <w:rsid w:val="00B4056A"/>
    <w:rsid w:val="00B43C31"/>
    <w:rsid w:val="00B55A04"/>
    <w:rsid w:val="00B560B8"/>
    <w:rsid w:val="00B603C0"/>
    <w:rsid w:val="00B60B59"/>
    <w:rsid w:val="00B60E5A"/>
    <w:rsid w:val="00B6158B"/>
    <w:rsid w:val="00B61E6E"/>
    <w:rsid w:val="00B61EBD"/>
    <w:rsid w:val="00B6246F"/>
    <w:rsid w:val="00B70F5F"/>
    <w:rsid w:val="00B7426E"/>
    <w:rsid w:val="00B75AC9"/>
    <w:rsid w:val="00B75BEB"/>
    <w:rsid w:val="00B75FE3"/>
    <w:rsid w:val="00B80518"/>
    <w:rsid w:val="00B81CB5"/>
    <w:rsid w:val="00B83AB4"/>
    <w:rsid w:val="00B84957"/>
    <w:rsid w:val="00B93B8D"/>
    <w:rsid w:val="00B951D2"/>
    <w:rsid w:val="00B956DF"/>
    <w:rsid w:val="00B9572B"/>
    <w:rsid w:val="00BA0486"/>
    <w:rsid w:val="00BA1080"/>
    <w:rsid w:val="00BA79A1"/>
    <w:rsid w:val="00BC1E5E"/>
    <w:rsid w:val="00BC20FF"/>
    <w:rsid w:val="00BC5DC4"/>
    <w:rsid w:val="00BC6E49"/>
    <w:rsid w:val="00BC7139"/>
    <w:rsid w:val="00BD055E"/>
    <w:rsid w:val="00BD18B5"/>
    <w:rsid w:val="00BD3049"/>
    <w:rsid w:val="00BD397F"/>
    <w:rsid w:val="00BD52D6"/>
    <w:rsid w:val="00BD5D47"/>
    <w:rsid w:val="00BE0B23"/>
    <w:rsid w:val="00BE1246"/>
    <w:rsid w:val="00BE20D0"/>
    <w:rsid w:val="00BF3E9B"/>
    <w:rsid w:val="00C01570"/>
    <w:rsid w:val="00C0421C"/>
    <w:rsid w:val="00C0667E"/>
    <w:rsid w:val="00C10037"/>
    <w:rsid w:val="00C10202"/>
    <w:rsid w:val="00C112AE"/>
    <w:rsid w:val="00C1165C"/>
    <w:rsid w:val="00C12178"/>
    <w:rsid w:val="00C126A9"/>
    <w:rsid w:val="00C2079E"/>
    <w:rsid w:val="00C21944"/>
    <w:rsid w:val="00C33052"/>
    <w:rsid w:val="00C34598"/>
    <w:rsid w:val="00C3495D"/>
    <w:rsid w:val="00C35AB6"/>
    <w:rsid w:val="00C40225"/>
    <w:rsid w:val="00C44A90"/>
    <w:rsid w:val="00C45599"/>
    <w:rsid w:val="00C46796"/>
    <w:rsid w:val="00C468FC"/>
    <w:rsid w:val="00C46CFB"/>
    <w:rsid w:val="00C5206B"/>
    <w:rsid w:val="00C52C59"/>
    <w:rsid w:val="00C57B68"/>
    <w:rsid w:val="00C63D6E"/>
    <w:rsid w:val="00C6534A"/>
    <w:rsid w:val="00C6677E"/>
    <w:rsid w:val="00C6683A"/>
    <w:rsid w:val="00C70A2A"/>
    <w:rsid w:val="00C73D74"/>
    <w:rsid w:val="00C85351"/>
    <w:rsid w:val="00C87748"/>
    <w:rsid w:val="00C87B45"/>
    <w:rsid w:val="00C90DF2"/>
    <w:rsid w:val="00C917B6"/>
    <w:rsid w:val="00C92246"/>
    <w:rsid w:val="00C92FAF"/>
    <w:rsid w:val="00C950F1"/>
    <w:rsid w:val="00C97AB2"/>
    <w:rsid w:val="00CA05A2"/>
    <w:rsid w:val="00CA0D47"/>
    <w:rsid w:val="00CA5D22"/>
    <w:rsid w:val="00CB16D1"/>
    <w:rsid w:val="00CB3BEC"/>
    <w:rsid w:val="00CB5CE7"/>
    <w:rsid w:val="00CB7965"/>
    <w:rsid w:val="00CC1920"/>
    <w:rsid w:val="00CC1C52"/>
    <w:rsid w:val="00CC2B38"/>
    <w:rsid w:val="00CC36B5"/>
    <w:rsid w:val="00CC72AA"/>
    <w:rsid w:val="00CC7D26"/>
    <w:rsid w:val="00CD18A0"/>
    <w:rsid w:val="00CD56D6"/>
    <w:rsid w:val="00CE1038"/>
    <w:rsid w:val="00CE4DAF"/>
    <w:rsid w:val="00CF125A"/>
    <w:rsid w:val="00CF217E"/>
    <w:rsid w:val="00CF31AB"/>
    <w:rsid w:val="00CF5641"/>
    <w:rsid w:val="00D012F6"/>
    <w:rsid w:val="00D01D3F"/>
    <w:rsid w:val="00D03369"/>
    <w:rsid w:val="00D06561"/>
    <w:rsid w:val="00D12887"/>
    <w:rsid w:val="00D1764B"/>
    <w:rsid w:val="00D20E76"/>
    <w:rsid w:val="00D2172F"/>
    <w:rsid w:val="00D22AED"/>
    <w:rsid w:val="00D25B7E"/>
    <w:rsid w:val="00D4215F"/>
    <w:rsid w:val="00D46BA1"/>
    <w:rsid w:val="00D51972"/>
    <w:rsid w:val="00D520DF"/>
    <w:rsid w:val="00D52C8A"/>
    <w:rsid w:val="00D53523"/>
    <w:rsid w:val="00D53CE6"/>
    <w:rsid w:val="00D56D7F"/>
    <w:rsid w:val="00D570D3"/>
    <w:rsid w:val="00D61E0F"/>
    <w:rsid w:val="00D654DF"/>
    <w:rsid w:val="00D65DFC"/>
    <w:rsid w:val="00D66BC1"/>
    <w:rsid w:val="00D7393E"/>
    <w:rsid w:val="00D7453E"/>
    <w:rsid w:val="00D776D4"/>
    <w:rsid w:val="00D8004C"/>
    <w:rsid w:val="00D8524B"/>
    <w:rsid w:val="00D87F7C"/>
    <w:rsid w:val="00D9090B"/>
    <w:rsid w:val="00DA409F"/>
    <w:rsid w:val="00DA4E63"/>
    <w:rsid w:val="00DA6E86"/>
    <w:rsid w:val="00DB1A24"/>
    <w:rsid w:val="00DB3511"/>
    <w:rsid w:val="00DB5F80"/>
    <w:rsid w:val="00DB6518"/>
    <w:rsid w:val="00DC0B23"/>
    <w:rsid w:val="00DC17D1"/>
    <w:rsid w:val="00DC44A2"/>
    <w:rsid w:val="00DC5340"/>
    <w:rsid w:val="00DC63C0"/>
    <w:rsid w:val="00DD1AEE"/>
    <w:rsid w:val="00DD4C58"/>
    <w:rsid w:val="00DD5E02"/>
    <w:rsid w:val="00DE0616"/>
    <w:rsid w:val="00DE22F6"/>
    <w:rsid w:val="00DE33E3"/>
    <w:rsid w:val="00DE6240"/>
    <w:rsid w:val="00DF2390"/>
    <w:rsid w:val="00DF31A0"/>
    <w:rsid w:val="00DF35D0"/>
    <w:rsid w:val="00DF58F9"/>
    <w:rsid w:val="00DF74BA"/>
    <w:rsid w:val="00DF7AC9"/>
    <w:rsid w:val="00DF7E0D"/>
    <w:rsid w:val="00E021F2"/>
    <w:rsid w:val="00E022E2"/>
    <w:rsid w:val="00E04376"/>
    <w:rsid w:val="00E10080"/>
    <w:rsid w:val="00E12A56"/>
    <w:rsid w:val="00E156D6"/>
    <w:rsid w:val="00E167C9"/>
    <w:rsid w:val="00E22CC9"/>
    <w:rsid w:val="00E24ECA"/>
    <w:rsid w:val="00E257A2"/>
    <w:rsid w:val="00E260AC"/>
    <w:rsid w:val="00E309FF"/>
    <w:rsid w:val="00E30DA3"/>
    <w:rsid w:val="00E3238F"/>
    <w:rsid w:val="00E34792"/>
    <w:rsid w:val="00E3647B"/>
    <w:rsid w:val="00E36681"/>
    <w:rsid w:val="00E418F5"/>
    <w:rsid w:val="00E42B58"/>
    <w:rsid w:val="00E434E0"/>
    <w:rsid w:val="00E4373E"/>
    <w:rsid w:val="00E445E4"/>
    <w:rsid w:val="00E45BB0"/>
    <w:rsid w:val="00E47FC4"/>
    <w:rsid w:val="00E50009"/>
    <w:rsid w:val="00E54445"/>
    <w:rsid w:val="00E54F09"/>
    <w:rsid w:val="00E55EB0"/>
    <w:rsid w:val="00E55FA8"/>
    <w:rsid w:val="00E6497B"/>
    <w:rsid w:val="00E707A3"/>
    <w:rsid w:val="00E72548"/>
    <w:rsid w:val="00E74AF8"/>
    <w:rsid w:val="00E76348"/>
    <w:rsid w:val="00E7701D"/>
    <w:rsid w:val="00E82DCA"/>
    <w:rsid w:val="00E845B2"/>
    <w:rsid w:val="00E84BA1"/>
    <w:rsid w:val="00E84E1B"/>
    <w:rsid w:val="00E87D29"/>
    <w:rsid w:val="00E91F20"/>
    <w:rsid w:val="00E924C5"/>
    <w:rsid w:val="00E926EA"/>
    <w:rsid w:val="00E95279"/>
    <w:rsid w:val="00E96794"/>
    <w:rsid w:val="00E97453"/>
    <w:rsid w:val="00EA0412"/>
    <w:rsid w:val="00EA0CD8"/>
    <w:rsid w:val="00EA356E"/>
    <w:rsid w:val="00EA69B7"/>
    <w:rsid w:val="00EB19EE"/>
    <w:rsid w:val="00EB5438"/>
    <w:rsid w:val="00EB7A23"/>
    <w:rsid w:val="00EC1620"/>
    <w:rsid w:val="00EC53E4"/>
    <w:rsid w:val="00EC67E9"/>
    <w:rsid w:val="00ED0971"/>
    <w:rsid w:val="00ED132A"/>
    <w:rsid w:val="00ED2A5D"/>
    <w:rsid w:val="00ED2C83"/>
    <w:rsid w:val="00EE0738"/>
    <w:rsid w:val="00EE737C"/>
    <w:rsid w:val="00EF39B1"/>
    <w:rsid w:val="00EF3BA9"/>
    <w:rsid w:val="00EF3ECF"/>
    <w:rsid w:val="00EF5240"/>
    <w:rsid w:val="00EF73E7"/>
    <w:rsid w:val="00F02409"/>
    <w:rsid w:val="00F03988"/>
    <w:rsid w:val="00F0601D"/>
    <w:rsid w:val="00F10A81"/>
    <w:rsid w:val="00F12321"/>
    <w:rsid w:val="00F209DF"/>
    <w:rsid w:val="00F25E71"/>
    <w:rsid w:val="00F26F9D"/>
    <w:rsid w:val="00F317BD"/>
    <w:rsid w:val="00F33E8A"/>
    <w:rsid w:val="00F34FB7"/>
    <w:rsid w:val="00F36816"/>
    <w:rsid w:val="00F37CD9"/>
    <w:rsid w:val="00F37D90"/>
    <w:rsid w:val="00F41766"/>
    <w:rsid w:val="00F4590B"/>
    <w:rsid w:val="00F46020"/>
    <w:rsid w:val="00F46436"/>
    <w:rsid w:val="00F46889"/>
    <w:rsid w:val="00F5280C"/>
    <w:rsid w:val="00F538D6"/>
    <w:rsid w:val="00F60C90"/>
    <w:rsid w:val="00F67666"/>
    <w:rsid w:val="00F70380"/>
    <w:rsid w:val="00F704CE"/>
    <w:rsid w:val="00F705B5"/>
    <w:rsid w:val="00F70E7F"/>
    <w:rsid w:val="00F71BFF"/>
    <w:rsid w:val="00F71E67"/>
    <w:rsid w:val="00F7471C"/>
    <w:rsid w:val="00F7501E"/>
    <w:rsid w:val="00F770F2"/>
    <w:rsid w:val="00F80537"/>
    <w:rsid w:val="00F80F25"/>
    <w:rsid w:val="00F8639D"/>
    <w:rsid w:val="00F868BB"/>
    <w:rsid w:val="00F90156"/>
    <w:rsid w:val="00F91306"/>
    <w:rsid w:val="00F93136"/>
    <w:rsid w:val="00F9318C"/>
    <w:rsid w:val="00F93CD4"/>
    <w:rsid w:val="00FA198C"/>
    <w:rsid w:val="00FA2AE1"/>
    <w:rsid w:val="00FA544B"/>
    <w:rsid w:val="00FA590A"/>
    <w:rsid w:val="00FA7EC3"/>
    <w:rsid w:val="00FB01CC"/>
    <w:rsid w:val="00FB0E97"/>
    <w:rsid w:val="00FB5BAF"/>
    <w:rsid w:val="00FB686E"/>
    <w:rsid w:val="00FB6FC0"/>
    <w:rsid w:val="00FC4C0B"/>
    <w:rsid w:val="00FC50E8"/>
    <w:rsid w:val="00FC57AE"/>
    <w:rsid w:val="00FD0062"/>
    <w:rsid w:val="00FD66D7"/>
    <w:rsid w:val="00FD6940"/>
    <w:rsid w:val="00FD76EF"/>
    <w:rsid w:val="00FD79DA"/>
    <w:rsid w:val="00FE270F"/>
    <w:rsid w:val="00FE3FDC"/>
    <w:rsid w:val="00FE481D"/>
    <w:rsid w:val="00FE5F1B"/>
    <w:rsid w:val="00FE7842"/>
    <w:rsid w:val="00FF1456"/>
    <w:rsid w:val="00FF4F3D"/>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FB241"/>
  <w15:chartTrackingRefBased/>
  <w15:docId w15:val="{37193BDD-D4D0-459F-B51D-8CDE21E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AF"/>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0D5AD9"/>
    <w:pPr>
      <w:keepNext/>
      <w:keepLines/>
      <w:spacing w:before="360" w:after="12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0D5AD9"/>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link w:val="NoSpacingChar"/>
    <w:uiPriority w:val="1"/>
    <w:unhideWhenUsed/>
    <w:qFormat/>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67135E"/>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67135E"/>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5E0E9D"/>
    <w:pPr>
      <w:spacing w:before="3960"/>
      <w:outlineLvl w:val="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5E0E9D"/>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uiPriority w:val="1"/>
    <w:unhideWhenUsed/>
    <w:qFormat/>
    <w:rsid w:val="00135811"/>
    <w:pPr>
      <w:ind w:left="720"/>
      <w:contextualSpacing/>
    </w:pPr>
  </w:style>
  <w:style w:type="table" w:styleId="PlainTable4">
    <w:name w:val="Plain Table 4"/>
    <w:basedOn w:val="TableNormal"/>
    <w:uiPriority w:val="44"/>
    <w:rsid w:val="00D8004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5">
    <w:name w:val="List Table 6 Colorful Accent 5"/>
    <w:basedOn w:val="TableNormal"/>
    <w:uiPriority w:val="51"/>
    <w:rsid w:val="00D8004C"/>
    <w:pPr>
      <w:spacing w:after="0"/>
    </w:pPr>
    <w:rPr>
      <w:color w:val="618439" w:themeColor="accent5" w:themeShade="BF"/>
    </w:rPr>
    <w:tblPr>
      <w:tblStyleRowBandSize w:val="1"/>
      <w:tblStyleColBandSize w:val="1"/>
      <w:tblBorders>
        <w:top w:val="single" w:sz="4" w:space="0" w:color="83B14C" w:themeColor="accent5"/>
        <w:bottom w:val="single" w:sz="4" w:space="0" w:color="83B14C" w:themeColor="accent5"/>
      </w:tblBorders>
    </w:tblPr>
    <w:tblStylePr w:type="firstRow">
      <w:rPr>
        <w:b/>
        <w:bCs/>
      </w:rPr>
      <w:tblPr/>
      <w:tcPr>
        <w:tcBorders>
          <w:bottom w:val="single" w:sz="4" w:space="0" w:color="83B14C" w:themeColor="accent5"/>
        </w:tcBorders>
      </w:tcPr>
    </w:tblStylePr>
    <w:tblStylePr w:type="lastRow">
      <w:rPr>
        <w:b/>
        <w:bCs/>
      </w:rPr>
      <w:tblPr/>
      <w:tcPr>
        <w:tcBorders>
          <w:top w:val="double" w:sz="4" w:space="0" w:color="83B14C" w:themeColor="accent5"/>
        </w:tcBorders>
      </w:tcPr>
    </w:tblStylePr>
    <w:tblStylePr w:type="firstCol">
      <w:rPr>
        <w:b/>
        <w:bCs/>
      </w:rPr>
    </w:tblStylePr>
    <w:tblStylePr w:type="lastCol">
      <w:rPr>
        <w:b/>
        <w:bCs/>
      </w:rPr>
    </w:tblStylePr>
    <w:tblStylePr w:type="band1Vert">
      <w:tblPr/>
      <w:tcPr>
        <w:shd w:val="clear" w:color="auto" w:fill="E6EFDA" w:themeFill="accent5" w:themeFillTint="33"/>
      </w:tcPr>
    </w:tblStylePr>
    <w:tblStylePr w:type="band1Horz">
      <w:tblPr/>
      <w:tcPr>
        <w:shd w:val="clear" w:color="auto" w:fill="E6EFDA" w:themeFill="accent5" w:themeFillTint="33"/>
      </w:tcPr>
    </w:tblStylePr>
  </w:style>
  <w:style w:type="table" w:styleId="ListTable7Colorful-Accent3">
    <w:name w:val="List Table 7 Colorful Accent 3"/>
    <w:basedOn w:val="TableNormal"/>
    <w:uiPriority w:val="52"/>
    <w:rsid w:val="00D8004C"/>
    <w:pPr>
      <w:spacing w:after="0"/>
    </w:pPr>
    <w:rPr>
      <w:color w:val="8B22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2E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2E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2E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2E96" w:themeColor="accent3"/>
        </w:tcBorders>
        <w:shd w:val="clear" w:color="auto" w:fill="FFFFFF" w:themeFill="background1"/>
      </w:tcPr>
    </w:tblStylePr>
    <w:tblStylePr w:type="band1Vert">
      <w:tblPr/>
      <w:tcPr>
        <w:shd w:val="clear" w:color="auto" w:fill="F4D2EB" w:themeFill="accent3" w:themeFillTint="33"/>
      </w:tcPr>
    </w:tblStylePr>
    <w:tblStylePr w:type="band1Horz">
      <w:tblPr/>
      <w:tcPr>
        <w:shd w:val="clear" w:color="auto" w:fill="F4D2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4">
    <w:name w:val="Grid Table 3 Accent 4"/>
    <w:basedOn w:val="TableNormal"/>
    <w:uiPriority w:val="48"/>
    <w:rsid w:val="00872FC4"/>
    <w:pPr>
      <w:spacing w:after="0"/>
    </w:pPr>
    <w:tblPr>
      <w:tblStyleRowBandSize w:val="1"/>
      <w:tblStyleColBandSize w:val="1"/>
      <w:tblBorders>
        <w:top w:val="single" w:sz="4" w:space="0" w:color="92C290" w:themeColor="accent4" w:themeTint="99"/>
        <w:left w:val="single" w:sz="4" w:space="0" w:color="92C290" w:themeColor="accent4" w:themeTint="99"/>
        <w:bottom w:val="single" w:sz="4" w:space="0" w:color="92C290" w:themeColor="accent4" w:themeTint="99"/>
        <w:right w:val="single" w:sz="4" w:space="0" w:color="92C290" w:themeColor="accent4" w:themeTint="99"/>
        <w:insideH w:val="single" w:sz="4" w:space="0" w:color="92C290" w:themeColor="accent4" w:themeTint="99"/>
        <w:insideV w:val="single" w:sz="4" w:space="0" w:color="92C29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ADA" w:themeFill="accent4" w:themeFillTint="33"/>
      </w:tcPr>
    </w:tblStylePr>
    <w:tblStylePr w:type="band1Horz">
      <w:tblPr/>
      <w:tcPr>
        <w:shd w:val="clear" w:color="auto" w:fill="DAEADA" w:themeFill="accent4" w:themeFillTint="33"/>
      </w:tcPr>
    </w:tblStylePr>
    <w:tblStylePr w:type="neCell">
      <w:tblPr/>
      <w:tcPr>
        <w:tcBorders>
          <w:bottom w:val="single" w:sz="4" w:space="0" w:color="92C290" w:themeColor="accent4" w:themeTint="99"/>
        </w:tcBorders>
      </w:tcPr>
    </w:tblStylePr>
    <w:tblStylePr w:type="nwCell">
      <w:tblPr/>
      <w:tcPr>
        <w:tcBorders>
          <w:bottom w:val="single" w:sz="4" w:space="0" w:color="92C290" w:themeColor="accent4" w:themeTint="99"/>
        </w:tcBorders>
      </w:tcPr>
    </w:tblStylePr>
    <w:tblStylePr w:type="seCell">
      <w:tblPr/>
      <w:tcPr>
        <w:tcBorders>
          <w:top w:val="single" w:sz="4" w:space="0" w:color="92C290" w:themeColor="accent4" w:themeTint="99"/>
        </w:tcBorders>
      </w:tcPr>
    </w:tblStylePr>
    <w:tblStylePr w:type="swCell">
      <w:tblPr/>
      <w:tcPr>
        <w:tcBorders>
          <w:top w:val="single" w:sz="4" w:space="0" w:color="92C290" w:themeColor="accent4" w:themeTint="99"/>
        </w:tcBorders>
      </w:tcPr>
    </w:tblStylePr>
  </w:style>
  <w:style w:type="character" w:styleId="CommentReference">
    <w:name w:val="annotation reference"/>
    <w:basedOn w:val="DefaultParagraphFont"/>
    <w:uiPriority w:val="99"/>
    <w:semiHidden/>
    <w:unhideWhenUsed/>
    <w:rsid w:val="00176AA7"/>
    <w:rPr>
      <w:sz w:val="16"/>
      <w:szCs w:val="16"/>
    </w:rPr>
  </w:style>
  <w:style w:type="paragraph" w:styleId="CommentText">
    <w:name w:val="annotation text"/>
    <w:basedOn w:val="Normal"/>
    <w:link w:val="CommentTextChar"/>
    <w:uiPriority w:val="99"/>
    <w:unhideWhenUsed/>
    <w:rsid w:val="00176AA7"/>
    <w:pPr>
      <w:spacing w:line="240" w:lineRule="auto"/>
    </w:pPr>
    <w:rPr>
      <w:sz w:val="20"/>
    </w:rPr>
  </w:style>
  <w:style w:type="character" w:customStyle="1" w:styleId="CommentTextChar">
    <w:name w:val="Comment Text Char"/>
    <w:basedOn w:val="DefaultParagraphFont"/>
    <w:link w:val="CommentText"/>
    <w:uiPriority w:val="99"/>
    <w:rsid w:val="00176AA7"/>
  </w:style>
  <w:style w:type="paragraph" w:styleId="CommentSubject">
    <w:name w:val="annotation subject"/>
    <w:basedOn w:val="CommentText"/>
    <w:next w:val="CommentText"/>
    <w:link w:val="CommentSubjectChar"/>
    <w:uiPriority w:val="99"/>
    <w:semiHidden/>
    <w:unhideWhenUsed/>
    <w:rsid w:val="00176AA7"/>
    <w:rPr>
      <w:b/>
      <w:bCs/>
    </w:rPr>
  </w:style>
  <w:style w:type="character" w:customStyle="1" w:styleId="CommentSubjectChar">
    <w:name w:val="Comment Subject Char"/>
    <w:basedOn w:val="CommentTextChar"/>
    <w:link w:val="CommentSubject"/>
    <w:uiPriority w:val="99"/>
    <w:semiHidden/>
    <w:rsid w:val="00176AA7"/>
    <w:rPr>
      <w:b/>
      <w:bCs/>
    </w:rPr>
  </w:style>
  <w:style w:type="paragraph" w:styleId="Revision">
    <w:name w:val="Revision"/>
    <w:hidden/>
    <w:uiPriority w:val="99"/>
    <w:semiHidden/>
    <w:rsid w:val="00AB6551"/>
    <w:pPr>
      <w:spacing w:before="0" w:after="0"/>
    </w:pPr>
    <w:rPr>
      <w:sz w:val="22"/>
    </w:rPr>
  </w:style>
  <w:style w:type="paragraph" w:styleId="ListBullet">
    <w:name w:val="List Bullet"/>
    <w:basedOn w:val="Normal"/>
    <w:uiPriority w:val="99"/>
    <w:unhideWhenUsed/>
    <w:qFormat/>
    <w:rsid w:val="006871DA"/>
    <w:pPr>
      <w:widowControl w:val="0"/>
      <w:numPr>
        <w:numId w:val="13"/>
      </w:numPr>
      <w:suppressAutoHyphens w:val="0"/>
      <w:autoSpaceDE w:val="0"/>
      <w:autoSpaceDN w:val="0"/>
      <w:spacing w:before="0" w:after="120" w:line="240" w:lineRule="auto"/>
      <w:ind w:left="357" w:hanging="357"/>
    </w:pPr>
    <w:rPr>
      <w:rFonts w:ascii="Arial" w:eastAsia="Calibri" w:hAnsi="Arial" w:cs="Calibri"/>
      <w:color w:val="auto"/>
      <w:szCs w:val="22"/>
      <w:lang w:val="en-US"/>
    </w:rPr>
  </w:style>
  <w:style w:type="paragraph" w:styleId="NormalWeb">
    <w:name w:val="Normal (Web)"/>
    <w:basedOn w:val="Normal"/>
    <w:uiPriority w:val="99"/>
    <w:semiHidden/>
    <w:unhideWhenUsed/>
    <w:rsid w:val="003C4101"/>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SpacingChar">
    <w:name w:val="No Spacing Char"/>
    <w:basedOn w:val="DefaultParagraphFont"/>
    <w:link w:val="NoSpacing"/>
    <w:uiPriority w:val="1"/>
    <w:rsid w:val="00E924C5"/>
  </w:style>
  <w:style w:type="character" w:styleId="PlaceholderText">
    <w:name w:val="Placeholder Text"/>
    <w:basedOn w:val="DefaultParagraphFont"/>
    <w:uiPriority w:val="99"/>
    <w:semiHidden/>
    <w:rsid w:val="00E924C5"/>
    <w:rPr>
      <w:color w:val="808080"/>
    </w:rPr>
  </w:style>
  <w:style w:type="paragraph" w:customStyle="1" w:styleId="TableBullets">
    <w:name w:val="Table Bullets"/>
    <w:basedOn w:val="Normal"/>
    <w:qFormat/>
    <w:rsid w:val="00CC1920"/>
    <w:pPr>
      <w:numPr>
        <w:numId w:val="34"/>
      </w:numPr>
      <w:suppressAutoHyphens w:val="0"/>
      <w:spacing w:before="60" w:after="60" w:line="240" w:lineRule="auto"/>
    </w:pPr>
    <w:rPr>
      <w:rFonts w:ascii="FS Me Light" w:hAnsi="FS Me Light" w:cs="FS Me Light"/>
      <w:color w:val="000000"/>
      <w:sz w:val="15"/>
      <w:szCs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30698">
      <w:bodyDiv w:val="1"/>
      <w:marLeft w:val="0"/>
      <w:marRight w:val="0"/>
      <w:marTop w:val="0"/>
      <w:marBottom w:val="0"/>
      <w:divBdr>
        <w:top w:val="none" w:sz="0" w:space="0" w:color="auto"/>
        <w:left w:val="none" w:sz="0" w:space="0" w:color="auto"/>
        <w:bottom w:val="none" w:sz="0" w:space="0" w:color="auto"/>
        <w:right w:val="none" w:sz="0" w:space="0" w:color="auto"/>
      </w:divBdr>
    </w:div>
    <w:div w:id="184633564">
      <w:bodyDiv w:val="1"/>
      <w:marLeft w:val="0"/>
      <w:marRight w:val="0"/>
      <w:marTop w:val="0"/>
      <w:marBottom w:val="0"/>
      <w:divBdr>
        <w:top w:val="none" w:sz="0" w:space="0" w:color="auto"/>
        <w:left w:val="none" w:sz="0" w:space="0" w:color="auto"/>
        <w:bottom w:val="none" w:sz="0" w:space="0" w:color="auto"/>
        <w:right w:val="none" w:sz="0" w:space="0" w:color="auto"/>
      </w:divBdr>
    </w:div>
    <w:div w:id="242374826">
      <w:bodyDiv w:val="1"/>
      <w:marLeft w:val="0"/>
      <w:marRight w:val="0"/>
      <w:marTop w:val="0"/>
      <w:marBottom w:val="0"/>
      <w:divBdr>
        <w:top w:val="none" w:sz="0" w:space="0" w:color="auto"/>
        <w:left w:val="none" w:sz="0" w:space="0" w:color="auto"/>
        <w:bottom w:val="none" w:sz="0" w:space="0" w:color="auto"/>
        <w:right w:val="none" w:sz="0" w:space="0" w:color="auto"/>
      </w:divBdr>
    </w:div>
    <w:div w:id="355427638">
      <w:bodyDiv w:val="1"/>
      <w:marLeft w:val="0"/>
      <w:marRight w:val="0"/>
      <w:marTop w:val="0"/>
      <w:marBottom w:val="0"/>
      <w:divBdr>
        <w:top w:val="none" w:sz="0" w:space="0" w:color="auto"/>
        <w:left w:val="none" w:sz="0" w:space="0" w:color="auto"/>
        <w:bottom w:val="none" w:sz="0" w:space="0" w:color="auto"/>
        <w:right w:val="none" w:sz="0" w:space="0" w:color="auto"/>
      </w:divBdr>
    </w:div>
    <w:div w:id="515076497">
      <w:bodyDiv w:val="1"/>
      <w:marLeft w:val="0"/>
      <w:marRight w:val="0"/>
      <w:marTop w:val="0"/>
      <w:marBottom w:val="0"/>
      <w:divBdr>
        <w:top w:val="none" w:sz="0" w:space="0" w:color="auto"/>
        <w:left w:val="none" w:sz="0" w:space="0" w:color="auto"/>
        <w:bottom w:val="none" w:sz="0" w:space="0" w:color="auto"/>
        <w:right w:val="none" w:sz="0" w:space="0" w:color="auto"/>
      </w:divBdr>
    </w:div>
    <w:div w:id="550653164">
      <w:bodyDiv w:val="1"/>
      <w:marLeft w:val="0"/>
      <w:marRight w:val="0"/>
      <w:marTop w:val="0"/>
      <w:marBottom w:val="0"/>
      <w:divBdr>
        <w:top w:val="none" w:sz="0" w:space="0" w:color="auto"/>
        <w:left w:val="none" w:sz="0" w:space="0" w:color="auto"/>
        <w:bottom w:val="none" w:sz="0" w:space="0" w:color="auto"/>
        <w:right w:val="none" w:sz="0" w:space="0" w:color="auto"/>
      </w:divBdr>
    </w:div>
    <w:div w:id="652031072">
      <w:bodyDiv w:val="1"/>
      <w:marLeft w:val="0"/>
      <w:marRight w:val="0"/>
      <w:marTop w:val="0"/>
      <w:marBottom w:val="0"/>
      <w:divBdr>
        <w:top w:val="none" w:sz="0" w:space="0" w:color="auto"/>
        <w:left w:val="none" w:sz="0" w:space="0" w:color="auto"/>
        <w:bottom w:val="none" w:sz="0" w:space="0" w:color="auto"/>
        <w:right w:val="none" w:sz="0" w:space="0" w:color="auto"/>
      </w:divBdr>
    </w:div>
    <w:div w:id="691999340">
      <w:bodyDiv w:val="1"/>
      <w:marLeft w:val="0"/>
      <w:marRight w:val="0"/>
      <w:marTop w:val="0"/>
      <w:marBottom w:val="0"/>
      <w:divBdr>
        <w:top w:val="none" w:sz="0" w:space="0" w:color="auto"/>
        <w:left w:val="none" w:sz="0" w:space="0" w:color="auto"/>
        <w:bottom w:val="none" w:sz="0" w:space="0" w:color="auto"/>
        <w:right w:val="none" w:sz="0" w:space="0" w:color="auto"/>
      </w:divBdr>
    </w:div>
    <w:div w:id="695692988">
      <w:bodyDiv w:val="1"/>
      <w:marLeft w:val="0"/>
      <w:marRight w:val="0"/>
      <w:marTop w:val="0"/>
      <w:marBottom w:val="0"/>
      <w:divBdr>
        <w:top w:val="none" w:sz="0" w:space="0" w:color="auto"/>
        <w:left w:val="none" w:sz="0" w:space="0" w:color="auto"/>
        <w:bottom w:val="none" w:sz="0" w:space="0" w:color="auto"/>
        <w:right w:val="none" w:sz="0" w:space="0" w:color="auto"/>
      </w:divBdr>
    </w:div>
    <w:div w:id="719288754">
      <w:bodyDiv w:val="1"/>
      <w:marLeft w:val="0"/>
      <w:marRight w:val="0"/>
      <w:marTop w:val="0"/>
      <w:marBottom w:val="0"/>
      <w:divBdr>
        <w:top w:val="none" w:sz="0" w:space="0" w:color="auto"/>
        <w:left w:val="none" w:sz="0" w:space="0" w:color="auto"/>
        <w:bottom w:val="none" w:sz="0" w:space="0" w:color="auto"/>
        <w:right w:val="none" w:sz="0" w:space="0" w:color="auto"/>
      </w:divBdr>
    </w:div>
    <w:div w:id="754009757">
      <w:bodyDiv w:val="1"/>
      <w:marLeft w:val="0"/>
      <w:marRight w:val="0"/>
      <w:marTop w:val="0"/>
      <w:marBottom w:val="0"/>
      <w:divBdr>
        <w:top w:val="none" w:sz="0" w:space="0" w:color="auto"/>
        <w:left w:val="none" w:sz="0" w:space="0" w:color="auto"/>
        <w:bottom w:val="none" w:sz="0" w:space="0" w:color="auto"/>
        <w:right w:val="none" w:sz="0" w:space="0" w:color="auto"/>
      </w:divBdr>
    </w:div>
    <w:div w:id="898905742">
      <w:bodyDiv w:val="1"/>
      <w:marLeft w:val="0"/>
      <w:marRight w:val="0"/>
      <w:marTop w:val="0"/>
      <w:marBottom w:val="0"/>
      <w:divBdr>
        <w:top w:val="none" w:sz="0" w:space="0" w:color="auto"/>
        <w:left w:val="none" w:sz="0" w:space="0" w:color="auto"/>
        <w:bottom w:val="none" w:sz="0" w:space="0" w:color="auto"/>
        <w:right w:val="none" w:sz="0" w:space="0" w:color="auto"/>
      </w:divBdr>
    </w:div>
    <w:div w:id="975374692">
      <w:bodyDiv w:val="1"/>
      <w:marLeft w:val="0"/>
      <w:marRight w:val="0"/>
      <w:marTop w:val="0"/>
      <w:marBottom w:val="0"/>
      <w:divBdr>
        <w:top w:val="none" w:sz="0" w:space="0" w:color="auto"/>
        <w:left w:val="none" w:sz="0" w:space="0" w:color="auto"/>
        <w:bottom w:val="none" w:sz="0" w:space="0" w:color="auto"/>
        <w:right w:val="none" w:sz="0" w:space="0" w:color="auto"/>
      </w:divBdr>
    </w:div>
    <w:div w:id="1062173610">
      <w:bodyDiv w:val="1"/>
      <w:marLeft w:val="0"/>
      <w:marRight w:val="0"/>
      <w:marTop w:val="0"/>
      <w:marBottom w:val="0"/>
      <w:divBdr>
        <w:top w:val="none" w:sz="0" w:space="0" w:color="auto"/>
        <w:left w:val="none" w:sz="0" w:space="0" w:color="auto"/>
        <w:bottom w:val="none" w:sz="0" w:space="0" w:color="auto"/>
        <w:right w:val="none" w:sz="0" w:space="0" w:color="auto"/>
      </w:divBdr>
    </w:div>
    <w:div w:id="1141075685">
      <w:bodyDiv w:val="1"/>
      <w:marLeft w:val="0"/>
      <w:marRight w:val="0"/>
      <w:marTop w:val="0"/>
      <w:marBottom w:val="0"/>
      <w:divBdr>
        <w:top w:val="none" w:sz="0" w:space="0" w:color="auto"/>
        <w:left w:val="none" w:sz="0" w:space="0" w:color="auto"/>
        <w:bottom w:val="none" w:sz="0" w:space="0" w:color="auto"/>
        <w:right w:val="none" w:sz="0" w:space="0" w:color="auto"/>
      </w:divBdr>
    </w:div>
    <w:div w:id="1205825406">
      <w:bodyDiv w:val="1"/>
      <w:marLeft w:val="0"/>
      <w:marRight w:val="0"/>
      <w:marTop w:val="0"/>
      <w:marBottom w:val="0"/>
      <w:divBdr>
        <w:top w:val="none" w:sz="0" w:space="0" w:color="auto"/>
        <w:left w:val="none" w:sz="0" w:space="0" w:color="auto"/>
        <w:bottom w:val="none" w:sz="0" w:space="0" w:color="auto"/>
        <w:right w:val="none" w:sz="0" w:space="0" w:color="auto"/>
      </w:divBdr>
    </w:div>
    <w:div w:id="1264335416">
      <w:bodyDiv w:val="1"/>
      <w:marLeft w:val="0"/>
      <w:marRight w:val="0"/>
      <w:marTop w:val="0"/>
      <w:marBottom w:val="0"/>
      <w:divBdr>
        <w:top w:val="none" w:sz="0" w:space="0" w:color="auto"/>
        <w:left w:val="none" w:sz="0" w:space="0" w:color="auto"/>
        <w:bottom w:val="none" w:sz="0" w:space="0" w:color="auto"/>
        <w:right w:val="none" w:sz="0" w:space="0" w:color="auto"/>
      </w:divBdr>
    </w:div>
    <w:div w:id="1284194147">
      <w:bodyDiv w:val="1"/>
      <w:marLeft w:val="0"/>
      <w:marRight w:val="0"/>
      <w:marTop w:val="0"/>
      <w:marBottom w:val="0"/>
      <w:divBdr>
        <w:top w:val="none" w:sz="0" w:space="0" w:color="auto"/>
        <w:left w:val="none" w:sz="0" w:space="0" w:color="auto"/>
        <w:bottom w:val="none" w:sz="0" w:space="0" w:color="auto"/>
        <w:right w:val="none" w:sz="0" w:space="0" w:color="auto"/>
      </w:divBdr>
    </w:div>
    <w:div w:id="1334408299">
      <w:bodyDiv w:val="1"/>
      <w:marLeft w:val="0"/>
      <w:marRight w:val="0"/>
      <w:marTop w:val="0"/>
      <w:marBottom w:val="0"/>
      <w:divBdr>
        <w:top w:val="none" w:sz="0" w:space="0" w:color="auto"/>
        <w:left w:val="none" w:sz="0" w:space="0" w:color="auto"/>
        <w:bottom w:val="none" w:sz="0" w:space="0" w:color="auto"/>
        <w:right w:val="none" w:sz="0" w:space="0" w:color="auto"/>
      </w:divBdr>
    </w:div>
    <w:div w:id="1386759138">
      <w:bodyDiv w:val="1"/>
      <w:marLeft w:val="0"/>
      <w:marRight w:val="0"/>
      <w:marTop w:val="0"/>
      <w:marBottom w:val="0"/>
      <w:divBdr>
        <w:top w:val="none" w:sz="0" w:space="0" w:color="auto"/>
        <w:left w:val="none" w:sz="0" w:space="0" w:color="auto"/>
        <w:bottom w:val="none" w:sz="0" w:space="0" w:color="auto"/>
        <w:right w:val="none" w:sz="0" w:space="0" w:color="auto"/>
      </w:divBdr>
    </w:div>
    <w:div w:id="1421565421">
      <w:bodyDiv w:val="1"/>
      <w:marLeft w:val="0"/>
      <w:marRight w:val="0"/>
      <w:marTop w:val="0"/>
      <w:marBottom w:val="0"/>
      <w:divBdr>
        <w:top w:val="none" w:sz="0" w:space="0" w:color="auto"/>
        <w:left w:val="none" w:sz="0" w:space="0" w:color="auto"/>
        <w:bottom w:val="none" w:sz="0" w:space="0" w:color="auto"/>
        <w:right w:val="none" w:sz="0" w:space="0" w:color="auto"/>
      </w:divBdr>
    </w:div>
    <w:div w:id="1474329704">
      <w:bodyDiv w:val="1"/>
      <w:marLeft w:val="0"/>
      <w:marRight w:val="0"/>
      <w:marTop w:val="0"/>
      <w:marBottom w:val="0"/>
      <w:divBdr>
        <w:top w:val="none" w:sz="0" w:space="0" w:color="auto"/>
        <w:left w:val="none" w:sz="0" w:space="0" w:color="auto"/>
        <w:bottom w:val="none" w:sz="0" w:space="0" w:color="auto"/>
        <w:right w:val="none" w:sz="0" w:space="0" w:color="auto"/>
      </w:divBdr>
    </w:div>
    <w:div w:id="1506282530">
      <w:bodyDiv w:val="1"/>
      <w:marLeft w:val="0"/>
      <w:marRight w:val="0"/>
      <w:marTop w:val="0"/>
      <w:marBottom w:val="0"/>
      <w:divBdr>
        <w:top w:val="none" w:sz="0" w:space="0" w:color="auto"/>
        <w:left w:val="none" w:sz="0" w:space="0" w:color="auto"/>
        <w:bottom w:val="none" w:sz="0" w:space="0" w:color="auto"/>
        <w:right w:val="none" w:sz="0" w:space="0" w:color="auto"/>
      </w:divBdr>
    </w:div>
    <w:div w:id="1600672170">
      <w:bodyDiv w:val="1"/>
      <w:marLeft w:val="0"/>
      <w:marRight w:val="0"/>
      <w:marTop w:val="0"/>
      <w:marBottom w:val="0"/>
      <w:divBdr>
        <w:top w:val="none" w:sz="0" w:space="0" w:color="auto"/>
        <w:left w:val="none" w:sz="0" w:space="0" w:color="auto"/>
        <w:bottom w:val="none" w:sz="0" w:space="0" w:color="auto"/>
        <w:right w:val="none" w:sz="0" w:space="0" w:color="auto"/>
      </w:divBdr>
    </w:div>
    <w:div w:id="1607152931">
      <w:bodyDiv w:val="1"/>
      <w:marLeft w:val="0"/>
      <w:marRight w:val="0"/>
      <w:marTop w:val="0"/>
      <w:marBottom w:val="0"/>
      <w:divBdr>
        <w:top w:val="none" w:sz="0" w:space="0" w:color="auto"/>
        <w:left w:val="none" w:sz="0" w:space="0" w:color="auto"/>
        <w:bottom w:val="none" w:sz="0" w:space="0" w:color="auto"/>
        <w:right w:val="none" w:sz="0" w:space="0" w:color="auto"/>
      </w:divBdr>
    </w:div>
    <w:div w:id="1687515747">
      <w:bodyDiv w:val="1"/>
      <w:marLeft w:val="0"/>
      <w:marRight w:val="0"/>
      <w:marTop w:val="0"/>
      <w:marBottom w:val="0"/>
      <w:divBdr>
        <w:top w:val="none" w:sz="0" w:space="0" w:color="auto"/>
        <w:left w:val="none" w:sz="0" w:space="0" w:color="auto"/>
        <w:bottom w:val="none" w:sz="0" w:space="0" w:color="auto"/>
        <w:right w:val="none" w:sz="0" w:space="0" w:color="auto"/>
      </w:divBdr>
    </w:div>
    <w:div w:id="1692536267">
      <w:bodyDiv w:val="1"/>
      <w:marLeft w:val="0"/>
      <w:marRight w:val="0"/>
      <w:marTop w:val="0"/>
      <w:marBottom w:val="0"/>
      <w:divBdr>
        <w:top w:val="none" w:sz="0" w:space="0" w:color="auto"/>
        <w:left w:val="none" w:sz="0" w:space="0" w:color="auto"/>
        <w:bottom w:val="none" w:sz="0" w:space="0" w:color="auto"/>
        <w:right w:val="none" w:sz="0" w:space="0" w:color="auto"/>
      </w:divBdr>
    </w:div>
    <w:div w:id="1708141280">
      <w:bodyDiv w:val="1"/>
      <w:marLeft w:val="0"/>
      <w:marRight w:val="0"/>
      <w:marTop w:val="0"/>
      <w:marBottom w:val="0"/>
      <w:divBdr>
        <w:top w:val="none" w:sz="0" w:space="0" w:color="auto"/>
        <w:left w:val="none" w:sz="0" w:space="0" w:color="auto"/>
        <w:bottom w:val="none" w:sz="0" w:space="0" w:color="auto"/>
        <w:right w:val="none" w:sz="0" w:space="0" w:color="auto"/>
      </w:divBdr>
    </w:div>
    <w:div w:id="1718777615">
      <w:bodyDiv w:val="1"/>
      <w:marLeft w:val="0"/>
      <w:marRight w:val="0"/>
      <w:marTop w:val="0"/>
      <w:marBottom w:val="0"/>
      <w:divBdr>
        <w:top w:val="none" w:sz="0" w:space="0" w:color="auto"/>
        <w:left w:val="none" w:sz="0" w:space="0" w:color="auto"/>
        <w:bottom w:val="none" w:sz="0" w:space="0" w:color="auto"/>
        <w:right w:val="none" w:sz="0" w:space="0" w:color="auto"/>
      </w:divBdr>
    </w:div>
    <w:div w:id="1779257009">
      <w:bodyDiv w:val="1"/>
      <w:marLeft w:val="0"/>
      <w:marRight w:val="0"/>
      <w:marTop w:val="0"/>
      <w:marBottom w:val="0"/>
      <w:divBdr>
        <w:top w:val="none" w:sz="0" w:space="0" w:color="auto"/>
        <w:left w:val="none" w:sz="0" w:space="0" w:color="auto"/>
        <w:bottom w:val="none" w:sz="0" w:space="0" w:color="auto"/>
        <w:right w:val="none" w:sz="0" w:space="0" w:color="auto"/>
      </w:divBdr>
    </w:div>
    <w:div w:id="1786147131">
      <w:bodyDiv w:val="1"/>
      <w:marLeft w:val="0"/>
      <w:marRight w:val="0"/>
      <w:marTop w:val="0"/>
      <w:marBottom w:val="0"/>
      <w:divBdr>
        <w:top w:val="none" w:sz="0" w:space="0" w:color="auto"/>
        <w:left w:val="none" w:sz="0" w:space="0" w:color="auto"/>
        <w:bottom w:val="none" w:sz="0" w:space="0" w:color="auto"/>
        <w:right w:val="none" w:sz="0" w:space="0" w:color="auto"/>
      </w:divBdr>
    </w:div>
    <w:div w:id="1789275229">
      <w:bodyDiv w:val="1"/>
      <w:marLeft w:val="0"/>
      <w:marRight w:val="0"/>
      <w:marTop w:val="0"/>
      <w:marBottom w:val="0"/>
      <w:divBdr>
        <w:top w:val="none" w:sz="0" w:space="0" w:color="auto"/>
        <w:left w:val="none" w:sz="0" w:space="0" w:color="auto"/>
        <w:bottom w:val="none" w:sz="0" w:space="0" w:color="auto"/>
        <w:right w:val="none" w:sz="0" w:space="0" w:color="auto"/>
      </w:divBdr>
    </w:div>
    <w:div w:id="1800681196">
      <w:bodyDiv w:val="1"/>
      <w:marLeft w:val="0"/>
      <w:marRight w:val="0"/>
      <w:marTop w:val="0"/>
      <w:marBottom w:val="0"/>
      <w:divBdr>
        <w:top w:val="none" w:sz="0" w:space="0" w:color="auto"/>
        <w:left w:val="none" w:sz="0" w:space="0" w:color="auto"/>
        <w:bottom w:val="none" w:sz="0" w:space="0" w:color="auto"/>
        <w:right w:val="none" w:sz="0" w:space="0" w:color="auto"/>
      </w:divBdr>
    </w:div>
    <w:div w:id="1818691276">
      <w:bodyDiv w:val="1"/>
      <w:marLeft w:val="0"/>
      <w:marRight w:val="0"/>
      <w:marTop w:val="0"/>
      <w:marBottom w:val="0"/>
      <w:divBdr>
        <w:top w:val="none" w:sz="0" w:space="0" w:color="auto"/>
        <w:left w:val="none" w:sz="0" w:space="0" w:color="auto"/>
        <w:bottom w:val="none" w:sz="0" w:space="0" w:color="auto"/>
        <w:right w:val="none" w:sz="0" w:space="0" w:color="auto"/>
      </w:divBdr>
    </w:div>
    <w:div w:id="1843472738">
      <w:bodyDiv w:val="1"/>
      <w:marLeft w:val="0"/>
      <w:marRight w:val="0"/>
      <w:marTop w:val="0"/>
      <w:marBottom w:val="0"/>
      <w:divBdr>
        <w:top w:val="none" w:sz="0" w:space="0" w:color="auto"/>
        <w:left w:val="none" w:sz="0" w:space="0" w:color="auto"/>
        <w:bottom w:val="none" w:sz="0" w:space="0" w:color="auto"/>
        <w:right w:val="none" w:sz="0" w:space="0" w:color="auto"/>
      </w:divBdr>
    </w:div>
    <w:div w:id="1859612368">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976743">
      <w:bodyDiv w:val="1"/>
      <w:marLeft w:val="0"/>
      <w:marRight w:val="0"/>
      <w:marTop w:val="0"/>
      <w:marBottom w:val="0"/>
      <w:divBdr>
        <w:top w:val="none" w:sz="0" w:space="0" w:color="auto"/>
        <w:left w:val="none" w:sz="0" w:space="0" w:color="auto"/>
        <w:bottom w:val="none" w:sz="0" w:space="0" w:color="auto"/>
        <w:right w:val="none" w:sz="0" w:space="0" w:color="auto"/>
      </w:divBdr>
    </w:div>
    <w:div w:id="1948387031">
      <w:bodyDiv w:val="1"/>
      <w:marLeft w:val="0"/>
      <w:marRight w:val="0"/>
      <w:marTop w:val="0"/>
      <w:marBottom w:val="0"/>
      <w:divBdr>
        <w:top w:val="none" w:sz="0" w:space="0" w:color="auto"/>
        <w:left w:val="none" w:sz="0" w:space="0" w:color="auto"/>
        <w:bottom w:val="none" w:sz="0" w:space="0" w:color="auto"/>
        <w:right w:val="none" w:sz="0" w:space="0" w:color="auto"/>
      </w:divBdr>
    </w:div>
    <w:div w:id="19525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image" Target="media/image2.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ommunications@ndiscommission.gov.au" TargetMode="External"/><Relationship Id="rId34" Type="http://schemas.openxmlformats.org/officeDocument/2006/relationships/hyperlink" Target="https://www.ndiscommission.gov.au/feedback-compliments-and-complaint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www.ndiscommission.gov.au" TargetMode="External"/><Relationship Id="rId33" Type="http://schemas.openxmlformats.org/officeDocument/2006/relationships/hyperlink" Target="https://www.ndiscommission.gov.au/document/1786"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ndiscommission.gov.au/participants/complaints" TargetMode="External"/><Relationship Id="rId20" Type="http://schemas.openxmlformats.org/officeDocument/2006/relationships/hyperlink" Target="http://www.pmc.gov.au/government/commonwealth-coat-arms" TargetMode="External"/><Relationship Id="rId29" Type="http://schemas.openxmlformats.org/officeDocument/2006/relationships/hyperlink" Target="https://www.ndiscommission.gov.au/feedback-compliments-and-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mmunications@ndiscommission.gov.au" TargetMode="External"/><Relationship Id="rId32" Type="http://schemas.openxmlformats.org/officeDocument/2006/relationships/hyperlink" Target="https://www.ndiscommission.gov.au/document/666?msclkid=6fe49bafabde11ec809580794b8f1ed9"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nternet-relay.nrscall.gov.au/" TargetMode="External"/><Relationship Id="rId23" Type="http://schemas.openxmlformats.org/officeDocument/2006/relationships/hyperlink" Target="http://www.pmc.gov.au/government/commonwealth-coat-arms" TargetMode="External"/><Relationship Id="rId28" Type="http://schemas.openxmlformats.org/officeDocument/2006/relationships/hyperlink" Target="https://www.disabilitygateway.gov.au/ads/strategy"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creativecommons.org/licenses/by/4.0/legalcode" TargetMode="External"/><Relationship Id="rId31" Type="http://schemas.openxmlformats.org/officeDocument/2006/relationships/hyperlink" Target="https://www.dss.gov.au/disability-and-carers/programs-services/for-people-with-disability/ndis-quality-and-safeguarding-framework-0?msclkid=ab4b302baaf811ec97e8f090b1e9668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creativecommons.org/licenses/by/4.0/legalcode" TargetMode="External"/><Relationship Id="rId27" Type="http://schemas.openxmlformats.org/officeDocument/2006/relationships/header" Target="header4.xml"/><Relationship Id="rId30" Type="http://schemas.openxmlformats.org/officeDocument/2006/relationships/hyperlink" Target="https://www.ndiscommission.gov.au/feedback-compliments-and-complaints" TargetMode="External"/><Relationship Id="rId35" Type="http://schemas.openxmlformats.org/officeDocument/2006/relationships/hyperlink" Target="https://www.ndiscommission.gov.au/resources/activity-reports?msclkid=9112bba4abeb11ecb98d4200b23a7e4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40C1017DAB034AA442A9BD62271985" ma:contentTypeVersion="" ma:contentTypeDescription="PDMS Document Site Content Type" ma:contentTypeScope="" ma:versionID="af0aad2064a03b870e766c9c4c5f43dc">
  <xsd:schema xmlns:xsd="http://www.w3.org/2001/XMLSchema" xmlns:xs="http://www.w3.org/2001/XMLSchema" xmlns:p="http://schemas.microsoft.com/office/2006/metadata/properties" xmlns:ns2="2D22F82A-A5EF-48CF-8D71-43B7221E5439" targetNamespace="http://schemas.microsoft.com/office/2006/metadata/properties" ma:root="true" ma:fieldsID="ced2a6536c16beaf2b320c1a117feec8" ns2:_="">
    <xsd:import namespace="2D22F82A-A5EF-48CF-8D71-43B7221E54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F82A-A5EF-48CF-8D71-43B7221E54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2D22F82A-A5EF-48CF-8D71-43B7221E54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988CC-2DA2-4276-A435-8019B2AC8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2F82A-A5EF-48CF-8D71-43B7221E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910A8-505B-427E-B3FC-B7FF805007B9}">
  <ds:schemaRefs>
    <ds:schemaRef ds:uri="http://schemas.microsoft.com/office/2006/metadata/properties"/>
    <ds:schemaRef ds:uri="http://schemas.microsoft.com/office/infopath/2007/PartnerControls"/>
    <ds:schemaRef ds:uri="2D22F82A-A5EF-48CF-8D71-43B7221E5439"/>
  </ds:schemaRefs>
</ds:datastoreItem>
</file>

<file path=customXml/itemProps3.xml><?xml version="1.0" encoding="utf-8"?>
<ds:datastoreItem xmlns:ds="http://schemas.openxmlformats.org/officeDocument/2006/customXml" ds:itemID="{535804B6-61A0-4B7C-BB59-3026FB02C1F6}">
  <ds:schemaRefs>
    <ds:schemaRef ds:uri="http://schemas.microsoft.com/sharepoint/v3/contenttype/forms"/>
  </ds:schemaRefs>
</ds:datastoreItem>
</file>

<file path=customXml/itemProps4.xml><?xml version="1.0" encoding="utf-8"?>
<ds:datastoreItem xmlns:ds="http://schemas.openxmlformats.org/officeDocument/2006/customXml" ds:itemID="{C361F433-EA00-4FCE-948F-88168876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8789</Words>
  <Characters>53532</Characters>
  <Application>Microsoft Office Word</Application>
  <DocSecurity>0</DocSecurity>
  <Lines>1244</Lines>
  <Paragraphs>468</Paragraphs>
  <ScaleCrop>false</ScaleCrop>
  <HeadingPairs>
    <vt:vector size="2" baseType="variant">
      <vt:variant>
        <vt:lpstr>Title</vt:lpstr>
      </vt:variant>
      <vt:variant>
        <vt:i4>1</vt:i4>
      </vt:variant>
    </vt:vector>
  </HeadingPairs>
  <TitlesOfParts>
    <vt:vector size="1" baseType="lpstr">
      <vt:lpstr>Regulatory Performance Framework for Self-Assessment 2020-21</vt:lpstr>
    </vt:vector>
  </TitlesOfParts>
  <Manager/>
  <Company/>
  <LinksUpToDate>false</LinksUpToDate>
  <CharactersWithSpaces>61853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Performance Framework for Self-Assessment 2020-21</dc:title>
  <dc:subject/>
  <dc:creator>WALSH, Jules</dc:creator>
  <cp:keywords>[SEC=OFFICIAL]</cp:keywords>
  <dc:description>Accessible version</dc:description>
  <cp:lastModifiedBy>MARTIN, Jessica</cp:lastModifiedBy>
  <cp:revision>2</cp:revision>
  <dcterms:created xsi:type="dcterms:W3CDTF">2023-03-23T23:31:00Z</dcterms:created>
  <dcterms:modified xsi:type="dcterms:W3CDTF">2023-03-23T23:31:00Z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0x010100266966F133664895A6EE3632470D45F5000D40C1017DAB034AA442A9BD62271985</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7D5CB3B1154B413E803C72274EC9B4A7</vt:lpwstr>
  </property>
  <property fmtid="{D5CDD505-2E9C-101B-9397-08002B2CF9AE}" pid="10" name="PM_ProtectiveMarkingValue_Footer">
    <vt:lpwstr>OFFICIAL</vt:lpwstr>
  </property>
  <property fmtid="{D5CDD505-2E9C-101B-9397-08002B2CF9AE}" pid="11" name="PM_Originator_Hash_SHA1">
    <vt:lpwstr>38F9BF24E34B9020E28CEEAE4D48B506C0CA5314</vt:lpwstr>
  </property>
  <property fmtid="{D5CDD505-2E9C-101B-9397-08002B2CF9AE}" pid="12" name="PM_OriginationTimeStamp">
    <vt:lpwstr>2023-03-23T23:31:47Z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2018.0</vt:lpwstr>
  </property>
  <property fmtid="{D5CDD505-2E9C-101B-9397-08002B2CF9AE}" pid="21" name="PM_Hash_Salt_Prev">
    <vt:lpwstr>1844AF79C12218DDEE761D7F8BC1DF2C</vt:lpwstr>
  </property>
  <property fmtid="{D5CDD505-2E9C-101B-9397-08002B2CF9AE}" pid="22" name="PM_Hash_Salt">
    <vt:lpwstr>8E606C63181A8AC27F1466B1D837C1C3</vt:lpwstr>
  </property>
  <property fmtid="{D5CDD505-2E9C-101B-9397-08002B2CF9AE}" pid="23" name="PM_Hash_SHA1">
    <vt:lpwstr>1145A8EF486773ACCC947779403EA7A3498E00ED</vt:lpwstr>
  </property>
  <property fmtid="{D5CDD505-2E9C-101B-9397-08002B2CF9AE}" pid="24" name="PM_OriginatorUserAccountName_SHA256">
    <vt:lpwstr>3DA78915B1F95C35574819ADC34E0E42975CBC4ACA644FA473261B0E401EB5BC</vt:lpwstr>
  </property>
  <property fmtid="{D5CDD505-2E9C-101B-9397-08002B2CF9AE}" pid="25" name="PM_OriginatorDomainName_SHA256">
    <vt:lpwstr>CE53151D70EF3143B9B6CA1DC053F41E858E2C804CF2EE5AE813E5CCE407743B</vt:lpwstr>
  </property>
  <property fmtid="{D5CDD505-2E9C-101B-9397-08002B2CF9AE}" pid="26" name="PM_MinimumSecurityClassification">
    <vt:lpwstr/>
  </property>
  <property fmtid="{D5CDD505-2E9C-101B-9397-08002B2CF9AE}" pid="27" name="PM_SecurityClassification_Prev">
    <vt:lpwstr>OFFICIAL</vt:lpwstr>
  </property>
  <property fmtid="{D5CDD505-2E9C-101B-9397-08002B2CF9AE}" pid="28" name="PM_Qualifier_Prev">
    <vt:lpwstr/>
  </property>
</Properties>
</file>