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7F" w:rsidRDefault="00FC1CE8" w:rsidP="00FF36D2">
      <w:pPr>
        <w:tabs>
          <w:tab w:val="left" w:pos="4536"/>
        </w:tabs>
        <w:spacing w:before="108" w:line="249" w:lineRule="auto"/>
        <w:ind w:left="709" w:right="1011"/>
        <w:rPr>
          <w:rFonts w:ascii="Calibri"/>
          <w:sz w:val="30"/>
        </w:rPr>
      </w:pPr>
      <w:bookmarkStart w:id="0" w:name="_GoBack"/>
      <w:bookmarkEnd w:id="0"/>
      <w:r>
        <w:rPr>
          <w:noProof/>
          <w:lang w:val="en-AU" w:eastAsia="en-AU"/>
        </w:rPr>
        <w:drawing>
          <wp:inline distT="0" distB="0" distL="0" distR="0">
            <wp:extent cx="2606400" cy="1778400"/>
            <wp:effectExtent l="0" t="0" r="3810" b="0"/>
            <wp:docPr id="1" name="image1.jpeg" descr="logo on yellow" title="University of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400" cy="1778400"/>
                    </a:xfrm>
                    <a:prstGeom prst="rect">
                      <a:avLst/>
                    </a:prstGeom>
                  </pic:spPr>
                </pic:pic>
              </a:graphicData>
            </a:graphic>
          </wp:inline>
        </w:drawing>
      </w:r>
    </w:p>
    <w:p w:rsidR="0079797F" w:rsidRDefault="0079797F" w:rsidP="00FF36D2">
      <w:pPr>
        <w:tabs>
          <w:tab w:val="left" w:pos="4536"/>
        </w:tabs>
        <w:spacing w:before="108" w:line="249" w:lineRule="auto"/>
        <w:ind w:left="709" w:right="1011"/>
        <w:rPr>
          <w:rFonts w:ascii="Calibri"/>
          <w:sz w:val="30"/>
        </w:rPr>
      </w:pPr>
    </w:p>
    <w:p w:rsidR="00EA1F74" w:rsidRPr="001776B1" w:rsidRDefault="00FC1CE8" w:rsidP="001776B1">
      <w:pPr>
        <w:pStyle w:val="BodyText"/>
        <w:rPr>
          <w:b/>
          <w:color w:val="1F497D" w:themeColor="text2"/>
        </w:rPr>
      </w:pPr>
      <w:r w:rsidRPr="001776B1">
        <w:rPr>
          <w:b/>
          <w:color w:val="1F497D" w:themeColor="text2"/>
        </w:rPr>
        <w:t xml:space="preserve">Faculty of Medicine, The Department of </w:t>
      </w:r>
      <w:r w:rsidR="001776B1">
        <w:rPr>
          <w:b/>
          <w:color w:val="1F497D" w:themeColor="text2"/>
        </w:rPr>
        <w:br/>
      </w:r>
      <w:r w:rsidRPr="001776B1">
        <w:rPr>
          <w:b/>
          <w:color w:val="1F497D" w:themeColor="text2"/>
        </w:rPr>
        <w:t>Developmental Disability Neuropsychiatry 3DN</w:t>
      </w:r>
    </w:p>
    <w:p w:rsidR="00EA1F74" w:rsidRPr="001776B1" w:rsidRDefault="00FC1CE8" w:rsidP="001776B1">
      <w:pPr>
        <w:pStyle w:val="BodyText"/>
        <w:rPr>
          <w:b/>
          <w:sz w:val="32"/>
          <w:szCs w:val="32"/>
        </w:rPr>
      </w:pPr>
      <w:r w:rsidRPr="001776B1">
        <w:rPr>
          <w:b/>
          <w:sz w:val="32"/>
          <w:szCs w:val="32"/>
        </w:rPr>
        <w:t xml:space="preserve">A scoping review of causes and </w:t>
      </w:r>
      <w:r w:rsidR="001776B1" w:rsidRPr="001776B1">
        <w:rPr>
          <w:b/>
          <w:sz w:val="32"/>
          <w:szCs w:val="32"/>
        </w:rPr>
        <w:br/>
      </w:r>
      <w:r w:rsidRPr="001776B1">
        <w:rPr>
          <w:b/>
          <w:sz w:val="32"/>
          <w:szCs w:val="32"/>
        </w:rPr>
        <w:t xml:space="preserve">contributors to deaths of people with </w:t>
      </w:r>
      <w:r w:rsidR="001776B1" w:rsidRPr="001776B1">
        <w:rPr>
          <w:b/>
          <w:sz w:val="32"/>
          <w:szCs w:val="32"/>
        </w:rPr>
        <w:br/>
      </w:r>
      <w:r w:rsidRPr="001776B1">
        <w:rPr>
          <w:b/>
          <w:sz w:val="32"/>
          <w:szCs w:val="32"/>
        </w:rPr>
        <w:t>disability in Australia</w:t>
      </w:r>
    </w:p>
    <w:p w:rsidR="00EA1F74" w:rsidRPr="001776B1" w:rsidRDefault="00FC1CE8" w:rsidP="001776B1">
      <w:pPr>
        <w:pStyle w:val="BodyText"/>
        <w:rPr>
          <w:b/>
          <w:sz w:val="32"/>
          <w:szCs w:val="32"/>
          <w:u w:val="single"/>
        </w:rPr>
      </w:pPr>
      <w:r w:rsidRPr="001776B1">
        <w:rPr>
          <w:b/>
          <w:sz w:val="32"/>
          <w:szCs w:val="32"/>
          <w:u w:val="single"/>
        </w:rPr>
        <w:t>Findings</w:t>
      </w:r>
    </w:p>
    <w:p w:rsidR="00EA1F74" w:rsidRDefault="00EA1F74" w:rsidP="001776B1">
      <w:pPr>
        <w:pStyle w:val="BodyText"/>
      </w:pPr>
    </w:p>
    <w:p w:rsidR="00EA1F74" w:rsidRPr="000D4CBF" w:rsidRDefault="00FC1CE8">
      <w:pPr>
        <w:spacing w:before="94" w:line="350" w:lineRule="auto"/>
        <w:ind w:left="731" w:right="8397"/>
        <w:rPr>
          <w:sz w:val="20"/>
          <w:szCs w:val="20"/>
        </w:rPr>
      </w:pPr>
      <w:r w:rsidRPr="000D4CBF">
        <w:rPr>
          <w:w w:val="105"/>
          <w:sz w:val="20"/>
          <w:szCs w:val="20"/>
        </w:rPr>
        <w:t>Dr Carmela Salomon Senior Research Officer</w:t>
      </w:r>
    </w:p>
    <w:p w:rsidR="00EA1F74" w:rsidRPr="000D4CBF" w:rsidRDefault="00FC1CE8">
      <w:pPr>
        <w:spacing w:before="1" w:line="348" w:lineRule="auto"/>
        <w:ind w:left="731" w:right="5222"/>
        <w:rPr>
          <w:sz w:val="20"/>
          <w:szCs w:val="20"/>
        </w:rPr>
      </w:pPr>
      <w:r w:rsidRPr="000D4CBF">
        <w:rPr>
          <w:w w:val="105"/>
          <w:sz w:val="20"/>
          <w:szCs w:val="20"/>
        </w:rPr>
        <w:t>Department of Developmental Disability Neuropsychiatry School of Psychiatry, Faculty of Medicine</w:t>
      </w:r>
    </w:p>
    <w:p w:rsidR="00EA1F74" w:rsidRPr="000D4CBF" w:rsidRDefault="00FC1CE8">
      <w:pPr>
        <w:spacing w:line="350" w:lineRule="auto"/>
        <w:ind w:left="731" w:right="6865"/>
        <w:rPr>
          <w:sz w:val="20"/>
          <w:szCs w:val="20"/>
        </w:rPr>
      </w:pPr>
      <w:r w:rsidRPr="000D4CBF">
        <w:rPr>
          <w:w w:val="105"/>
          <w:sz w:val="20"/>
          <w:szCs w:val="20"/>
        </w:rPr>
        <w:t xml:space="preserve">University of New South Wales, Sydney </w:t>
      </w:r>
      <w:hyperlink r:id="rId8">
        <w:r w:rsidRPr="000D4CBF">
          <w:rPr>
            <w:color w:val="0000FF"/>
            <w:w w:val="105"/>
            <w:sz w:val="20"/>
            <w:szCs w:val="20"/>
            <w:u w:val="single" w:color="0000FF"/>
          </w:rPr>
          <w:t>c.salomon@unsw.edu.au</w:t>
        </w:r>
      </w:hyperlink>
    </w:p>
    <w:p w:rsidR="00EA1F74" w:rsidRPr="000D4CBF" w:rsidRDefault="00EA1F74" w:rsidP="00056E40">
      <w:pPr>
        <w:pStyle w:val="BodyText"/>
        <w:rPr>
          <w:sz w:val="20"/>
          <w:szCs w:val="20"/>
        </w:rPr>
      </w:pPr>
    </w:p>
    <w:p w:rsidR="00EA1F74" w:rsidRPr="000D4CBF" w:rsidRDefault="00FC1CE8" w:rsidP="00056E40">
      <w:pPr>
        <w:pStyle w:val="BodyText"/>
        <w:rPr>
          <w:sz w:val="20"/>
          <w:szCs w:val="20"/>
        </w:rPr>
      </w:pPr>
      <w:r w:rsidRPr="000D4CBF">
        <w:rPr>
          <w:sz w:val="20"/>
          <w:szCs w:val="20"/>
        </w:rPr>
        <w:t>Professor Julian Trollor</w:t>
      </w:r>
      <w:r w:rsidR="00056E40" w:rsidRPr="000D4CBF">
        <w:rPr>
          <w:sz w:val="20"/>
          <w:szCs w:val="20"/>
        </w:rPr>
        <w:br/>
      </w:r>
      <w:r w:rsidRPr="000D4CBF">
        <w:rPr>
          <w:sz w:val="20"/>
          <w:szCs w:val="20"/>
        </w:rPr>
        <w:t>Chair, Intellectual Disability Mental Health</w:t>
      </w:r>
      <w:r w:rsidR="000D4CBF" w:rsidRPr="000D4CBF">
        <w:rPr>
          <w:sz w:val="20"/>
          <w:szCs w:val="20"/>
        </w:rPr>
        <w:br/>
      </w:r>
      <w:r w:rsidRPr="000D4CBF">
        <w:rPr>
          <w:sz w:val="20"/>
          <w:szCs w:val="20"/>
        </w:rPr>
        <w:t>Head, Department of Developmental Disability Neuropsychiatry School of Psychiatry, Faculty of Medicine</w:t>
      </w:r>
      <w:r w:rsidR="000D4CBF" w:rsidRPr="000D4CBF">
        <w:rPr>
          <w:sz w:val="20"/>
          <w:szCs w:val="20"/>
        </w:rPr>
        <w:br/>
      </w:r>
      <w:r w:rsidRPr="000D4CBF">
        <w:rPr>
          <w:sz w:val="20"/>
          <w:szCs w:val="20"/>
        </w:rPr>
        <w:t xml:space="preserve">University of New South Wales, Sydney </w:t>
      </w:r>
      <w:hyperlink r:id="rId9">
        <w:r w:rsidRPr="000D4CBF">
          <w:rPr>
            <w:color w:val="0000FF"/>
            <w:sz w:val="20"/>
            <w:szCs w:val="20"/>
            <w:u w:val="single" w:color="0000FF"/>
          </w:rPr>
          <w:t>j.trollor@unsw.edu.au</w:t>
        </w:r>
      </w:hyperlink>
    </w:p>
    <w:p w:rsidR="00EA1F74" w:rsidRPr="000D4CBF" w:rsidRDefault="00EA1F74" w:rsidP="00056E40">
      <w:pPr>
        <w:pStyle w:val="BodyText"/>
        <w:rPr>
          <w:sz w:val="20"/>
          <w:szCs w:val="20"/>
        </w:rPr>
      </w:pPr>
    </w:p>
    <w:p w:rsidR="00EA1F74" w:rsidRPr="000D4CBF" w:rsidRDefault="00FC1CE8" w:rsidP="00056E40">
      <w:pPr>
        <w:pStyle w:val="BodyText"/>
        <w:rPr>
          <w:sz w:val="20"/>
          <w:szCs w:val="20"/>
        </w:rPr>
      </w:pPr>
      <w:r w:rsidRPr="000D4CBF">
        <w:rPr>
          <w:sz w:val="20"/>
          <w:szCs w:val="20"/>
        </w:rPr>
        <w:t>© Department of Developmental Disability Neuropsychiatry UNSW August 19</w:t>
      </w:r>
      <w:r w:rsidRPr="000D4CBF">
        <w:rPr>
          <w:position w:val="7"/>
          <w:sz w:val="20"/>
          <w:szCs w:val="20"/>
        </w:rPr>
        <w:t xml:space="preserve">th </w:t>
      </w:r>
      <w:r w:rsidRPr="000D4CBF">
        <w:rPr>
          <w:sz w:val="20"/>
          <w:szCs w:val="20"/>
        </w:rPr>
        <w:t>2019</w:t>
      </w:r>
    </w:p>
    <w:p w:rsidR="00056E40" w:rsidRPr="000D4CBF" w:rsidRDefault="00056E40" w:rsidP="00056E40">
      <w:pPr>
        <w:pStyle w:val="BodyText"/>
        <w:rPr>
          <w:color w:val="585858"/>
          <w:w w:val="98"/>
          <w:sz w:val="20"/>
          <w:szCs w:val="20"/>
        </w:rPr>
      </w:pPr>
    </w:p>
    <w:p w:rsidR="00EA1F74" w:rsidRDefault="00FC1CE8" w:rsidP="00CE4F28">
      <w:pPr>
        <w:pStyle w:val="BodyText"/>
        <w:tabs>
          <w:tab w:val="left" w:pos="7513"/>
        </w:tabs>
        <w:rPr>
          <w:sz w:val="16"/>
        </w:rPr>
      </w:pPr>
      <w:r>
        <w:rPr>
          <w:noProof/>
          <w:lang w:val="en-AU" w:eastAsia="en-AU"/>
        </w:rPr>
        <w:lastRenderedPageBreak/>
        <w:drawing>
          <wp:inline distT="0" distB="0" distL="0" distR="0">
            <wp:extent cx="4101680" cy="723259"/>
            <wp:effectExtent l="0" t="0" r="0" b="1270"/>
            <wp:docPr id="3" name="image2.png" descr="University of New South Wales and the Deparment of Developmental Disability Neuropsychiatry" title="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680" cy="723259"/>
                    </a:xfrm>
                    <a:prstGeom prst="rect">
                      <a:avLst/>
                    </a:prstGeom>
                  </pic:spPr>
                </pic:pic>
              </a:graphicData>
            </a:graphic>
          </wp:inline>
        </w:drawing>
      </w:r>
    </w:p>
    <w:p w:rsidR="00EA1F74" w:rsidRDefault="00EA1F74" w:rsidP="00056E40">
      <w:pPr>
        <w:rPr>
          <w:sz w:val="16"/>
        </w:rPr>
        <w:sectPr w:rsidR="00EA1F74" w:rsidSect="00FA5D6D">
          <w:headerReference w:type="even" r:id="rId11"/>
          <w:headerReference w:type="default" r:id="rId12"/>
          <w:footerReference w:type="even" r:id="rId13"/>
          <w:footerReference w:type="default" r:id="rId14"/>
          <w:headerReference w:type="first" r:id="rId15"/>
          <w:footerReference w:type="first" r:id="rId16"/>
          <w:type w:val="continuous"/>
          <w:pgSz w:w="11900" w:h="16850"/>
          <w:pgMar w:top="640" w:right="259" w:bottom="0" w:left="140" w:header="720" w:footer="567" w:gutter="0"/>
          <w:cols w:space="720"/>
          <w:docGrid w:linePitch="299"/>
        </w:sectPr>
      </w:pPr>
    </w:p>
    <w:p w:rsidR="00EA1F74" w:rsidRDefault="00EA1F74" w:rsidP="00625DA1">
      <w:pPr>
        <w:pStyle w:val="BodyText"/>
        <w:rPr>
          <w:sz w:val="20"/>
        </w:rPr>
      </w:pPr>
    </w:p>
    <w:p w:rsidR="00EA1F74" w:rsidRDefault="00EA1F74" w:rsidP="00625DA1">
      <w:pPr>
        <w:pStyle w:val="BodyText"/>
      </w:pPr>
    </w:p>
    <w:p w:rsidR="00EA1F74" w:rsidRDefault="00FC1CE8" w:rsidP="00843B92">
      <w:pPr>
        <w:pStyle w:val="Heading1"/>
      </w:pPr>
      <w:r>
        <w:t>Table of Contents</w:t>
      </w:r>
    </w:p>
    <w:p w:rsidR="00EA1F74" w:rsidRDefault="00EA1F74">
      <w:pPr>
        <w:rPr>
          <w:sz w:val="28"/>
        </w:rPr>
        <w:sectPr w:rsidR="00EA1F74" w:rsidSect="00FA5D6D">
          <w:footerReference w:type="default" r:id="rId17"/>
          <w:pgSz w:w="11900" w:h="16840"/>
          <w:pgMar w:top="1600" w:right="260" w:bottom="2004" w:left="140" w:header="0" w:footer="567" w:gutter="0"/>
          <w:pgNumType w:start="2"/>
          <w:cols w:space="720"/>
          <w:docGrid w:linePitch="299"/>
        </w:sectPr>
      </w:pPr>
    </w:p>
    <w:sdt>
      <w:sdtPr>
        <w:id w:val="1856925485"/>
        <w:docPartObj>
          <w:docPartGallery w:val="Table of Contents"/>
          <w:docPartUnique/>
        </w:docPartObj>
      </w:sdtPr>
      <w:sdtEndPr/>
      <w:sdtContent>
        <w:p w:rsidR="00EA1F74" w:rsidRDefault="00096242">
          <w:pPr>
            <w:pStyle w:val="TOC1"/>
            <w:tabs>
              <w:tab w:val="right" w:leader="dot" w:pos="10316"/>
            </w:tabs>
            <w:spacing w:before="548"/>
          </w:pPr>
          <w:hyperlink w:anchor="_TOC_250064" w:history="1">
            <w:r w:rsidR="00FC1CE8">
              <w:t>Background</w:t>
            </w:r>
            <w:r w:rsidR="00FC1CE8">
              <w:tab/>
              <w:t>4</w:t>
            </w:r>
          </w:hyperlink>
        </w:p>
        <w:p w:rsidR="00EA1F74" w:rsidRDefault="00096242">
          <w:pPr>
            <w:pStyle w:val="TOC1"/>
            <w:tabs>
              <w:tab w:val="right" w:leader="dot" w:pos="10316"/>
            </w:tabs>
            <w:spacing w:before="167"/>
          </w:pPr>
          <w:hyperlink w:anchor="_TOC_250063" w:history="1">
            <w:r w:rsidR="00FC1CE8">
              <w:t>Aim</w:t>
            </w:r>
            <w:r w:rsidR="00FC1CE8">
              <w:tab/>
              <w:t>8</w:t>
            </w:r>
          </w:hyperlink>
        </w:p>
        <w:p w:rsidR="00EA1F74" w:rsidRDefault="00096242">
          <w:pPr>
            <w:pStyle w:val="TOC1"/>
            <w:tabs>
              <w:tab w:val="right" w:leader="dot" w:pos="10316"/>
            </w:tabs>
          </w:pPr>
          <w:hyperlink w:anchor="_TOC_250062" w:history="1">
            <w:r w:rsidR="00FC1CE8">
              <w:t>Objectives</w:t>
            </w:r>
            <w:r w:rsidR="00FC1CE8">
              <w:tab/>
              <w:t>8</w:t>
            </w:r>
          </w:hyperlink>
        </w:p>
        <w:p w:rsidR="00EA1F74" w:rsidRDefault="00096242">
          <w:pPr>
            <w:pStyle w:val="TOC1"/>
            <w:tabs>
              <w:tab w:val="right" w:leader="dot" w:pos="10316"/>
            </w:tabs>
          </w:pPr>
          <w:hyperlink w:anchor="_TOC_250061" w:history="1">
            <w:r w:rsidR="00FC1CE8">
              <w:t>Methodology</w:t>
            </w:r>
            <w:r w:rsidR="00FC1CE8">
              <w:tab/>
              <w:t>8</w:t>
            </w:r>
          </w:hyperlink>
        </w:p>
        <w:p w:rsidR="00EA1F74" w:rsidRDefault="00096242">
          <w:pPr>
            <w:pStyle w:val="TOC2"/>
            <w:tabs>
              <w:tab w:val="right" w:leader="dot" w:pos="10314"/>
            </w:tabs>
            <w:spacing w:before="53"/>
            <w:rPr>
              <w:rFonts w:ascii="Calibri"/>
            </w:rPr>
          </w:pPr>
          <w:hyperlink w:anchor="_TOC_250060" w:history="1">
            <w:r w:rsidR="00FC1CE8">
              <w:rPr>
                <w:w w:val="105"/>
              </w:rPr>
              <w:t>Review</w:t>
            </w:r>
            <w:r w:rsidR="00FC1CE8">
              <w:rPr>
                <w:spacing w:val="1"/>
                <w:w w:val="105"/>
              </w:rPr>
              <w:t xml:space="preserve"> </w:t>
            </w:r>
            <w:r w:rsidR="00FC1CE8">
              <w:rPr>
                <w:w w:val="105"/>
              </w:rPr>
              <w:t>Type</w:t>
            </w:r>
            <w:r w:rsidR="00FC1CE8">
              <w:rPr>
                <w:w w:val="105"/>
              </w:rPr>
              <w:tab/>
            </w:r>
            <w:r w:rsidR="00FC1CE8">
              <w:rPr>
                <w:rFonts w:ascii="Calibri"/>
                <w:w w:val="105"/>
              </w:rPr>
              <w:t>8</w:t>
            </w:r>
          </w:hyperlink>
        </w:p>
        <w:p w:rsidR="00EA1F74" w:rsidRDefault="00096242">
          <w:pPr>
            <w:pStyle w:val="TOC2"/>
            <w:tabs>
              <w:tab w:val="right" w:leader="dot" w:pos="10314"/>
            </w:tabs>
            <w:spacing w:before="55"/>
            <w:rPr>
              <w:rFonts w:ascii="Calibri"/>
            </w:rPr>
          </w:pPr>
          <w:hyperlink w:anchor="_TOC_250059" w:history="1">
            <w:r w:rsidR="00FC1CE8">
              <w:rPr>
                <w:w w:val="105"/>
              </w:rPr>
              <w:t>Inclusion</w:t>
            </w:r>
            <w:r w:rsidR="00FC1CE8">
              <w:rPr>
                <w:spacing w:val="1"/>
                <w:w w:val="105"/>
              </w:rPr>
              <w:t xml:space="preserve"> </w:t>
            </w:r>
            <w:r w:rsidR="00FC1CE8">
              <w:rPr>
                <w:w w:val="105"/>
              </w:rPr>
              <w:t>criteria</w:t>
            </w:r>
            <w:r w:rsidR="00FC1CE8">
              <w:rPr>
                <w:w w:val="105"/>
              </w:rPr>
              <w:tab/>
            </w:r>
            <w:r w:rsidR="00FC1CE8">
              <w:rPr>
                <w:rFonts w:ascii="Calibri"/>
                <w:w w:val="105"/>
              </w:rPr>
              <w:t>9</w:t>
            </w:r>
          </w:hyperlink>
        </w:p>
        <w:p w:rsidR="00EA1F74" w:rsidRDefault="00096242">
          <w:pPr>
            <w:pStyle w:val="TOC2"/>
            <w:tabs>
              <w:tab w:val="right" w:leader="dot" w:pos="10314"/>
            </w:tabs>
            <w:rPr>
              <w:rFonts w:ascii="Calibri"/>
            </w:rPr>
          </w:pPr>
          <w:hyperlink w:anchor="_TOC_250058" w:history="1">
            <w:r w:rsidR="00FC1CE8">
              <w:rPr>
                <w:w w:val="105"/>
              </w:rPr>
              <w:t>Identification</w:t>
            </w:r>
            <w:r w:rsidR="00FC1CE8">
              <w:rPr>
                <w:spacing w:val="1"/>
                <w:w w:val="105"/>
              </w:rPr>
              <w:t xml:space="preserve"> </w:t>
            </w:r>
            <w:r w:rsidR="00FC1CE8">
              <w:rPr>
                <w:w w:val="105"/>
              </w:rPr>
              <w:t>of</w:t>
            </w:r>
            <w:r w:rsidR="00FC1CE8">
              <w:rPr>
                <w:spacing w:val="1"/>
                <w:w w:val="105"/>
              </w:rPr>
              <w:t xml:space="preserve"> </w:t>
            </w:r>
            <w:r w:rsidR="00FC1CE8">
              <w:rPr>
                <w:w w:val="105"/>
              </w:rPr>
              <w:t>sources</w:t>
            </w:r>
            <w:r w:rsidR="00FC1CE8">
              <w:rPr>
                <w:w w:val="105"/>
              </w:rPr>
              <w:tab/>
            </w:r>
            <w:r w:rsidR="00FC1CE8">
              <w:rPr>
                <w:rFonts w:ascii="Calibri"/>
                <w:w w:val="105"/>
              </w:rPr>
              <w:t>9</w:t>
            </w:r>
          </w:hyperlink>
        </w:p>
        <w:p w:rsidR="00EA1F74" w:rsidRDefault="00096242">
          <w:pPr>
            <w:pStyle w:val="TOC2"/>
            <w:tabs>
              <w:tab w:val="right" w:leader="dot" w:pos="10316"/>
            </w:tabs>
            <w:rPr>
              <w:rFonts w:ascii="Calibri"/>
            </w:rPr>
          </w:pPr>
          <w:hyperlink w:anchor="_TOC_250057" w:history="1">
            <w:r w:rsidR="00FC1CE8">
              <w:rPr>
                <w:w w:val="105"/>
              </w:rPr>
              <w:t>Data extraction</w:t>
            </w:r>
            <w:r w:rsidR="00FC1CE8">
              <w:rPr>
                <w:w w:val="105"/>
              </w:rPr>
              <w:tab/>
            </w:r>
          </w:hyperlink>
          <w:r w:rsidR="002F4C97">
            <w:rPr>
              <w:rFonts w:ascii="Calibri"/>
              <w:w w:val="105"/>
            </w:rPr>
            <w:t>11</w:t>
          </w:r>
        </w:p>
        <w:p w:rsidR="00EA1F74" w:rsidRDefault="00096242">
          <w:pPr>
            <w:pStyle w:val="TOC2"/>
            <w:tabs>
              <w:tab w:val="right" w:leader="dot" w:pos="10316"/>
            </w:tabs>
            <w:spacing w:before="56"/>
            <w:rPr>
              <w:rFonts w:ascii="Calibri"/>
            </w:rPr>
          </w:pPr>
          <w:hyperlink w:anchor="_TOC_250056" w:history="1">
            <w:r w:rsidR="00FC1CE8">
              <w:rPr>
                <w:w w:val="105"/>
              </w:rPr>
              <w:t>Data</w:t>
            </w:r>
            <w:r w:rsidR="00FC1CE8">
              <w:rPr>
                <w:spacing w:val="1"/>
                <w:w w:val="105"/>
              </w:rPr>
              <w:t xml:space="preserve"> </w:t>
            </w:r>
            <w:r w:rsidR="00FC1CE8">
              <w:rPr>
                <w:w w:val="105"/>
              </w:rPr>
              <w:t>analysis</w:t>
            </w:r>
            <w:r w:rsidR="00FC1CE8">
              <w:rPr>
                <w:w w:val="105"/>
              </w:rPr>
              <w:tab/>
            </w:r>
            <w:r w:rsidR="00FC1CE8">
              <w:rPr>
                <w:rFonts w:ascii="Calibri"/>
                <w:w w:val="105"/>
              </w:rPr>
              <w:t>11</w:t>
            </w:r>
          </w:hyperlink>
        </w:p>
        <w:p w:rsidR="00EA1F74" w:rsidRDefault="00096242">
          <w:pPr>
            <w:pStyle w:val="TOC1"/>
            <w:tabs>
              <w:tab w:val="right" w:leader="dot" w:pos="10316"/>
            </w:tabs>
            <w:spacing w:before="161"/>
          </w:pPr>
          <w:hyperlink w:anchor="_TOC_250055" w:history="1">
            <w:r w:rsidR="00FC1CE8">
              <w:t>Findings</w:t>
            </w:r>
            <w:r w:rsidR="00FC1CE8">
              <w:tab/>
              <w:t>1</w:t>
            </w:r>
          </w:hyperlink>
          <w:r w:rsidR="009836EA">
            <w:t>3</w:t>
          </w:r>
        </w:p>
        <w:p w:rsidR="00EA1F74" w:rsidRDefault="00096242">
          <w:pPr>
            <w:pStyle w:val="TOC2"/>
            <w:tabs>
              <w:tab w:val="right" w:leader="dot" w:pos="10316"/>
            </w:tabs>
            <w:spacing w:before="53"/>
            <w:rPr>
              <w:rFonts w:ascii="Calibri"/>
            </w:rPr>
          </w:pPr>
          <w:hyperlink w:anchor="_TOC_250054" w:history="1">
            <w:r w:rsidR="00FC1CE8">
              <w:rPr>
                <w:w w:val="105"/>
              </w:rPr>
              <w:t>Overview</w:t>
            </w:r>
            <w:r w:rsidR="00FC1CE8">
              <w:rPr>
                <w:spacing w:val="2"/>
                <w:w w:val="105"/>
              </w:rPr>
              <w:t xml:space="preserve"> </w:t>
            </w:r>
            <w:r w:rsidR="00FC1CE8">
              <w:rPr>
                <w:w w:val="105"/>
              </w:rPr>
              <w:t>of</w:t>
            </w:r>
            <w:r w:rsidR="00FC1CE8">
              <w:rPr>
                <w:spacing w:val="1"/>
                <w:w w:val="105"/>
              </w:rPr>
              <w:t xml:space="preserve"> </w:t>
            </w:r>
            <w:r w:rsidR="00FC1CE8">
              <w:rPr>
                <w:w w:val="105"/>
              </w:rPr>
              <w:t>reports</w:t>
            </w:r>
            <w:r w:rsidR="00FC1CE8">
              <w:rPr>
                <w:w w:val="105"/>
              </w:rPr>
              <w:tab/>
            </w:r>
            <w:r w:rsidR="00FC1CE8">
              <w:rPr>
                <w:rFonts w:ascii="Calibri"/>
                <w:w w:val="105"/>
              </w:rPr>
              <w:t>1</w:t>
            </w:r>
          </w:hyperlink>
          <w:r w:rsidR="009836EA">
            <w:rPr>
              <w:rFonts w:ascii="Calibri"/>
              <w:w w:val="105"/>
            </w:rPr>
            <w:t>3</w:t>
          </w:r>
        </w:p>
        <w:p w:rsidR="00EA1F74" w:rsidRDefault="00096242">
          <w:pPr>
            <w:pStyle w:val="TOC2"/>
            <w:tabs>
              <w:tab w:val="right" w:leader="dot" w:pos="10316"/>
            </w:tabs>
            <w:spacing w:before="55"/>
            <w:rPr>
              <w:rFonts w:ascii="Calibri"/>
            </w:rPr>
          </w:pPr>
          <w:hyperlink w:anchor="_TOC_250053" w:history="1">
            <w:r w:rsidR="00FC1CE8">
              <w:rPr>
                <w:w w:val="105"/>
              </w:rPr>
              <w:t>In-scope deaths</w:t>
            </w:r>
            <w:r w:rsidR="00FC1CE8">
              <w:rPr>
                <w:w w:val="105"/>
              </w:rPr>
              <w:tab/>
            </w:r>
            <w:r w:rsidR="00FC1CE8">
              <w:rPr>
                <w:rFonts w:ascii="Calibri"/>
                <w:w w:val="105"/>
              </w:rPr>
              <w:t>13</w:t>
            </w:r>
          </w:hyperlink>
        </w:p>
        <w:p w:rsidR="00EA1F74" w:rsidRDefault="00096242">
          <w:pPr>
            <w:pStyle w:val="TOC2"/>
            <w:tabs>
              <w:tab w:val="right" w:leader="dot" w:pos="10316"/>
            </w:tabs>
            <w:rPr>
              <w:rFonts w:ascii="Calibri"/>
            </w:rPr>
          </w:pPr>
          <w:hyperlink w:anchor="_TOC_250052" w:history="1">
            <w:r w:rsidR="00FC1CE8">
              <w:rPr>
                <w:w w:val="105"/>
              </w:rPr>
              <w:t>Investigative</w:t>
            </w:r>
            <w:r w:rsidR="00FC1CE8">
              <w:rPr>
                <w:spacing w:val="1"/>
                <w:w w:val="105"/>
              </w:rPr>
              <w:t xml:space="preserve"> </w:t>
            </w:r>
            <w:r w:rsidR="00FC1CE8">
              <w:rPr>
                <w:w w:val="105"/>
              </w:rPr>
              <w:t>methodology</w:t>
            </w:r>
            <w:r w:rsidR="00FC1CE8">
              <w:rPr>
                <w:w w:val="105"/>
              </w:rPr>
              <w:tab/>
            </w:r>
            <w:r w:rsidR="00FC1CE8">
              <w:rPr>
                <w:rFonts w:ascii="Calibri"/>
                <w:w w:val="105"/>
              </w:rPr>
              <w:t>18</w:t>
            </w:r>
          </w:hyperlink>
        </w:p>
        <w:p w:rsidR="00EA1F74" w:rsidRDefault="00096242">
          <w:pPr>
            <w:pStyle w:val="TOC2"/>
            <w:tabs>
              <w:tab w:val="right" w:leader="dot" w:pos="10316"/>
            </w:tabs>
            <w:rPr>
              <w:rFonts w:ascii="Calibri"/>
            </w:rPr>
          </w:pPr>
          <w:hyperlink w:anchor="_TOC_250051" w:history="1">
            <w:r w:rsidR="00FC1CE8">
              <w:rPr>
                <w:w w:val="105"/>
              </w:rPr>
              <w:t>Overview of deaths and characteristics of those</w:t>
            </w:r>
            <w:r w:rsidR="00FC1CE8">
              <w:rPr>
                <w:spacing w:val="8"/>
                <w:w w:val="105"/>
              </w:rPr>
              <w:t xml:space="preserve"> </w:t>
            </w:r>
            <w:r w:rsidR="00FC1CE8">
              <w:rPr>
                <w:w w:val="105"/>
              </w:rPr>
              <w:t>who</w:t>
            </w:r>
            <w:r w:rsidR="00FC1CE8">
              <w:rPr>
                <w:spacing w:val="1"/>
                <w:w w:val="105"/>
              </w:rPr>
              <w:t xml:space="preserve"> </w:t>
            </w:r>
            <w:r w:rsidR="00FC1CE8">
              <w:rPr>
                <w:w w:val="105"/>
              </w:rPr>
              <w:t>died</w:t>
            </w:r>
            <w:r w:rsidR="00FC1CE8">
              <w:rPr>
                <w:w w:val="105"/>
              </w:rPr>
              <w:tab/>
            </w:r>
          </w:hyperlink>
          <w:r w:rsidR="009836EA">
            <w:rPr>
              <w:rFonts w:ascii="Calibri"/>
              <w:w w:val="105"/>
            </w:rPr>
            <w:t>30</w:t>
          </w:r>
        </w:p>
        <w:p w:rsidR="00EA1F74" w:rsidRDefault="00096242">
          <w:pPr>
            <w:pStyle w:val="TOC4"/>
            <w:tabs>
              <w:tab w:val="right" w:leader="dot" w:pos="10316"/>
            </w:tabs>
            <w:spacing w:before="51"/>
            <w:rPr>
              <w:rFonts w:ascii="Calibri"/>
            </w:rPr>
          </w:pPr>
          <w:hyperlink w:anchor="_TOC_250050" w:history="1">
            <w:r w:rsidR="00FC1CE8">
              <w:rPr>
                <w:w w:val="105"/>
              </w:rPr>
              <w:t>Gender</w:t>
            </w:r>
            <w:r w:rsidR="00FC1CE8">
              <w:rPr>
                <w:w w:val="105"/>
              </w:rPr>
              <w:tab/>
            </w:r>
          </w:hyperlink>
          <w:r w:rsidR="00AD3101">
            <w:rPr>
              <w:rFonts w:ascii="Calibri"/>
              <w:w w:val="105"/>
            </w:rPr>
            <w:t>30</w:t>
          </w:r>
        </w:p>
        <w:p w:rsidR="00EA1F74" w:rsidRDefault="00096242">
          <w:pPr>
            <w:pStyle w:val="TOC4"/>
            <w:tabs>
              <w:tab w:val="right" w:leader="dot" w:pos="10316"/>
            </w:tabs>
            <w:rPr>
              <w:rFonts w:ascii="Calibri"/>
            </w:rPr>
          </w:pPr>
          <w:hyperlink w:anchor="_TOC_250049" w:history="1">
            <w:r w:rsidR="00FC1CE8">
              <w:rPr>
                <w:w w:val="105"/>
              </w:rPr>
              <w:t>Median age</w:t>
            </w:r>
            <w:r w:rsidR="00FC1CE8">
              <w:rPr>
                <w:spacing w:val="2"/>
                <w:w w:val="105"/>
              </w:rPr>
              <w:t xml:space="preserve"> </w:t>
            </w:r>
            <w:r w:rsidR="00FC1CE8">
              <w:rPr>
                <w:w w:val="105"/>
              </w:rPr>
              <w:t>at death</w:t>
            </w:r>
            <w:r w:rsidR="00FC1CE8">
              <w:rPr>
                <w:w w:val="105"/>
              </w:rPr>
              <w:tab/>
            </w:r>
          </w:hyperlink>
          <w:r w:rsidR="00AD3101">
            <w:rPr>
              <w:rFonts w:ascii="Calibri"/>
              <w:w w:val="105"/>
            </w:rPr>
            <w:t>30</w:t>
          </w:r>
        </w:p>
        <w:p w:rsidR="00EA1F74" w:rsidRDefault="00096242">
          <w:pPr>
            <w:pStyle w:val="TOC4"/>
            <w:tabs>
              <w:tab w:val="right" w:leader="dot" w:pos="10316"/>
            </w:tabs>
            <w:spacing w:before="52"/>
            <w:rPr>
              <w:rFonts w:ascii="Calibri"/>
            </w:rPr>
          </w:pPr>
          <w:hyperlink w:anchor="_TOC_250048" w:history="1">
            <w:r w:rsidR="00FC1CE8">
              <w:rPr>
                <w:w w:val="105"/>
              </w:rPr>
              <w:t>Cultural status</w:t>
            </w:r>
            <w:r w:rsidR="00FC1CE8">
              <w:rPr>
                <w:w w:val="105"/>
              </w:rPr>
              <w:tab/>
            </w:r>
          </w:hyperlink>
          <w:r w:rsidR="00AD3101">
            <w:rPr>
              <w:rFonts w:ascii="Calibri"/>
              <w:w w:val="105"/>
            </w:rPr>
            <w:t>32</w:t>
          </w:r>
        </w:p>
        <w:p w:rsidR="00EA1F74" w:rsidRDefault="00096242">
          <w:pPr>
            <w:pStyle w:val="TOC4"/>
            <w:tabs>
              <w:tab w:val="right" w:leader="dot" w:pos="10316"/>
            </w:tabs>
            <w:rPr>
              <w:rFonts w:ascii="Calibri"/>
            </w:rPr>
          </w:pPr>
          <w:hyperlink w:anchor="_TOC_250047" w:history="1">
            <w:r w:rsidR="00FC1CE8">
              <w:rPr>
                <w:w w:val="105"/>
              </w:rPr>
              <w:t>Where did people usually reside at the time of</w:t>
            </w:r>
            <w:r w:rsidR="00FC1CE8">
              <w:rPr>
                <w:spacing w:val="6"/>
                <w:w w:val="105"/>
              </w:rPr>
              <w:t xml:space="preserve"> </w:t>
            </w:r>
            <w:r w:rsidR="00FC1CE8">
              <w:rPr>
                <w:w w:val="105"/>
              </w:rPr>
              <w:t>their death?</w:t>
            </w:r>
            <w:r w:rsidR="00FC1CE8">
              <w:rPr>
                <w:w w:val="105"/>
              </w:rPr>
              <w:tab/>
            </w:r>
          </w:hyperlink>
          <w:r w:rsidR="00FA1EF3">
            <w:rPr>
              <w:rFonts w:ascii="Calibri"/>
              <w:w w:val="105"/>
            </w:rPr>
            <w:t>35</w:t>
          </w:r>
        </w:p>
        <w:p w:rsidR="00EA1F74" w:rsidRDefault="00096242">
          <w:pPr>
            <w:pStyle w:val="TOC3"/>
            <w:tabs>
              <w:tab w:val="right" w:leader="dot" w:pos="10316"/>
            </w:tabs>
            <w:spacing w:before="56"/>
            <w:rPr>
              <w:rFonts w:ascii="Calibri"/>
            </w:rPr>
          </w:pPr>
          <w:hyperlink w:anchor="_TOC_250046" w:history="1">
            <w:r w:rsidR="00FC1CE8">
              <w:rPr>
                <w:w w:val="105"/>
              </w:rPr>
              <w:t>The health status of people</w:t>
            </w:r>
            <w:r w:rsidR="00FC1CE8">
              <w:rPr>
                <w:spacing w:val="5"/>
                <w:w w:val="105"/>
              </w:rPr>
              <w:t xml:space="preserve"> </w:t>
            </w:r>
            <w:r w:rsidR="00FC1CE8">
              <w:rPr>
                <w:w w:val="105"/>
              </w:rPr>
              <w:t>who</w:t>
            </w:r>
            <w:r w:rsidR="00FC1CE8">
              <w:rPr>
                <w:spacing w:val="2"/>
                <w:w w:val="105"/>
              </w:rPr>
              <w:t xml:space="preserve"> </w:t>
            </w:r>
            <w:r w:rsidR="00FC1CE8">
              <w:rPr>
                <w:w w:val="105"/>
              </w:rPr>
              <w:t>died</w:t>
            </w:r>
            <w:r w:rsidR="00FC1CE8">
              <w:rPr>
                <w:w w:val="105"/>
              </w:rPr>
              <w:tab/>
            </w:r>
          </w:hyperlink>
          <w:r w:rsidR="00FA1EF3">
            <w:rPr>
              <w:rFonts w:ascii="Calibri"/>
              <w:w w:val="105"/>
            </w:rPr>
            <w:t>37</w:t>
          </w:r>
        </w:p>
        <w:p w:rsidR="00EA1F74" w:rsidRDefault="00096242">
          <w:pPr>
            <w:pStyle w:val="TOC4"/>
            <w:tabs>
              <w:tab w:val="right" w:leader="dot" w:pos="10316"/>
            </w:tabs>
            <w:rPr>
              <w:rFonts w:ascii="Calibri"/>
            </w:rPr>
          </w:pPr>
          <w:hyperlink w:anchor="_TOC_250045" w:history="1">
            <w:r w:rsidR="00FC1CE8">
              <w:rPr>
                <w:w w:val="105"/>
              </w:rPr>
              <w:t>Primary and</w:t>
            </w:r>
            <w:r w:rsidR="00FC1CE8">
              <w:rPr>
                <w:spacing w:val="2"/>
                <w:w w:val="105"/>
              </w:rPr>
              <w:t xml:space="preserve"> </w:t>
            </w:r>
            <w:r w:rsidR="00FC1CE8">
              <w:rPr>
                <w:w w:val="105"/>
              </w:rPr>
              <w:t>additional disabilities</w:t>
            </w:r>
            <w:r w:rsidR="00FC1CE8">
              <w:rPr>
                <w:w w:val="105"/>
              </w:rPr>
              <w:tab/>
            </w:r>
          </w:hyperlink>
          <w:r w:rsidR="00FA1EF3">
            <w:rPr>
              <w:rFonts w:ascii="Calibri"/>
              <w:w w:val="105"/>
            </w:rPr>
            <w:t>37</w:t>
          </w:r>
        </w:p>
        <w:p w:rsidR="00EA1F74" w:rsidRDefault="00096242">
          <w:pPr>
            <w:pStyle w:val="TOC4"/>
            <w:tabs>
              <w:tab w:val="right" w:leader="dot" w:pos="10316"/>
            </w:tabs>
            <w:spacing w:before="47"/>
            <w:rPr>
              <w:rFonts w:ascii="Calibri"/>
            </w:rPr>
          </w:pPr>
          <w:hyperlink w:anchor="_TOC_250044" w:history="1">
            <w:r w:rsidR="00FC1CE8">
              <w:rPr>
                <w:w w:val="105"/>
              </w:rPr>
              <w:t>Mental health</w:t>
            </w:r>
            <w:r w:rsidR="00FC1CE8">
              <w:rPr>
                <w:spacing w:val="1"/>
                <w:w w:val="105"/>
              </w:rPr>
              <w:t xml:space="preserve"> </w:t>
            </w:r>
            <w:r w:rsidR="00FC1CE8">
              <w:rPr>
                <w:w w:val="105"/>
              </w:rPr>
              <w:t>concerns</w:t>
            </w:r>
            <w:r w:rsidR="00FC1CE8">
              <w:rPr>
                <w:w w:val="105"/>
              </w:rPr>
              <w:tab/>
            </w:r>
          </w:hyperlink>
          <w:r w:rsidR="00FA1EF3">
            <w:rPr>
              <w:rFonts w:ascii="Calibri"/>
              <w:w w:val="105"/>
            </w:rPr>
            <w:t>40</w:t>
          </w:r>
        </w:p>
        <w:p w:rsidR="00EA1F74" w:rsidRDefault="00096242">
          <w:pPr>
            <w:pStyle w:val="TOC4"/>
            <w:tabs>
              <w:tab w:val="right" w:leader="dot" w:pos="10316"/>
            </w:tabs>
            <w:spacing w:before="51"/>
            <w:rPr>
              <w:rFonts w:ascii="Calibri"/>
            </w:rPr>
          </w:pPr>
          <w:hyperlink w:anchor="_TOC_250043" w:history="1">
            <w:r w:rsidR="00FC1CE8">
              <w:rPr>
                <w:w w:val="105"/>
              </w:rPr>
              <w:t>Physical health</w:t>
            </w:r>
            <w:r w:rsidR="00FC1CE8">
              <w:rPr>
                <w:spacing w:val="1"/>
                <w:w w:val="105"/>
              </w:rPr>
              <w:t xml:space="preserve"> </w:t>
            </w:r>
            <w:r w:rsidR="00FC1CE8">
              <w:rPr>
                <w:w w:val="105"/>
              </w:rPr>
              <w:t>conditions</w:t>
            </w:r>
            <w:r w:rsidR="00FC1CE8">
              <w:rPr>
                <w:w w:val="105"/>
              </w:rPr>
              <w:tab/>
            </w:r>
          </w:hyperlink>
          <w:r w:rsidR="00FA1EF3">
            <w:rPr>
              <w:rFonts w:ascii="Calibri"/>
              <w:w w:val="105"/>
            </w:rPr>
            <w:t>40</w:t>
          </w:r>
        </w:p>
        <w:p w:rsidR="00EA1F74" w:rsidRDefault="00096242">
          <w:pPr>
            <w:pStyle w:val="TOC4"/>
            <w:tabs>
              <w:tab w:val="right" w:leader="dot" w:pos="10316"/>
            </w:tabs>
            <w:rPr>
              <w:rFonts w:ascii="Calibri"/>
            </w:rPr>
          </w:pPr>
          <w:hyperlink w:anchor="_TOC_250042" w:history="1">
            <w:r w:rsidR="00FC1CE8">
              <w:rPr>
                <w:w w:val="105"/>
              </w:rPr>
              <w:t>Medication</w:t>
            </w:r>
            <w:r w:rsidR="00FC1CE8">
              <w:rPr>
                <w:spacing w:val="1"/>
                <w:w w:val="105"/>
              </w:rPr>
              <w:t xml:space="preserve"> </w:t>
            </w:r>
            <w:r w:rsidR="00FC1CE8">
              <w:rPr>
                <w:w w:val="105"/>
              </w:rPr>
              <w:t>prescriptions</w:t>
            </w:r>
            <w:r w:rsidR="00FC1CE8">
              <w:rPr>
                <w:w w:val="105"/>
              </w:rPr>
              <w:tab/>
            </w:r>
          </w:hyperlink>
          <w:r w:rsidR="00FA1EF3">
            <w:rPr>
              <w:rFonts w:ascii="Calibri"/>
              <w:w w:val="105"/>
            </w:rPr>
            <w:t>43</w:t>
          </w:r>
        </w:p>
        <w:p w:rsidR="00EA1F74" w:rsidRDefault="00096242">
          <w:pPr>
            <w:pStyle w:val="TOC4"/>
            <w:tabs>
              <w:tab w:val="right" w:leader="dot" w:pos="10316"/>
            </w:tabs>
            <w:spacing w:before="52"/>
            <w:rPr>
              <w:rFonts w:ascii="Calibri"/>
            </w:rPr>
          </w:pPr>
          <w:hyperlink w:anchor="_TOC_250041" w:history="1">
            <w:r w:rsidR="00FC1CE8">
              <w:rPr>
                <w:w w:val="105"/>
              </w:rPr>
              <w:t>Influenza and Pneumococcal</w:t>
            </w:r>
            <w:r w:rsidR="00FC1CE8">
              <w:rPr>
                <w:spacing w:val="2"/>
                <w:w w:val="105"/>
              </w:rPr>
              <w:t xml:space="preserve"> </w:t>
            </w:r>
            <w:r w:rsidR="00FC1CE8">
              <w:rPr>
                <w:w w:val="105"/>
              </w:rPr>
              <w:t>vaccine</w:t>
            </w:r>
            <w:r w:rsidR="00FC1CE8">
              <w:rPr>
                <w:spacing w:val="1"/>
                <w:w w:val="105"/>
              </w:rPr>
              <w:t xml:space="preserve"> </w:t>
            </w:r>
            <w:r w:rsidR="00FC1CE8">
              <w:rPr>
                <w:w w:val="105"/>
              </w:rPr>
              <w:t>status</w:t>
            </w:r>
            <w:r w:rsidR="00FC1CE8">
              <w:rPr>
                <w:w w:val="105"/>
              </w:rPr>
              <w:tab/>
            </w:r>
          </w:hyperlink>
          <w:r w:rsidR="001F2413">
            <w:rPr>
              <w:rFonts w:ascii="Calibri"/>
              <w:w w:val="105"/>
            </w:rPr>
            <w:t>44</w:t>
          </w:r>
        </w:p>
        <w:p w:rsidR="00EA1F74" w:rsidRDefault="00096242">
          <w:pPr>
            <w:pStyle w:val="TOC4"/>
            <w:tabs>
              <w:tab w:val="right" w:leader="dot" w:pos="10316"/>
            </w:tabs>
            <w:rPr>
              <w:rFonts w:ascii="Calibri"/>
            </w:rPr>
          </w:pPr>
          <w:hyperlink w:anchor="_TOC_250040" w:history="1">
            <w:r w:rsidR="00FC1CE8">
              <w:rPr>
                <w:w w:val="105"/>
              </w:rPr>
              <w:t>Weight, smoking and other</w:t>
            </w:r>
            <w:r w:rsidR="00FC1CE8">
              <w:rPr>
                <w:spacing w:val="2"/>
                <w:w w:val="105"/>
              </w:rPr>
              <w:t xml:space="preserve"> </w:t>
            </w:r>
            <w:r w:rsidR="00FC1CE8">
              <w:rPr>
                <w:w w:val="105"/>
              </w:rPr>
              <w:t>lifestyle</w:t>
            </w:r>
            <w:r w:rsidR="00FC1CE8">
              <w:rPr>
                <w:spacing w:val="1"/>
                <w:w w:val="105"/>
              </w:rPr>
              <w:t xml:space="preserve"> </w:t>
            </w:r>
            <w:r w:rsidR="00FC1CE8">
              <w:rPr>
                <w:w w:val="105"/>
              </w:rPr>
              <w:t>risks</w:t>
            </w:r>
            <w:r w:rsidR="00FC1CE8">
              <w:rPr>
                <w:w w:val="105"/>
              </w:rPr>
              <w:tab/>
            </w:r>
          </w:hyperlink>
          <w:r w:rsidR="001F2413">
            <w:rPr>
              <w:rFonts w:ascii="Calibri"/>
              <w:w w:val="105"/>
            </w:rPr>
            <w:t>45</w:t>
          </w:r>
        </w:p>
        <w:p w:rsidR="00EA1F74" w:rsidRDefault="00096242">
          <w:pPr>
            <w:pStyle w:val="TOC4"/>
            <w:tabs>
              <w:tab w:val="right" w:leader="dot" w:pos="10316"/>
            </w:tabs>
            <w:spacing w:before="51"/>
            <w:rPr>
              <w:rFonts w:ascii="Calibri" w:hAnsi="Calibri"/>
            </w:rPr>
          </w:pPr>
          <w:hyperlink w:anchor="_TOC_250039" w:history="1">
            <w:r w:rsidR="00FC1CE8">
              <w:rPr>
                <w:w w:val="105"/>
              </w:rPr>
              <w:t>Date of the person’s last comprehensive</w:t>
            </w:r>
            <w:r w:rsidR="00FC1CE8">
              <w:rPr>
                <w:spacing w:val="3"/>
                <w:w w:val="105"/>
              </w:rPr>
              <w:t xml:space="preserve"> </w:t>
            </w:r>
            <w:r w:rsidR="00FC1CE8">
              <w:rPr>
                <w:w w:val="105"/>
              </w:rPr>
              <w:t>health</w:t>
            </w:r>
            <w:r w:rsidR="00FC1CE8">
              <w:rPr>
                <w:spacing w:val="1"/>
                <w:w w:val="105"/>
              </w:rPr>
              <w:t xml:space="preserve"> </w:t>
            </w:r>
            <w:r w:rsidR="00FC1CE8">
              <w:rPr>
                <w:w w:val="105"/>
              </w:rPr>
              <w:t>assessment</w:t>
            </w:r>
            <w:r w:rsidR="00FC1CE8">
              <w:rPr>
                <w:w w:val="105"/>
              </w:rPr>
              <w:tab/>
            </w:r>
          </w:hyperlink>
          <w:r w:rsidR="001F2413">
            <w:rPr>
              <w:rFonts w:ascii="Calibri" w:hAnsi="Calibri"/>
              <w:w w:val="105"/>
            </w:rPr>
            <w:t>48</w:t>
          </w:r>
        </w:p>
        <w:p w:rsidR="00EA1F74" w:rsidRDefault="00096242">
          <w:pPr>
            <w:pStyle w:val="TOC4"/>
            <w:tabs>
              <w:tab w:val="right" w:leader="dot" w:pos="10316"/>
            </w:tabs>
            <w:spacing w:before="47"/>
            <w:rPr>
              <w:rFonts w:ascii="Calibri"/>
            </w:rPr>
          </w:pPr>
          <w:hyperlink w:anchor="_TOC_250038" w:history="1">
            <w:r w:rsidR="00FC1CE8">
              <w:rPr>
                <w:w w:val="105"/>
              </w:rPr>
              <w:t>Capacity</w:t>
            </w:r>
            <w:r w:rsidR="00FC1CE8">
              <w:rPr>
                <w:spacing w:val="1"/>
                <w:w w:val="105"/>
              </w:rPr>
              <w:t xml:space="preserve"> </w:t>
            </w:r>
            <w:r w:rsidR="00FC1CE8">
              <w:rPr>
                <w:w w:val="105"/>
              </w:rPr>
              <w:t>to</w:t>
            </w:r>
            <w:r w:rsidR="00FC1CE8">
              <w:rPr>
                <w:spacing w:val="1"/>
                <w:w w:val="105"/>
              </w:rPr>
              <w:t xml:space="preserve"> </w:t>
            </w:r>
            <w:r w:rsidR="00FC1CE8">
              <w:rPr>
                <w:w w:val="105"/>
              </w:rPr>
              <w:t>consent</w:t>
            </w:r>
            <w:r w:rsidR="00FC1CE8">
              <w:rPr>
                <w:w w:val="105"/>
              </w:rPr>
              <w:tab/>
            </w:r>
          </w:hyperlink>
          <w:r w:rsidR="001F2413">
            <w:rPr>
              <w:rFonts w:ascii="Calibri"/>
              <w:w w:val="105"/>
            </w:rPr>
            <w:t>49</w:t>
          </w:r>
        </w:p>
        <w:p w:rsidR="00EA1F74" w:rsidRDefault="00096242">
          <w:pPr>
            <w:pStyle w:val="TOC4"/>
            <w:tabs>
              <w:tab w:val="right" w:leader="dot" w:pos="10316"/>
            </w:tabs>
            <w:spacing w:before="51"/>
            <w:rPr>
              <w:rFonts w:ascii="Calibri"/>
            </w:rPr>
          </w:pPr>
          <w:hyperlink w:anchor="_TOC_250037" w:history="1">
            <w:r w:rsidR="00FC1CE8">
              <w:rPr>
                <w:w w:val="105"/>
              </w:rPr>
              <w:t>Nutrition, swallowing, mealtime support and dental</w:t>
            </w:r>
            <w:r w:rsidR="00FC1CE8">
              <w:rPr>
                <w:spacing w:val="1"/>
                <w:w w:val="105"/>
              </w:rPr>
              <w:t xml:space="preserve"> </w:t>
            </w:r>
            <w:r w:rsidR="00FC1CE8">
              <w:rPr>
                <w:w w:val="105"/>
              </w:rPr>
              <w:t>health</w:t>
            </w:r>
            <w:r w:rsidR="00FC1CE8">
              <w:rPr>
                <w:spacing w:val="1"/>
                <w:w w:val="105"/>
              </w:rPr>
              <w:t xml:space="preserve"> </w:t>
            </w:r>
            <w:r w:rsidR="00FC1CE8">
              <w:rPr>
                <w:w w:val="105"/>
              </w:rPr>
              <w:t>status</w:t>
            </w:r>
            <w:r w:rsidR="00FC1CE8">
              <w:rPr>
                <w:w w:val="105"/>
              </w:rPr>
              <w:tab/>
            </w:r>
          </w:hyperlink>
          <w:r w:rsidR="001F2413">
            <w:rPr>
              <w:rFonts w:ascii="Calibri"/>
              <w:w w:val="105"/>
            </w:rPr>
            <w:t>49</w:t>
          </w:r>
        </w:p>
        <w:p w:rsidR="00EA1F74" w:rsidRDefault="00096242">
          <w:pPr>
            <w:pStyle w:val="TOC4"/>
            <w:tabs>
              <w:tab w:val="right" w:leader="dot" w:pos="10316"/>
            </w:tabs>
            <w:spacing w:before="47"/>
            <w:rPr>
              <w:rFonts w:ascii="Calibri"/>
            </w:rPr>
          </w:pPr>
          <w:hyperlink w:anchor="_TOC_250036" w:history="1">
            <w:r w:rsidR="00FC1CE8">
              <w:rPr>
                <w:w w:val="105"/>
              </w:rPr>
              <w:t>Mobility</w:t>
            </w:r>
            <w:r w:rsidR="00FC1CE8">
              <w:rPr>
                <w:spacing w:val="1"/>
                <w:w w:val="105"/>
              </w:rPr>
              <w:t xml:space="preserve"> </w:t>
            </w:r>
            <w:r w:rsidR="00FC1CE8">
              <w:rPr>
                <w:w w:val="105"/>
              </w:rPr>
              <w:t>and</w:t>
            </w:r>
            <w:r w:rsidR="00FC1CE8">
              <w:rPr>
                <w:spacing w:val="1"/>
                <w:w w:val="105"/>
              </w:rPr>
              <w:t xml:space="preserve"> </w:t>
            </w:r>
            <w:r w:rsidR="00FC1CE8">
              <w:rPr>
                <w:w w:val="105"/>
              </w:rPr>
              <w:t>Communication</w:t>
            </w:r>
            <w:r w:rsidR="00FC1CE8">
              <w:rPr>
                <w:w w:val="105"/>
              </w:rPr>
              <w:tab/>
            </w:r>
          </w:hyperlink>
          <w:r w:rsidR="001F2413">
            <w:rPr>
              <w:rFonts w:ascii="Calibri"/>
              <w:w w:val="105"/>
            </w:rPr>
            <w:t>51</w:t>
          </w:r>
        </w:p>
        <w:p w:rsidR="00EA1F74" w:rsidRDefault="00096242">
          <w:pPr>
            <w:pStyle w:val="TOC2"/>
            <w:tabs>
              <w:tab w:val="right" w:leader="dot" w:pos="10316"/>
            </w:tabs>
            <w:spacing w:before="56"/>
            <w:rPr>
              <w:rFonts w:ascii="Calibri"/>
            </w:rPr>
          </w:pPr>
          <w:hyperlink w:anchor="_TOC_250035" w:history="1">
            <w:r w:rsidR="00FC1CE8">
              <w:rPr>
                <w:w w:val="105"/>
              </w:rPr>
              <w:t>Causes of</w:t>
            </w:r>
            <w:r w:rsidR="00FC1CE8">
              <w:rPr>
                <w:spacing w:val="1"/>
                <w:w w:val="105"/>
              </w:rPr>
              <w:t xml:space="preserve"> </w:t>
            </w:r>
            <w:r w:rsidR="00FC1CE8">
              <w:rPr>
                <w:w w:val="105"/>
              </w:rPr>
              <w:t>death</w:t>
            </w:r>
            <w:r w:rsidR="00FC1CE8">
              <w:rPr>
                <w:w w:val="105"/>
              </w:rPr>
              <w:tab/>
            </w:r>
          </w:hyperlink>
          <w:r w:rsidR="001F2413">
            <w:rPr>
              <w:rFonts w:ascii="Calibri"/>
              <w:w w:val="105"/>
            </w:rPr>
            <w:t>55</w:t>
          </w:r>
        </w:p>
        <w:p w:rsidR="00EA1F74" w:rsidRDefault="00096242">
          <w:pPr>
            <w:pStyle w:val="TOC3"/>
            <w:tabs>
              <w:tab w:val="right" w:leader="dot" w:pos="10316"/>
            </w:tabs>
            <w:rPr>
              <w:rFonts w:ascii="Calibri"/>
            </w:rPr>
          </w:pPr>
          <w:hyperlink w:anchor="_TOC_250034" w:history="1">
            <w:r w:rsidR="00FC1CE8">
              <w:rPr>
                <w:w w:val="105"/>
              </w:rPr>
              <w:t>Broad causes</w:t>
            </w:r>
            <w:r w:rsidR="00FC1CE8">
              <w:rPr>
                <w:spacing w:val="2"/>
                <w:w w:val="105"/>
              </w:rPr>
              <w:t xml:space="preserve"> </w:t>
            </w:r>
            <w:r w:rsidR="00FC1CE8">
              <w:rPr>
                <w:w w:val="105"/>
              </w:rPr>
              <w:t>of</w:t>
            </w:r>
            <w:r w:rsidR="00FC1CE8">
              <w:rPr>
                <w:spacing w:val="1"/>
                <w:w w:val="105"/>
              </w:rPr>
              <w:t xml:space="preserve"> </w:t>
            </w:r>
            <w:r w:rsidR="00FC1CE8">
              <w:rPr>
                <w:w w:val="105"/>
              </w:rPr>
              <w:t>death</w:t>
            </w:r>
            <w:r w:rsidR="00FC1CE8">
              <w:rPr>
                <w:w w:val="105"/>
              </w:rPr>
              <w:tab/>
            </w:r>
          </w:hyperlink>
          <w:r w:rsidR="001F2413">
            <w:rPr>
              <w:rFonts w:ascii="Calibri"/>
              <w:w w:val="105"/>
            </w:rPr>
            <w:t>55</w:t>
          </w:r>
        </w:p>
        <w:p w:rsidR="00EA1F74" w:rsidRDefault="00096242">
          <w:pPr>
            <w:pStyle w:val="TOC4"/>
            <w:tabs>
              <w:tab w:val="right" w:leader="dot" w:pos="10316"/>
            </w:tabs>
            <w:spacing w:before="45"/>
            <w:rPr>
              <w:rFonts w:ascii="Calibri"/>
            </w:rPr>
          </w:pPr>
          <w:hyperlink w:anchor="_TOC_250033" w:history="1">
            <w:r w:rsidR="00FC1CE8">
              <w:rPr>
                <w:w w:val="105"/>
              </w:rPr>
              <w:t>Where and when did</w:t>
            </w:r>
            <w:r w:rsidR="00FC1CE8">
              <w:rPr>
                <w:spacing w:val="4"/>
                <w:w w:val="105"/>
              </w:rPr>
              <w:t xml:space="preserve"> </w:t>
            </w:r>
            <w:r w:rsidR="00FC1CE8">
              <w:rPr>
                <w:w w:val="105"/>
              </w:rPr>
              <w:t>people</w:t>
            </w:r>
            <w:r w:rsidR="00FC1CE8">
              <w:rPr>
                <w:spacing w:val="2"/>
                <w:w w:val="105"/>
              </w:rPr>
              <w:t xml:space="preserve"> </w:t>
            </w:r>
            <w:r w:rsidR="00FC1CE8">
              <w:rPr>
                <w:w w:val="105"/>
              </w:rPr>
              <w:t>die?</w:t>
            </w:r>
            <w:r w:rsidR="00FC1CE8">
              <w:rPr>
                <w:w w:val="105"/>
              </w:rPr>
              <w:tab/>
            </w:r>
          </w:hyperlink>
          <w:r w:rsidR="001F2413">
            <w:rPr>
              <w:rFonts w:ascii="Calibri"/>
              <w:w w:val="105"/>
            </w:rPr>
            <w:t>56</w:t>
          </w:r>
        </w:p>
        <w:p w:rsidR="00EA1F74" w:rsidRDefault="00096242">
          <w:pPr>
            <w:pStyle w:val="TOC4"/>
            <w:tabs>
              <w:tab w:val="right" w:leader="dot" w:pos="10316"/>
            </w:tabs>
            <w:spacing w:before="52"/>
            <w:rPr>
              <w:rFonts w:ascii="Calibri" w:hAnsi="Calibri"/>
            </w:rPr>
          </w:pPr>
          <w:hyperlink w:anchor="_TOC_250032" w:history="1">
            <w:r w:rsidR="00FC1CE8">
              <w:rPr>
                <w:w w:val="105"/>
              </w:rPr>
              <w:t>Potentially ‘avoidable’, ‘treatable’ and</w:t>
            </w:r>
            <w:r w:rsidR="00FC1CE8">
              <w:rPr>
                <w:spacing w:val="1"/>
                <w:w w:val="105"/>
              </w:rPr>
              <w:t xml:space="preserve"> </w:t>
            </w:r>
            <w:r w:rsidR="00FC1CE8">
              <w:rPr>
                <w:w w:val="105"/>
              </w:rPr>
              <w:t>‘preventable’ deaths</w:t>
            </w:r>
            <w:r w:rsidR="00FC1CE8">
              <w:rPr>
                <w:w w:val="105"/>
              </w:rPr>
              <w:tab/>
            </w:r>
          </w:hyperlink>
          <w:r w:rsidR="001F2413">
            <w:rPr>
              <w:rFonts w:ascii="Calibri" w:hAnsi="Calibri"/>
              <w:w w:val="105"/>
            </w:rPr>
            <w:t>58</w:t>
          </w:r>
        </w:p>
        <w:p w:rsidR="00EA1F74" w:rsidRDefault="00096242">
          <w:pPr>
            <w:pStyle w:val="TOC3"/>
            <w:tabs>
              <w:tab w:val="right" w:leader="dot" w:pos="10316"/>
            </w:tabs>
            <w:rPr>
              <w:rFonts w:ascii="Calibri"/>
            </w:rPr>
          </w:pPr>
          <w:hyperlink w:anchor="_TOC_250031" w:history="1">
            <w:r w:rsidR="00FC1CE8">
              <w:rPr>
                <w:w w:val="105"/>
              </w:rPr>
              <w:t>Underlying causes</w:t>
            </w:r>
            <w:r w:rsidR="00FC1CE8">
              <w:rPr>
                <w:spacing w:val="1"/>
                <w:w w:val="105"/>
              </w:rPr>
              <w:t xml:space="preserve"> </w:t>
            </w:r>
            <w:r w:rsidR="00FC1CE8">
              <w:rPr>
                <w:w w:val="105"/>
              </w:rPr>
              <w:t>of death</w:t>
            </w:r>
            <w:r w:rsidR="00FC1CE8">
              <w:rPr>
                <w:w w:val="105"/>
              </w:rPr>
              <w:tab/>
            </w:r>
          </w:hyperlink>
          <w:r w:rsidR="001F2413">
            <w:rPr>
              <w:rFonts w:ascii="Calibri"/>
              <w:w w:val="105"/>
            </w:rPr>
            <w:t>59</w:t>
          </w:r>
        </w:p>
        <w:p w:rsidR="00EA1F74" w:rsidRDefault="00096242">
          <w:pPr>
            <w:pStyle w:val="TOC4"/>
            <w:tabs>
              <w:tab w:val="right" w:leader="dot" w:pos="10316"/>
            </w:tabs>
            <w:spacing w:before="51"/>
            <w:rPr>
              <w:rFonts w:ascii="Calibri"/>
            </w:rPr>
          </w:pPr>
          <w:hyperlink w:anchor="_TOC_250030" w:history="1">
            <w:r w:rsidR="00FC1CE8">
              <w:rPr>
                <w:w w:val="105"/>
              </w:rPr>
              <w:t>Underlying causes of death at the ICD-10</w:t>
            </w:r>
            <w:r w:rsidR="00FC1CE8">
              <w:rPr>
                <w:spacing w:val="5"/>
                <w:w w:val="105"/>
              </w:rPr>
              <w:t xml:space="preserve"> </w:t>
            </w:r>
            <w:r w:rsidR="00FC1CE8">
              <w:rPr>
                <w:w w:val="105"/>
              </w:rPr>
              <w:t>Chapter level</w:t>
            </w:r>
            <w:r w:rsidR="00FC1CE8">
              <w:rPr>
                <w:w w:val="105"/>
              </w:rPr>
              <w:tab/>
            </w:r>
          </w:hyperlink>
          <w:r w:rsidR="001F2413">
            <w:rPr>
              <w:rFonts w:ascii="Calibri"/>
              <w:w w:val="105"/>
            </w:rPr>
            <w:t>59</w:t>
          </w:r>
        </w:p>
        <w:p w:rsidR="00EA1F74" w:rsidRDefault="00096242">
          <w:pPr>
            <w:pStyle w:val="TOC4"/>
            <w:tabs>
              <w:tab w:val="right" w:leader="dot" w:pos="10316"/>
            </w:tabs>
            <w:rPr>
              <w:rFonts w:ascii="Calibri"/>
            </w:rPr>
          </w:pPr>
          <w:hyperlink w:anchor="_TOC_250029" w:history="1">
            <w:r w:rsidR="00FC1CE8">
              <w:rPr>
                <w:w w:val="105"/>
              </w:rPr>
              <w:t>Underlying causes of death at ICD 10</w:t>
            </w:r>
            <w:r w:rsidR="00FC1CE8">
              <w:rPr>
                <w:spacing w:val="5"/>
                <w:w w:val="105"/>
              </w:rPr>
              <w:t xml:space="preserve"> </w:t>
            </w:r>
            <w:r w:rsidR="00FC1CE8">
              <w:rPr>
                <w:w w:val="105"/>
              </w:rPr>
              <w:t>Sub-Chapter level</w:t>
            </w:r>
            <w:r w:rsidR="00FC1CE8">
              <w:rPr>
                <w:w w:val="105"/>
              </w:rPr>
              <w:tab/>
            </w:r>
          </w:hyperlink>
          <w:r w:rsidR="001F2413">
            <w:rPr>
              <w:rFonts w:ascii="Calibri"/>
              <w:w w:val="105"/>
            </w:rPr>
            <w:t>61</w:t>
          </w:r>
        </w:p>
        <w:p w:rsidR="00EA1F74" w:rsidRDefault="00096242">
          <w:pPr>
            <w:pStyle w:val="TOC4"/>
            <w:tabs>
              <w:tab w:val="right" w:leader="dot" w:pos="10316"/>
            </w:tabs>
            <w:spacing w:before="52"/>
            <w:rPr>
              <w:rFonts w:ascii="Calibri"/>
            </w:rPr>
          </w:pPr>
          <w:hyperlink w:anchor="_TOC_250028" w:history="1">
            <w:r w:rsidR="00FC1CE8">
              <w:rPr>
                <w:w w:val="105"/>
              </w:rPr>
              <w:t>Associated causes of death and other contributory causes</w:t>
            </w:r>
            <w:r w:rsidR="00FC1CE8">
              <w:rPr>
                <w:spacing w:val="5"/>
                <w:w w:val="105"/>
              </w:rPr>
              <w:t xml:space="preserve"> </w:t>
            </w:r>
            <w:r w:rsidR="00FC1CE8">
              <w:rPr>
                <w:w w:val="105"/>
              </w:rPr>
              <w:t>of</w:t>
            </w:r>
            <w:r w:rsidR="00FC1CE8">
              <w:rPr>
                <w:spacing w:val="-1"/>
                <w:w w:val="105"/>
              </w:rPr>
              <w:t xml:space="preserve"> </w:t>
            </w:r>
            <w:r w:rsidR="00FC1CE8">
              <w:rPr>
                <w:w w:val="105"/>
              </w:rPr>
              <w:t>death</w:t>
            </w:r>
            <w:r w:rsidR="00FC1CE8">
              <w:rPr>
                <w:w w:val="105"/>
              </w:rPr>
              <w:tab/>
            </w:r>
          </w:hyperlink>
          <w:r w:rsidR="001F2413">
            <w:rPr>
              <w:rFonts w:ascii="Calibri"/>
              <w:w w:val="105"/>
            </w:rPr>
            <w:t>66</w:t>
          </w:r>
        </w:p>
        <w:p w:rsidR="00EA1F74" w:rsidRDefault="00096242">
          <w:pPr>
            <w:pStyle w:val="TOC4"/>
            <w:tabs>
              <w:tab w:val="right" w:leader="dot" w:pos="10316"/>
            </w:tabs>
            <w:spacing w:after="20"/>
            <w:rPr>
              <w:rFonts w:ascii="Calibri"/>
            </w:rPr>
          </w:pPr>
          <w:hyperlink w:anchor="_TOC_250027" w:history="1">
            <w:r w:rsidR="00FC1CE8">
              <w:rPr>
                <w:w w:val="105"/>
              </w:rPr>
              <w:t>Stratified demographics, causes and contributors</w:t>
            </w:r>
            <w:r w:rsidR="00FC1CE8">
              <w:rPr>
                <w:spacing w:val="3"/>
                <w:w w:val="105"/>
              </w:rPr>
              <w:t xml:space="preserve"> </w:t>
            </w:r>
            <w:r w:rsidR="00FC1CE8">
              <w:rPr>
                <w:w w:val="105"/>
              </w:rPr>
              <w:t>to</w:t>
            </w:r>
            <w:r w:rsidR="00FC1CE8">
              <w:rPr>
                <w:spacing w:val="3"/>
                <w:w w:val="105"/>
              </w:rPr>
              <w:t xml:space="preserve"> </w:t>
            </w:r>
            <w:r w:rsidR="00FC1CE8">
              <w:rPr>
                <w:w w:val="105"/>
              </w:rPr>
              <w:t>death</w:t>
            </w:r>
            <w:r w:rsidR="00FC1CE8">
              <w:rPr>
                <w:w w:val="105"/>
              </w:rPr>
              <w:tab/>
            </w:r>
          </w:hyperlink>
          <w:r w:rsidR="001F2413">
            <w:rPr>
              <w:rFonts w:ascii="Calibri"/>
              <w:w w:val="105"/>
            </w:rPr>
            <w:t>66</w:t>
          </w:r>
        </w:p>
        <w:p w:rsidR="00EA1F74" w:rsidRDefault="00096242">
          <w:pPr>
            <w:pStyle w:val="TOC1"/>
            <w:tabs>
              <w:tab w:val="left" w:leader="dot" w:pos="10073"/>
            </w:tabs>
            <w:spacing w:before="221"/>
          </w:pPr>
          <w:hyperlink w:anchor="_TOC_250026" w:history="1">
            <w:r w:rsidR="00FC1CE8">
              <w:t>Discussion</w:t>
            </w:r>
            <w:r w:rsidR="00FC1CE8">
              <w:tab/>
            </w:r>
          </w:hyperlink>
          <w:r w:rsidR="001F2413">
            <w:t>72</w:t>
          </w:r>
        </w:p>
        <w:p w:rsidR="00EA1F74" w:rsidRDefault="00096242">
          <w:pPr>
            <w:pStyle w:val="TOC2"/>
            <w:tabs>
              <w:tab w:val="left" w:leader="dot" w:pos="10093"/>
            </w:tabs>
            <w:spacing w:before="52"/>
            <w:rPr>
              <w:rFonts w:ascii="Calibri"/>
            </w:rPr>
          </w:pPr>
          <w:hyperlink w:anchor="_TOC_250025" w:history="1">
            <w:r w:rsidR="00FC1CE8">
              <w:rPr>
                <w:w w:val="105"/>
              </w:rPr>
              <w:t>Understanding broad patterns</w:t>
            </w:r>
            <w:r w:rsidR="00FC1CE8">
              <w:rPr>
                <w:spacing w:val="-12"/>
                <w:w w:val="105"/>
              </w:rPr>
              <w:t xml:space="preserve"> </w:t>
            </w:r>
            <w:r w:rsidR="00FC1CE8">
              <w:rPr>
                <w:w w:val="105"/>
              </w:rPr>
              <w:t>in</w:t>
            </w:r>
            <w:r w:rsidR="00FC1CE8">
              <w:rPr>
                <w:spacing w:val="-3"/>
                <w:w w:val="105"/>
              </w:rPr>
              <w:t xml:space="preserve"> </w:t>
            </w:r>
            <w:r w:rsidR="00FC1CE8">
              <w:rPr>
                <w:w w:val="105"/>
              </w:rPr>
              <w:t>mortality</w:t>
            </w:r>
            <w:r w:rsidR="00FC1CE8">
              <w:rPr>
                <w:w w:val="105"/>
              </w:rPr>
              <w:tab/>
            </w:r>
          </w:hyperlink>
          <w:r w:rsidR="001F2413">
            <w:rPr>
              <w:rFonts w:ascii="Calibri"/>
              <w:w w:val="105"/>
            </w:rPr>
            <w:t>72</w:t>
          </w:r>
        </w:p>
        <w:p w:rsidR="00EA1F74" w:rsidRDefault="00096242">
          <w:pPr>
            <w:pStyle w:val="TOC3"/>
            <w:tabs>
              <w:tab w:val="left" w:leader="dot" w:pos="10093"/>
            </w:tabs>
            <w:spacing w:before="56"/>
            <w:rPr>
              <w:rFonts w:ascii="Calibri"/>
            </w:rPr>
          </w:pPr>
          <w:hyperlink w:anchor="_TOC_250024" w:history="1">
            <w:r w:rsidR="00FC1CE8">
              <w:rPr>
                <w:w w:val="105"/>
              </w:rPr>
              <w:t>Median age</w:t>
            </w:r>
            <w:r w:rsidR="00FC1CE8">
              <w:rPr>
                <w:spacing w:val="-2"/>
                <w:w w:val="105"/>
              </w:rPr>
              <w:t xml:space="preserve"> </w:t>
            </w:r>
            <w:r w:rsidR="00FC1CE8">
              <w:rPr>
                <w:w w:val="105"/>
              </w:rPr>
              <w:t>of</w:t>
            </w:r>
            <w:r w:rsidR="00FC1CE8">
              <w:rPr>
                <w:spacing w:val="-3"/>
                <w:w w:val="105"/>
              </w:rPr>
              <w:t xml:space="preserve"> </w:t>
            </w:r>
            <w:r w:rsidR="00FC1CE8">
              <w:rPr>
                <w:w w:val="105"/>
              </w:rPr>
              <w:t>death</w:t>
            </w:r>
            <w:r w:rsidR="00FC1CE8">
              <w:rPr>
                <w:w w:val="105"/>
              </w:rPr>
              <w:tab/>
            </w:r>
          </w:hyperlink>
          <w:r w:rsidR="001F2413">
            <w:rPr>
              <w:rFonts w:ascii="Calibri"/>
              <w:w w:val="105"/>
            </w:rPr>
            <w:t>72</w:t>
          </w:r>
        </w:p>
        <w:p w:rsidR="00EA1F74" w:rsidRDefault="00096242">
          <w:pPr>
            <w:pStyle w:val="TOC3"/>
            <w:tabs>
              <w:tab w:val="left" w:leader="dot" w:pos="10093"/>
            </w:tabs>
            <w:rPr>
              <w:rFonts w:ascii="Calibri"/>
            </w:rPr>
          </w:pPr>
          <w:hyperlink w:anchor="_TOC_250023" w:history="1">
            <w:r w:rsidR="00FC1CE8">
              <w:rPr>
                <w:w w:val="105"/>
              </w:rPr>
              <w:t>Gender</w:t>
            </w:r>
            <w:r w:rsidR="00FC1CE8">
              <w:rPr>
                <w:w w:val="105"/>
              </w:rPr>
              <w:tab/>
            </w:r>
          </w:hyperlink>
          <w:r w:rsidR="001F2413">
            <w:rPr>
              <w:rFonts w:ascii="Calibri"/>
              <w:w w:val="105"/>
            </w:rPr>
            <w:t>74</w:t>
          </w:r>
        </w:p>
        <w:p w:rsidR="00EA1F74" w:rsidRDefault="00096242">
          <w:pPr>
            <w:pStyle w:val="TOC3"/>
            <w:tabs>
              <w:tab w:val="left" w:leader="dot" w:pos="10093"/>
            </w:tabs>
            <w:rPr>
              <w:rFonts w:ascii="Calibri"/>
            </w:rPr>
          </w:pPr>
          <w:hyperlink w:anchor="_TOC_250022" w:history="1">
            <w:r w:rsidR="00FC1CE8">
              <w:rPr>
                <w:w w:val="105"/>
              </w:rPr>
              <w:t>Broad causes</w:t>
            </w:r>
            <w:r w:rsidR="00FC1CE8">
              <w:rPr>
                <w:spacing w:val="-3"/>
                <w:w w:val="105"/>
              </w:rPr>
              <w:t xml:space="preserve"> </w:t>
            </w:r>
            <w:r w:rsidR="00FC1CE8">
              <w:rPr>
                <w:w w:val="105"/>
              </w:rPr>
              <w:t>of</w:t>
            </w:r>
            <w:r w:rsidR="00FC1CE8">
              <w:rPr>
                <w:spacing w:val="-2"/>
                <w:w w:val="105"/>
              </w:rPr>
              <w:t xml:space="preserve"> </w:t>
            </w:r>
            <w:r w:rsidR="00FC1CE8">
              <w:rPr>
                <w:w w:val="105"/>
              </w:rPr>
              <w:t>deaths</w:t>
            </w:r>
            <w:r w:rsidR="00FC1CE8">
              <w:rPr>
                <w:w w:val="105"/>
              </w:rPr>
              <w:tab/>
            </w:r>
          </w:hyperlink>
          <w:r w:rsidR="001F2413">
            <w:rPr>
              <w:rFonts w:ascii="Calibri"/>
              <w:w w:val="105"/>
            </w:rPr>
            <w:t>75</w:t>
          </w:r>
        </w:p>
        <w:p w:rsidR="00EA1F74" w:rsidRDefault="00096242">
          <w:pPr>
            <w:pStyle w:val="TOC2"/>
            <w:tabs>
              <w:tab w:val="left" w:leader="dot" w:pos="10093"/>
            </w:tabs>
            <w:spacing w:before="55"/>
            <w:rPr>
              <w:rFonts w:ascii="Calibri"/>
            </w:rPr>
          </w:pPr>
          <w:hyperlink w:anchor="_TOC_250021" w:history="1">
            <w:r w:rsidR="00FC1CE8">
              <w:rPr>
                <w:w w:val="105"/>
              </w:rPr>
              <w:t>Respiratory</w:t>
            </w:r>
            <w:r w:rsidR="00FC1CE8">
              <w:rPr>
                <w:spacing w:val="-4"/>
                <w:w w:val="105"/>
              </w:rPr>
              <w:t xml:space="preserve"> </w:t>
            </w:r>
            <w:r w:rsidR="00FC1CE8">
              <w:rPr>
                <w:w w:val="105"/>
              </w:rPr>
              <w:t>deaths</w:t>
            </w:r>
            <w:r w:rsidR="00FC1CE8">
              <w:rPr>
                <w:w w:val="105"/>
              </w:rPr>
              <w:tab/>
            </w:r>
          </w:hyperlink>
          <w:r w:rsidR="001F2413">
            <w:rPr>
              <w:rFonts w:ascii="Calibri"/>
              <w:w w:val="105"/>
            </w:rPr>
            <w:t>76</w:t>
          </w:r>
        </w:p>
        <w:p w:rsidR="00EA1F74" w:rsidRDefault="00096242">
          <w:pPr>
            <w:pStyle w:val="TOC3"/>
            <w:tabs>
              <w:tab w:val="left" w:leader="dot" w:pos="10093"/>
            </w:tabs>
            <w:rPr>
              <w:rFonts w:ascii="Calibri"/>
            </w:rPr>
          </w:pPr>
          <w:hyperlink w:anchor="_TOC_250020" w:history="1">
            <w:r w:rsidR="00FC1CE8">
              <w:rPr>
                <w:w w:val="105"/>
              </w:rPr>
              <w:t>Prevalence</w:t>
            </w:r>
            <w:r w:rsidR="00FC1CE8">
              <w:rPr>
                <w:w w:val="105"/>
              </w:rPr>
              <w:tab/>
            </w:r>
          </w:hyperlink>
          <w:r w:rsidR="001F2413">
            <w:rPr>
              <w:rFonts w:ascii="Calibri"/>
              <w:w w:val="105"/>
            </w:rPr>
            <w:t>76</w:t>
          </w:r>
        </w:p>
        <w:p w:rsidR="00EA1F74" w:rsidRDefault="00096242">
          <w:pPr>
            <w:pStyle w:val="TOC3"/>
            <w:tabs>
              <w:tab w:val="left" w:leader="dot" w:pos="10093"/>
            </w:tabs>
            <w:rPr>
              <w:rFonts w:ascii="Calibri"/>
            </w:rPr>
          </w:pPr>
          <w:hyperlink w:anchor="_TOC_250019" w:history="1">
            <w:r w:rsidR="00FC1CE8">
              <w:rPr>
                <w:w w:val="105"/>
              </w:rPr>
              <w:t>Demographics of people who died from</w:t>
            </w:r>
            <w:r w:rsidR="00FC1CE8">
              <w:rPr>
                <w:spacing w:val="-23"/>
                <w:w w:val="105"/>
              </w:rPr>
              <w:t xml:space="preserve"> </w:t>
            </w:r>
            <w:r w:rsidR="00FC1CE8">
              <w:rPr>
                <w:w w:val="105"/>
              </w:rPr>
              <w:t>aspiration</w:t>
            </w:r>
            <w:r w:rsidR="00FC1CE8">
              <w:rPr>
                <w:spacing w:val="-4"/>
                <w:w w:val="105"/>
              </w:rPr>
              <w:t xml:space="preserve"> </w:t>
            </w:r>
            <w:r w:rsidR="00FC1CE8">
              <w:rPr>
                <w:w w:val="105"/>
              </w:rPr>
              <w:t>pneumonia</w:t>
            </w:r>
            <w:r w:rsidR="00FC1CE8">
              <w:rPr>
                <w:w w:val="105"/>
              </w:rPr>
              <w:tab/>
            </w:r>
          </w:hyperlink>
          <w:r w:rsidR="001F2413">
            <w:rPr>
              <w:rFonts w:ascii="Calibri"/>
              <w:w w:val="105"/>
            </w:rPr>
            <w:t>76</w:t>
          </w:r>
        </w:p>
        <w:p w:rsidR="00EA1F74" w:rsidRDefault="00096242">
          <w:pPr>
            <w:pStyle w:val="TOC3"/>
            <w:tabs>
              <w:tab w:val="left" w:leader="dot" w:pos="10093"/>
            </w:tabs>
            <w:spacing w:before="56"/>
            <w:rPr>
              <w:rFonts w:ascii="Calibri"/>
            </w:rPr>
          </w:pPr>
          <w:hyperlink w:anchor="_TOC_250018" w:history="1">
            <w:r w:rsidR="00FC1CE8">
              <w:rPr>
                <w:w w:val="105"/>
              </w:rPr>
              <w:t>Risk</w:t>
            </w:r>
            <w:r w:rsidR="00FC1CE8">
              <w:rPr>
                <w:spacing w:val="-2"/>
                <w:w w:val="105"/>
              </w:rPr>
              <w:t xml:space="preserve"> </w:t>
            </w:r>
            <w:r w:rsidR="00FC1CE8">
              <w:rPr>
                <w:w w:val="105"/>
              </w:rPr>
              <w:t>factors</w:t>
            </w:r>
            <w:r w:rsidR="00FC1CE8">
              <w:rPr>
                <w:w w:val="105"/>
              </w:rPr>
              <w:tab/>
            </w:r>
          </w:hyperlink>
          <w:r w:rsidR="001F2413">
            <w:rPr>
              <w:rFonts w:ascii="Calibri"/>
              <w:w w:val="105"/>
            </w:rPr>
            <w:t>77</w:t>
          </w:r>
        </w:p>
        <w:p w:rsidR="00EA1F74" w:rsidRDefault="00096242">
          <w:pPr>
            <w:pStyle w:val="TOC2"/>
            <w:tabs>
              <w:tab w:val="left" w:leader="dot" w:pos="10093"/>
            </w:tabs>
            <w:spacing w:before="50"/>
            <w:rPr>
              <w:rFonts w:ascii="Calibri"/>
            </w:rPr>
          </w:pPr>
          <w:hyperlink w:anchor="_TOC_250017" w:history="1">
            <w:r w:rsidR="00FC1CE8">
              <w:rPr>
                <w:w w:val="105"/>
              </w:rPr>
              <w:t>External causes of</w:t>
            </w:r>
            <w:r w:rsidR="00FC1CE8">
              <w:rPr>
                <w:spacing w:val="-9"/>
                <w:w w:val="105"/>
              </w:rPr>
              <w:t xml:space="preserve"> </w:t>
            </w:r>
            <w:r w:rsidR="00FC1CE8">
              <w:rPr>
                <w:w w:val="105"/>
              </w:rPr>
              <w:t>death-</w:t>
            </w:r>
            <w:r w:rsidR="00FC1CE8">
              <w:rPr>
                <w:spacing w:val="-3"/>
                <w:w w:val="105"/>
              </w:rPr>
              <w:t xml:space="preserve"> </w:t>
            </w:r>
            <w:r w:rsidR="00FC1CE8">
              <w:rPr>
                <w:w w:val="105"/>
              </w:rPr>
              <w:t>choking</w:t>
            </w:r>
            <w:r w:rsidR="00FC1CE8">
              <w:rPr>
                <w:w w:val="105"/>
              </w:rPr>
              <w:tab/>
            </w:r>
          </w:hyperlink>
          <w:r w:rsidR="001F2413">
            <w:rPr>
              <w:rFonts w:ascii="Calibri"/>
              <w:w w:val="105"/>
            </w:rPr>
            <w:t>83</w:t>
          </w:r>
        </w:p>
        <w:p w:rsidR="00EA1F74" w:rsidRDefault="00096242">
          <w:pPr>
            <w:pStyle w:val="TOC3"/>
            <w:tabs>
              <w:tab w:val="left" w:leader="dot" w:pos="10093"/>
            </w:tabs>
            <w:rPr>
              <w:rFonts w:ascii="Calibri"/>
            </w:rPr>
          </w:pPr>
          <w:hyperlink w:anchor="_TOC_250016" w:history="1">
            <w:r w:rsidR="00FC1CE8">
              <w:rPr>
                <w:w w:val="105"/>
              </w:rPr>
              <w:t>Prevalence</w:t>
            </w:r>
            <w:r w:rsidR="00FC1CE8">
              <w:rPr>
                <w:w w:val="105"/>
              </w:rPr>
              <w:tab/>
            </w:r>
          </w:hyperlink>
          <w:r w:rsidR="001F2413">
            <w:rPr>
              <w:rFonts w:ascii="Calibri"/>
              <w:w w:val="105"/>
            </w:rPr>
            <w:t>83</w:t>
          </w:r>
        </w:p>
        <w:p w:rsidR="00EA1F74" w:rsidRDefault="00096242">
          <w:pPr>
            <w:pStyle w:val="TOC3"/>
            <w:tabs>
              <w:tab w:val="left" w:leader="dot" w:pos="10093"/>
            </w:tabs>
            <w:spacing w:before="56"/>
            <w:rPr>
              <w:rFonts w:ascii="Calibri"/>
            </w:rPr>
          </w:pPr>
          <w:hyperlink w:anchor="_TOC_250015" w:history="1">
            <w:r w:rsidR="00FC1CE8">
              <w:rPr>
                <w:w w:val="105"/>
              </w:rPr>
              <w:t>Demographics of people who died</w:t>
            </w:r>
            <w:r w:rsidR="00FC1CE8">
              <w:rPr>
                <w:spacing w:val="-18"/>
                <w:w w:val="105"/>
              </w:rPr>
              <w:t xml:space="preserve"> </w:t>
            </w:r>
            <w:r w:rsidR="00FC1CE8">
              <w:rPr>
                <w:w w:val="105"/>
              </w:rPr>
              <w:t>from</w:t>
            </w:r>
            <w:r w:rsidR="00FC1CE8">
              <w:rPr>
                <w:spacing w:val="-1"/>
                <w:w w:val="105"/>
              </w:rPr>
              <w:t xml:space="preserve"> </w:t>
            </w:r>
            <w:r w:rsidR="00FC1CE8">
              <w:rPr>
                <w:w w:val="105"/>
              </w:rPr>
              <w:t>choking</w:t>
            </w:r>
            <w:r w:rsidR="00FC1CE8">
              <w:rPr>
                <w:w w:val="105"/>
              </w:rPr>
              <w:tab/>
            </w:r>
          </w:hyperlink>
          <w:r w:rsidR="001F2413">
            <w:rPr>
              <w:rFonts w:ascii="Calibri"/>
              <w:w w:val="105"/>
            </w:rPr>
            <w:t>84</w:t>
          </w:r>
        </w:p>
        <w:p w:rsidR="00EA1F74" w:rsidRDefault="00096242">
          <w:pPr>
            <w:pStyle w:val="TOC3"/>
            <w:tabs>
              <w:tab w:val="left" w:leader="dot" w:pos="10093"/>
            </w:tabs>
            <w:rPr>
              <w:rFonts w:ascii="Calibri"/>
            </w:rPr>
          </w:pPr>
          <w:hyperlink w:anchor="_TOC_250014" w:history="1">
            <w:r w:rsidR="00FC1CE8">
              <w:rPr>
                <w:w w:val="105"/>
              </w:rPr>
              <w:t>Risk</w:t>
            </w:r>
            <w:r w:rsidR="00FC1CE8">
              <w:rPr>
                <w:spacing w:val="-3"/>
                <w:w w:val="105"/>
              </w:rPr>
              <w:t xml:space="preserve"> </w:t>
            </w:r>
            <w:r w:rsidR="00FC1CE8">
              <w:rPr>
                <w:w w:val="105"/>
              </w:rPr>
              <w:t>Factors</w:t>
            </w:r>
            <w:r w:rsidR="00FC1CE8">
              <w:rPr>
                <w:w w:val="105"/>
              </w:rPr>
              <w:tab/>
            </w:r>
          </w:hyperlink>
          <w:r w:rsidR="001F2413">
            <w:rPr>
              <w:rFonts w:ascii="Calibri"/>
              <w:w w:val="105"/>
            </w:rPr>
            <w:t>84</w:t>
          </w:r>
        </w:p>
        <w:p w:rsidR="00EA1F74" w:rsidRDefault="00096242">
          <w:pPr>
            <w:pStyle w:val="TOC2"/>
            <w:tabs>
              <w:tab w:val="left" w:leader="dot" w:pos="10093"/>
            </w:tabs>
            <w:rPr>
              <w:rFonts w:ascii="Calibri"/>
            </w:rPr>
          </w:pPr>
          <w:hyperlink w:anchor="_TOC_250013" w:history="1">
            <w:r w:rsidR="00FC1CE8">
              <w:rPr>
                <w:w w:val="105"/>
              </w:rPr>
              <w:t>Deaths related</w:t>
            </w:r>
            <w:r w:rsidR="00FC1CE8">
              <w:rPr>
                <w:spacing w:val="-6"/>
                <w:w w:val="105"/>
              </w:rPr>
              <w:t xml:space="preserve"> </w:t>
            </w:r>
            <w:r w:rsidR="00FC1CE8">
              <w:rPr>
                <w:w w:val="105"/>
              </w:rPr>
              <w:t>to</w:t>
            </w:r>
            <w:r w:rsidR="00FC1CE8">
              <w:rPr>
                <w:spacing w:val="-2"/>
                <w:w w:val="105"/>
              </w:rPr>
              <w:t xml:space="preserve"> </w:t>
            </w:r>
            <w:r w:rsidR="00FC1CE8">
              <w:rPr>
                <w:w w:val="105"/>
              </w:rPr>
              <w:t>Epilepsy</w:t>
            </w:r>
            <w:r w:rsidR="00FC1CE8">
              <w:rPr>
                <w:w w:val="105"/>
              </w:rPr>
              <w:tab/>
            </w:r>
          </w:hyperlink>
          <w:r w:rsidR="001F2413">
            <w:rPr>
              <w:rFonts w:ascii="Calibri"/>
              <w:w w:val="105"/>
            </w:rPr>
            <w:t>86</w:t>
          </w:r>
        </w:p>
        <w:p w:rsidR="00EA1F74" w:rsidRDefault="00096242">
          <w:pPr>
            <w:pStyle w:val="TOC3"/>
            <w:tabs>
              <w:tab w:val="left" w:leader="dot" w:pos="10093"/>
            </w:tabs>
            <w:spacing w:before="55"/>
            <w:rPr>
              <w:rFonts w:ascii="Calibri"/>
            </w:rPr>
          </w:pPr>
          <w:hyperlink w:anchor="_TOC_250012" w:history="1">
            <w:r w:rsidR="00FC1CE8">
              <w:rPr>
                <w:w w:val="105"/>
              </w:rPr>
              <w:t>Prevalence</w:t>
            </w:r>
            <w:r w:rsidR="00FC1CE8">
              <w:rPr>
                <w:w w:val="105"/>
              </w:rPr>
              <w:tab/>
            </w:r>
          </w:hyperlink>
          <w:r w:rsidR="001F2413">
            <w:rPr>
              <w:rFonts w:ascii="Calibri"/>
              <w:w w:val="105"/>
            </w:rPr>
            <w:t>86</w:t>
          </w:r>
        </w:p>
        <w:p w:rsidR="00EA1F74" w:rsidRDefault="00096242">
          <w:pPr>
            <w:pStyle w:val="TOC3"/>
            <w:tabs>
              <w:tab w:val="left" w:leader="dot" w:pos="10093"/>
            </w:tabs>
            <w:rPr>
              <w:rFonts w:ascii="Calibri"/>
            </w:rPr>
          </w:pPr>
          <w:hyperlink w:anchor="_TOC_250011" w:history="1">
            <w:r w:rsidR="00FC1CE8">
              <w:rPr>
                <w:w w:val="105"/>
              </w:rPr>
              <w:t>Demographics of people with epilepsy</w:t>
            </w:r>
            <w:r w:rsidR="00FC1CE8">
              <w:rPr>
                <w:spacing w:val="-19"/>
                <w:w w:val="105"/>
              </w:rPr>
              <w:t xml:space="preserve"> </w:t>
            </w:r>
            <w:r w:rsidR="00FC1CE8">
              <w:rPr>
                <w:w w:val="105"/>
              </w:rPr>
              <w:t>who</w:t>
            </w:r>
            <w:r w:rsidR="00FC1CE8">
              <w:rPr>
                <w:spacing w:val="-3"/>
                <w:w w:val="105"/>
              </w:rPr>
              <w:t xml:space="preserve"> </w:t>
            </w:r>
            <w:r w:rsidR="00FC1CE8">
              <w:rPr>
                <w:w w:val="105"/>
              </w:rPr>
              <w:t>died</w:t>
            </w:r>
            <w:r w:rsidR="00FC1CE8">
              <w:rPr>
                <w:w w:val="105"/>
              </w:rPr>
              <w:tab/>
            </w:r>
          </w:hyperlink>
          <w:r w:rsidR="001F2413">
            <w:rPr>
              <w:rFonts w:ascii="Calibri"/>
              <w:w w:val="105"/>
            </w:rPr>
            <w:t>86</w:t>
          </w:r>
        </w:p>
        <w:p w:rsidR="00EA1F74" w:rsidRDefault="00096242">
          <w:pPr>
            <w:pStyle w:val="TOC3"/>
            <w:tabs>
              <w:tab w:val="left" w:leader="dot" w:pos="10093"/>
            </w:tabs>
            <w:rPr>
              <w:rFonts w:ascii="Calibri"/>
            </w:rPr>
          </w:pPr>
          <w:hyperlink w:anchor="_TOC_250010" w:history="1">
            <w:r w:rsidR="00FC1CE8">
              <w:rPr>
                <w:w w:val="105"/>
              </w:rPr>
              <w:t>Risk</w:t>
            </w:r>
            <w:r w:rsidR="00FC1CE8">
              <w:rPr>
                <w:spacing w:val="-3"/>
                <w:w w:val="105"/>
              </w:rPr>
              <w:t xml:space="preserve"> </w:t>
            </w:r>
            <w:r w:rsidR="00FC1CE8">
              <w:rPr>
                <w:w w:val="105"/>
              </w:rPr>
              <w:t>Factors</w:t>
            </w:r>
            <w:r w:rsidR="00FC1CE8">
              <w:rPr>
                <w:w w:val="105"/>
              </w:rPr>
              <w:tab/>
            </w:r>
          </w:hyperlink>
          <w:r w:rsidR="001F2413">
            <w:rPr>
              <w:rFonts w:ascii="Calibri"/>
              <w:w w:val="105"/>
            </w:rPr>
            <w:t>86</w:t>
          </w:r>
        </w:p>
        <w:p w:rsidR="00EA1F74" w:rsidRDefault="00096242">
          <w:pPr>
            <w:pStyle w:val="TOC2"/>
            <w:tabs>
              <w:tab w:val="left" w:leader="dot" w:pos="10093"/>
            </w:tabs>
            <w:spacing w:before="49" w:line="292" w:lineRule="auto"/>
            <w:ind w:right="1181"/>
            <w:rPr>
              <w:rFonts w:ascii="Calibri"/>
            </w:rPr>
          </w:pPr>
          <w:hyperlink w:anchor="_TOC_250009" w:history="1">
            <w:r w:rsidR="00FC1CE8">
              <w:rPr>
                <w:w w:val="105"/>
              </w:rPr>
              <w:t>Deaths due to neoplasms and circulatory disease: Understanding and addressing lifestyle</w:t>
            </w:r>
            <w:r w:rsidR="00FC1CE8">
              <w:rPr>
                <w:spacing w:val="-2"/>
                <w:w w:val="105"/>
              </w:rPr>
              <w:t xml:space="preserve"> </w:t>
            </w:r>
            <w:r w:rsidR="00FC1CE8">
              <w:rPr>
                <w:w w:val="105"/>
              </w:rPr>
              <w:t>related</w:t>
            </w:r>
            <w:r w:rsidR="00FC1CE8">
              <w:rPr>
                <w:spacing w:val="-2"/>
                <w:w w:val="105"/>
              </w:rPr>
              <w:t xml:space="preserve"> </w:t>
            </w:r>
            <w:r w:rsidR="00FC1CE8">
              <w:rPr>
                <w:w w:val="105"/>
              </w:rPr>
              <w:t>risks</w:t>
            </w:r>
            <w:r w:rsidR="00FC1CE8">
              <w:rPr>
                <w:w w:val="105"/>
              </w:rPr>
              <w:tab/>
            </w:r>
          </w:hyperlink>
          <w:r w:rsidR="001F2413">
            <w:rPr>
              <w:rFonts w:ascii="Calibri"/>
              <w:spacing w:val="-7"/>
              <w:w w:val="105"/>
            </w:rPr>
            <w:t>88</w:t>
          </w:r>
        </w:p>
        <w:p w:rsidR="00EA1F74" w:rsidRDefault="00096242">
          <w:pPr>
            <w:pStyle w:val="TOC3"/>
            <w:tabs>
              <w:tab w:val="left" w:leader="dot" w:pos="10093"/>
            </w:tabs>
            <w:spacing w:before="0" w:line="256" w:lineRule="exact"/>
            <w:rPr>
              <w:rFonts w:ascii="Calibri"/>
            </w:rPr>
          </w:pPr>
          <w:hyperlink w:anchor="_TOC_250008" w:history="1">
            <w:r w:rsidR="00FC1CE8">
              <w:rPr>
                <w:w w:val="105"/>
              </w:rPr>
              <w:t>Neoplasms</w:t>
            </w:r>
            <w:r w:rsidR="00FC1CE8">
              <w:rPr>
                <w:w w:val="105"/>
              </w:rPr>
              <w:tab/>
            </w:r>
          </w:hyperlink>
          <w:r w:rsidR="001F2413">
            <w:rPr>
              <w:rFonts w:ascii="Calibri"/>
              <w:w w:val="105"/>
            </w:rPr>
            <w:t>88</w:t>
          </w:r>
        </w:p>
        <w:p w:rsidR="00EA1F74" w:rsidRDefault="00096242">
          <w:pPr>
            <w:pStyle w:val="TOC3"/>
            <w:tabs>
              <w:tab w:val="left" w:leader="dot" w:pos="10093"/>
            </w:tabs>
            <w:rPr>
              <w:rFonts w:ascii="Calibri"/>
            </w:rPr>
          </w:pPr>
          <w:hyperlink w:anchor="_TOC_250007" w:history="1">
            <w:r w:rsidR="00FC1CE8">
              <w:rPr>
                <w:w w:val="105"/>
              </w:rPr>
              <w:t>Circulatory</w:t>
            </w:r>
            <w:r w:rsidR="00FC1CE8">
              <w:rPr>
                <w:spacing w:val="-4"/>
                <w:w w:val="105"/>
              </w:rPr>
              <w:t xml:space="preserve"> </w:t>
            </w:r>
            <w:r w:rsidR="00FC1CE8">
              <w:rPr>
                <w:w w:val="105"/>
              </w:rPr>
              <w:t>deaths</w:t>
            </w:r>
            <w:r w:rsidR="00FC1CE8">
              <w:rPr>
                <w:w w:val="105"/>
              </w:rPr>
              <w:tab/>
            </w:r>
          </w:hyperlink>
          <w:r w:rsidR="001F2413">
            <w:rPr>
              <w:rFonts w:ascii="Calibri"/>
              <w:w w:val="105"/>
            </w:rPr>
            <w:t>89</w:t>
          </w:r>
        </w:p>
        <w:p w:rsidR="00EA1F74" w:rsidRDefault="00096242">
          <w:pPr>
            <w:pStyle w:val="TOC3"/>
            <w:tabs>
              <w:tab w:val="left" w:leader="dot" w:pos="10093"/>
            </w:tabs>
            <w:rPr>
              <w:rFonts w:ascii="Calibri"/>
            </w:rPr>
          </w:pPr>
          <w:hyperlink w:anchor="_TOC_250006" w:history="1">
            <w:r w:rsidR="00FC1CE8">
              <w:rPr>
                <w:w w:val="105"/>
              </w:rPr>
              <w:t>Identifying lifestyle related risks across</w:t>
            </w:r>
            <w:r w:rsidR="00FC1CE8">
              <w:rPr>
                <w:spacing w:val="-19"/>
                <w:w w:val="105"/>
              </w:rPr>
              <w:t xml:space="preserve"> </w:t>
            </w:r>
            <w:r w:rsidR="00FC1CE8">
              <w:rPr>
                <w:w w:val="105"/>
              </w:rPr>
              <w:t>the</w:t>
            </w:r>
            <w:r w:rsidR="00FC1CE8">
              <w:rPr>
                <w:spacing w:val="-4"/>
                <w:w w:val="105"/>
              </w:rPr>
              <w:t xml:space="preserve"> </w:t>
            </w:r>
            <w:r w:rsidR="00FC1CE8">
              <w:rPr>
                <w:w w:val="105"/>
              </w:rPr>
              <w:t>samples</w:t>
            </w:r>
            <w:r w:rsidR="00FC1CE8">
              <w:rPr>
                <w:w w:val="105"/>
              </w:rPr>
              <w:tab/>
            </w:r>
          </w:hyperlink>
          <w:r w:rsidR="001F2413">
            <w:rPr>
              <w:rFonts w:ascii="Calibri"/>
              <w:w w:val="105"/>
            </w:rPr>
            <w:t>90</w:t>
          </w:r>
        </w:p>
        <w:p w:rsidR="00EA1F74" w:rsidRDefault="00096242">
          <w:pPr>
            <w:pStyle w:val="TOC2"/>
            <w:tabs>
              <w:tab w:val="left" w:leader="dot" w:pos="10093"/>
            </w:tabs>
            <w:spacing w:before="55"/>
            <w:rPr>
              <w:rFonts w:ascii="Calibri"/>
            </w:rPr>
          </w:pPr>
          <w:hyperlink w:anchor="_TOC_250005" w:history="1">
            <w:r w:rsidR="00FC1CE8">
              <w:rPr>
                <w:w w:val="105"/>
              </w:rPr>
              <w:t>Overarching problems spanning jurisdictions and types</w:t>
            </w:r>
            <w:r w:rsidR="00FC1CE8">
              <w:rPr>
                <w:spacing w:val="-20"/>
                <w:w w:val="105"/>
              </w:rPr>
              <w:t xml:space="preserve"> </w:t>
            </w:r>
            <w:r w:rsidR="00FC1CE8">
              <w:rPr>
                <w:w w:val="105"/>
              </w:rPr>
              <w:t>of</w:t>
            </w:r>
            <w:r w:rsidR="00FC1CE8">
              <w:rPr>
                <w:spacing w:val="-4"/>
                <w:w w:val="105"/>
              </w:rPr>
              <w:t xml:space="preserve"> </w:t>
            </w:r>
            <w:r w:rsidR="00FC1CE8">
              <w:rPr>
                <w:w w:val="105"/>
              </w:rPr>
              <w:t>deaths</w:t>
            </w:r>
            <w:r w:rsidR="00FC1CE8">
              <w:rPr>
                <w:w w:val="105"/>
              </w:rPr>
              <w:tab/>
            </w:r>
          </w:hyperlink>
          <w:r w:rsidR="001F2413">
            <w:rPr>
              <w:rFonts w:ascii="Calibri"/>
              <w:w w:val="105"/>
            </w:rPr>
            <w:t>93</w:t>
          </w:r>
        </w:p>
        <w:p w:rsidR="00EA1F74" w:rsidRDefault="00096242">
          <w:pPr>
            <w:pStyle w:val="TOC3"/>
            <w:tabs>
              <w:tab w:val="left" w:leader="dot" w:pos="10093"/>
            </w:tabs>
            <w:rPr>
              <w:rFonts w:ascii="Calibri"/>
            </w:rPr>
          </w:pPr>
          <w:hyperlink w:anchor="_TOC_250004" w:history="1">
            <w:r w:rsidR="00FC1CE8">
              <w:rPr>
                <w:w w:val="105"/>
              </w:rPr>
              <w:t>Access to preventative</w:t>
            </w:r>
            <w:r w:rsidR="00FC1CE8">
              <w:rPr>
                <w:spacing w:val="-7"/>
                <w:w w:val="105"/>
              </w:rPr>
              <w:t xml:space="preserve"> </w:t>
            </w:r>
            <w:r w:rsidR="00FC1CE8">
              <w:rPr>
                <w:w w:val="105"/>
              </w:rPr>
              <w:t>health</w:t>
            </w:r>
            <w:r w:rsidR="00FC1CE8">
              <w:rPr>
                <w:spacing w:val="-2"/>
                <w:w w:val="105"/>
              </w:rPr>
              <w:t xml:space="preserve"> </w:t>
            </w:r>
            <w:r w:rsidR="00FC1CE8">
              <w:rPr>
                <w:w w:val="105"/>
              </w:rPr>
              <w:t>care</w:t>
            </w:r>
            <w:r w:rsidR="00FC1CE8">
              <w:rPr>
                <w:w w:val="105"/>
              </w:rPr>
              <w:tab/>
            </w:r>
          </w:hyperlink>
          <w:r w:rsidR="001F2413">
            <w:rPr>
              <w:rFonts w:ascii="Calibri"/>
              <w:w w:val="105"/>
            </w:rPr>
            <w:t>93</w:t>
          </w:r>
        </w:p>
        <w:p w:rsidR="00EA1F74" w:rsidRDefault="00096242">
          <w:pPr>
            <w:pStyle w:val="TOC3"/>
            <w:tabs>
              <w:tab w:val="left" w:leader="dot" w:pos="10093"/>
            </w:tabs>
            <w:rPr>
              <w:rFonts w:ascii="Calibri"/>
            </w:rPr>
          </w:pPr>
          <w:hyperlink w:anchor="_TOC_250003" w:history="1">
            <w:r w:rsidR="00FC1CE8">
              <w:rPr>
                <w:w w:val="105"/>
              </w:rPr>
              <w:t>Identifying and responding to emerging</w:t>
            </w:r>
            <w:r w:rsidR="00FC1CE8">
              <w:rPr>
                <w:spacing w:val="-16"/>
                <w:w w:val="105"/>
              </w:rPr>
              <w:t xml:space="preserve"> </w:t>
            </w:r>
            <w:r w:rsidR="00FC1CE8">
              <w:rPr>
                <w:w w:val="105"/>
              </w:rPr>
              <w:t>health</w:t>
            </w:r>
            <w:r w:rsidR="00FC1CE8">
              <w:rPr>
                <w:spacing w:val="-3"/>
                <w:w w:val="105"/>
              </w:rPr>
              <w:t xml:space="preserve"> </w:t>
            </w:r>
            <w:r w:rsidR="00FC1CE8">
              <w:rPr>
                <w:w w:val="105"/>
              </w:rPr>
              <w:t>concerns</w:t>
            </w:r>
            <w:r w:rsidR="00FC1CE8">
              <w:rPr>
                <w:w w:val="105"/>
              </w:rPr>
              <w:tab/>
            </w:r>
          </w:hyperlink>
          <w:r w:rsidR="001F2413">
            <w:rPr>
              <w:rFonts w:ascii="Calibri"/>
              <w:w w:val="105"/>
            </w:rPr>
            <w:t>96</w:t>
          </w:r>
        </w:p>
        <w:p w:rsidR="00EA1F74" w:rsidRDefault="00096242">
          <w:pPr>
            <w:pStyle w:val="TOC3"/>
            <w:tabs>
              <w:tab w:val="left" w:leader="dot" w:pos="10093"/>
            </w:tabs>
            <w:spacing w:before="56"/>
            <w:rPr>
              <w:rFonts w:ascii="Calibri"/>
            </w:rPr>
          </w:pPr>
          <w:hyperlink w:anchor="_TOC_250002" w:history="1">
            <w:r w:rsidR="00FC1CE8">
              <w:rPr>
                <w:w w:val="105"/>
              </w:rPr>
              <w:t>Supporting end of</w:t>
            </w:r>
            <w:r w:rsidR="00FC1CE8">
              <w:rPr>
                <w:spacing w:val="-6"/>
                <w:w w:val="105"/>
              </w:rPr>
              <w:t xml:space="preserve"> </w:t>
            </w:r>
            <w:r w:rsidR="00FC1CE8">
              <w:rPr>
                <w:w w:val="105"/>
              </w:rPr>
              <w:t>life</w:t>
            </w:r>
            <w:r w:rsidR="00FC1CE8">
              <w:rPr>
                <w:spacing w:val="-1"/>
                <w:w w:val="105"/>
              </w:rPr>
              <w:t xml:space="preserve"> </w:t>
            </w:r>
            <w:r w:rsidR="00FC1CE8">
              <w:rPr>
                <w:w w:val="105"/>
              </w:rPr>
              <w:t>care</w:t>
            </w:r>
            <w:r w:rsidR="00FC1CE8">
              <w:rPr>
                <w:w w:val="105"/>
              </w:rPr>
              <w:tab/>
            </w:r>
          </w:hyperlink>
          <w:r w:rsidR="001F2413">
            <w:rPr>
              <w:rFonts w:ascii="Calibri"/>
              <w:w w:val="105"/>
            </w:rPr>
            <w:t>99</w:t>
          </w:r>
        </w:p>
        <w:p w:rsidR="00EA1F74" w:rsidRDefault="00096242">
          <w:pPr>
            <w:pStyle w:val="TOC1"/>
            <w:tabs>
              <w:tab w:val="left" w:leader="dot" w:pos="10073"/>
            </w:tabs>
            <w:spacing w:before="161"/>
          </w:pPr>
          <w:hyperlink w:anchor="_TOC_250001" w:history="1">
            <w:r w:rsidR="00FC1CE8">
              <w:t>Conclusion</w:t>
            </w:r>
            <w:r w:rsidR="00FC1CE8">
              <w:tab/>
            </w:r>
          </w:hyperlink>
          <w:r w:rsidR="001F2413">
            <w:t>101</w:t>
          </w:r>
        </w:p>
        <w:p w:rsidR="00EA1F74" w:rsidRDefault="00096242">
          <w:pPr>
            <w:pStyle w:val="TOC1"/>
            <w:tabs>
              <w:tab w:val="left" w:leader="dot" w:pos="10073"/>
            </w:tabs>
          </w:pPr>
          <w:hyperlink w:anchor="_TOC_250000" w:history="1">
            <w:r w:rsidR="00FC1CE8">
              <w:t>References</w:t>
            </w:r>
            <w:r w:rsidR="00FC1CE8">
              <w:tab/>
            </w:r>
          </w:hyperlink>
          <w:r w:rsidR="001F2413">
            <w:t>104</w:t>
          </w:r>
        </w:p>
      </w:sdtContent>
    </w:sdt>
    <w:p w:rsidR="00EA1F74" w:rsidRDefault="00EA1F74">
      <w:pPr>
        <w:sectPr w:rsidR="00EA1F74">
          <w:type w:val="continuous"/>
          <w:pgSz w:w="11900" w:h="16840"/>
          <w:pgMar w:top="1600" w:right="260" w:bottom="2004" w:left="140" w:header="720" w:footer="720" w:gutter="0"/>
          <w:cols w:space="720"/>
        </w:sectPr>
      </w:pPr>
    </w:p>
    <w:p w:rsidR="00EA1F74" w:rsidRDefault="00FC1CE8">
      <w:pPr>
        <w:spacing w:before="220" w:line="271" w:lineRule="auto"/>
        <w:ind w:left="733" w:right="1490"/>
        <w:rPr>
          <w:b/>
          <w:sz w:val="28"/>
        </w:rPr>
      </w:pPr>
      <w:r>
        <w:rPr>
          <w:b/>
          <w:sz w:val="28"/>
        </w:rPr>
        <w:t>A scoping review of causes and contributors to deaths of people with disability in Australia (2013-2019): Findings</w:t>
      </w:r>
    </w:p>
    <w:p w:rsidR="00EA1F74" w:rsidRDefault="00EA1F74" w:rsidP="00625DA1">
      <w:pPr>
        <w:pStyle w:val="BodyText"/>
      </w:pPr>
    </w:p>
    <w:p w:rsidR="00EA1F74" w:rsidRDefault="00FC1CE8" w:rsidP="00B210DA">
      <w:pPr>
        <w:pStyle w:val="Heading1"/>
      </w:pPr>
      <w:bookmarkStart w:id="1" w:name="_TOC_250064"/>
      <w:bookmarkEnd w:id="1"/>
      <w:r>
        <w:t>Background</w:t>
      </w:r>
    </w:p>
    <w:p w:rsidR="00EA1F74" w:rsidRDefault="00FC1CE8" w:rsidP="00B210DA">
      <w:pPr>
        <w:pStyle w:val="Heading2"/>
      </w:pPr>
      <w:r>
        <w:t>Why monitoring deaths matters</w:t>
      </w:r>
    </w:p>
    <w:p w:rsidR="00EA1F74" w:rsidRDefault="00FC1CE8" w:rsidP="00B210DA">
      <w:pPr>
        <w:pStyle w:val="BodyText"/>
      </w:pPr>
      <w:r>
        <w:t>Mortality data can provide crucial insight into population specific patterns and support the development of targeted preventative and public health initiatives (Lauer &amp; McCallion, 2015). Mortality data are helpful in identifying gaps in care pathways, directing future health care and social service spending, and providing focus to research initiatives (Rogers &amp; Crimmins, 2011). Changes in mortality data over-time can support governments to assess the impact of policy shifts and other changes in the health and social care landscape on populations and specific sub-groups (Lauer &amp; McCallion, 2015). Effective monitoring of mortality data is particularly critical for vulnerable populations that have experienced persistently negative health outcomes.</w:t>
      </w:r>
    </w:p>
    <w:p w:rsidR="00B96281" w:rsidRPr="00B210DA" w:rsidRDefault="00B96281" w:rsidP="00B210DA">
      <w:pPr>
        <w:pStyle w:val="BodyText"/>
      </w:pPr>
    </w:p>
    <w:p w:rsidR="00B024B4" w:rsidRPr="00B210DA" w:rsidRDefault="00B024B4" w:rsidP="00B210DA">
      <w:pPr>
        <w:pStyle w:val="Heading2"/>
      </w:pPr>
      <w:r w:rsidRPr="00B210DA">
        <w:t>Mortality among people with disability: an overview</w:t>
      </w:r>
    </w:p>
    <w:p w:rsidR="00EA1F74" w:rsidRDefault="00B024B4" w:rsidP="00B210DA">
      <w:pPr>
        <w:pStyle w:val="BodyText"/>
      </w:pPr>
      <w:r w:rsidRPr="00B024B4">
        <w:t>Compared to the general population, people with disabilities are more likely to experience multiple health disadvantages including an elevated mortality rate and lower age of death. A recent systematic review of mortality among people with intellectual disability, for example, found that this group dies, on average, 20 years earlier than the general population (O'Leary et al., 2018). Systematic reviews of mortality data for people with autism spectrum disorder paint a similar picture, with age of death for this group being notably lower than that of the general population (Hirvikoski et al., 2015) and mortality rates being two to three times higher (Woolfenden et al., 2012). These rates are consistent with findings from a recent data linkage project conducted by our department that found that people on the autism spectrum in NSW have a mortality rate 2.06 times that of the general population (Hwang et al., 2019). People with serious mental illness have also been found, in a recent meta-analysis (Walker et al., 2015), to have a significantly higher mortality rate than comparison populations, with a median of 10 potential life-years lost and a pooled relative mortality risk of 2.22.</w:t>
      </w:r>
    </w:p>
    <w:p w:rsidR="00EA1F74" w:rsidRDefault="00FC1CE8" w:rsidP="00625DA1">
      <w:pPr>
        <w:pStyle w:val="BodyText"/>
      </w:pPr>
      <w:r>
        <w:t>People with disabilities appear not only to be at increased risk of premature mortality, but also at increased risk of dying from potentially preventable causes. The United Kingdom’s confidential inquiry into premature deaths of people with learning disabilities (Heslop et al., 2013), for example, found that 42% of the deaths of people with intellectual disability that occurred during the study period were ‘premature’. People with intellectual disability were far more likely, compared to matched non-intellectually disabled controls, to have died from causes related to the quality of the health care they received. Care provision, treatment planning and co-ordination across and between different disease pathways and service providers, and documentation of treatment were all significantly poorer for the group with intellectual disability.</w:t>
      </w:r>
    </w:p>
    <w:p w:rsidR="00EA1F74" w:rsidRDefault="00EA1F74" w:rsidP="00625DA1">
      <w:pPr>
        <w:pStyle w:val="BodyText"/>
      </w:pPr>
    </w:p>
    <w:p w:rsidR="00EA1F74" w:rsidRDefault="00FC1CE8" w:rsidP="00625DA1">
      <w:pPr>
        <w:pStyle w:val="BodyText"/>
      </w:pPr>
      <w:r>
        <w:t>Deaths</w:t>
      </w:r>
      <w:r>
        <w:rPr>
          <w:spacing w:val="-32"/>
        </w:rPr>
        <w:t xml:space="preserve"> </w:t>
      </w:r>
      <w:r>
        <w:t>from</w:t>
      </w:r>
      <w:r>
        <w:rPr>
          <w:spacing w:val="-32"/>
        </w:rPr>
        <w:t xml:space="preserve"> </w:t>
      </w:r>
      <w:r>
        <w:t>potentially</w:t>
      </w:r>
      <w:r>
        <w:rPr>
          <w:spacing w:val="-31"/>
        </w:rPr>
        <w:t xml:space="preserve"> </w:t>
      </w:r>
      <w:r>
        <w:t>preventable</w:t>
      </w:r>
      <w:r>
        <w:rPr>
          <w:spacing w:val="-32"/>
        </w:rPr>
        <w:t xml:space="preserve"> </w:t>
      </w:r>
      <w:r>
        <w:t>causes</w:t>
      </w:r>
      <w:r>
        <w:rPr>
          <w:spacing w:val="-31"/>
        </w:rPr>
        <w:t xml:space="preserve"> </w:t>
      </w:r>
      <w:r>
        <w:t>also</w:t>
      </w:r>
      <w:r>
        <w:rPr>
          <w:spacing w:val="-32"/>
        </w:rPr>
        <w:t xml:space="preserve"> </w:t>
      </w:r>
      <w:r>
        <w:t>appear</w:t>
      </w:r>
      <w:r>
        <w:rPr>
          <w:spacing w:val="-32"/>
        </w:rPr>
        <w:t xml:space="preserve"> </w:t>
      </w:r>
      <w:r>
        <w:t>to</w:t>
      </w:r>
      <w:r>
        <w:rPr>
          <w:spacing w:val="-32"/>
        </w:rPr>
        <w:t xml:space="preserve"> </w:t>
      </w:r>
      <w:r>
        <w:t>be</w:t>
      </w:r>
      <w:r>
        <w:rPr>
          <w:spacing w:val="-31"/>
        </w:rPr>
        <w:t xml:space="preserve"> </w:t>
      </w:r>
      <w:r>
        <w:t>over-represented</w:t>
      </w:r>
      <w:r>
        <w:rPr>
          <w:spacing w:val="-32"/>
        </w:rPr>
        <w:t xml:space="preserve"> </w:t>
      </w:r>
      <w:r>
        <w:t>among Australians with disabilities. For example, a recent analysis of deaths of people with intellectual</w:t>
      </w:r>
      <w:r>
        <w:rPr>
          <w:spacing w:val="-34"/>
        </w:rPr>
        <w:t xml:space="preserve"> </w:t>
      </w:r>
      <w:r>
        <w:t>disability</w:t>
      </w:r>
      <w:r>
        <w:rPr>
          <w:spacing w:val="-34"/>
        </w:rPr>
        <w:t xml:space="preserve"> </w:t>
      </w:r>
      <w:r>
        <w:t>in</w:t>
      </w:r>
      <w:r>
        <w:rPr>
          <w:spacing w:val="-34"/>
        </w:rPr>
        <w:t xml:space="preserve"> </w:t>
      </w:r>
      <w:r>
        <w:t>NSW</w:t>
      </w:r>
      <w:r>
        <w:rPr>
          <w:spacing w:val="-35"/>
        </w:rPr>
        <w:t xml:space="preserve"> </w:t>
      </w:r>
      <w:r>
        <w:t>conducted</w:t>
      </w:r>
      <w:r>
        <w:rPr>
          <w:spacing w:val="-34"/>
        </w:rPr>
        <w:t xml:space="preserve"> </w:t>
      </w:r>
      <w:r>
        <w:t>by</w:t>
      </w:r>
      <w:r>
        <w:rPr>
          <w:spacing w:val="-34"/>
        </w:rPr>
        <w:t xml:space="preserve"> </w:t>
      </w:r>
      <w:r>
        <w:t>our</w:t>
      </w:r>
      <w:r>
        <w:rPr>
          <w:spacing w:val="-34"/>
        </w:rPr>
        <w:t xml:space="preserve"> </w:t>
      </w:r>
      <w:r>
        <w:t>department</w:t>
      </w:r>
      <w:r>
        <w:rPr>
          <w:spacing w:val="-35"/>
        </w:rPr>
        <w:t xml:space="preserve"> </w:t>
      </w:r>
      <w:r>
        <w:t>(Trollor</w:t>
      </w:r>
      <w:r>
        <w:rPr>
          <w:spacing w:val="-34"/>
        </w:rPr>
        <w:t xml:space="preserve"> </w:t>
      </w:r>
      <w:r>
        <w:t>et</w:t>
      </w:r>
      <w:r>
        <w:rPr>
          <w:spacing w:val="-34"/>
        </w:rPr>
        <w:t xml:space="preserve"> </w:t>
      </w:r>
      <w:r>
        <w:t>al.,</w:t>
      </w:r>
      <w:r>
        <w:rPr>
          <w:spacing w:val="-35"/>
        </w:rPr>
        <w:t xml:space="preserve"> </w:t>
      </w:r>
      <w:r>
        <w:t>2017)</w:t>
      </w:r>
      <w:r>
        <w:rPr>
          <w:spacing w:val="-34"/>
        </w:rPr>
        <w:t xml:space="preserve"> </w:t>
      </w:r>
      <w:r>
        <w:t>found</w:t>
      </w:r>
      <w:r>
        <w:rPr>
          <w:spacing w:val="-34"/>
        </w:rPr>
        <w:t xml:space="preserve"> </w:t>
      </w:r>
      <w:r>
        <w:t>that 38% of these deaths were classified as ‘potentially avoidable’, including mortality from some diseases of the circulatory system, respiratory system, infections and cancers. A disproportionate number of people on the autism spectrum have also been found to die from potentially preventable causes such as poisoning and injury (Hirvikoski et al., 2015; Hwang et al., 2019). An earlier analysis of excess deaths among psychiatric patients in Western Australia found that approximately 80% were due to physical health</w:t>
      </w:r>
      <w:r>
        <w:rPr>
          <w:spacing w:val="-5"/>
        </w:rPr>
        <w:t xml:space="preserve"> </w:t>
      </w:r>
      <w:r>
        <w:t>conditions,</w:t>
      </w:r>
      <w:r>
        <w:rPr>
          <w:spacing w:val="-5"/>
        </w:rPr>
        <w:t xml:space="preserve"> </w:t>
      </w:r>
      <w:r>
        <w:t>many</w:t>
      </w:r>
      <w:r>
        <w:rPr>
          <w:spacing w:val="-5"/>
        </w:rPr>
        <w:t xml:space="preserve"> </w:t>
      </w:r>
      <w:r>
        <w:t>of</w:t>
      </w:r>
      <w:r>
        <w:rPr>
          <w:spacing w:val="-5"/>
        </w:rPr>
        <w:t xml:space="preserve"> </w:t>
      </w:r>
      <w:r>
        <w:t>which</w:t>
      </w:r>
      <w:r>
        <w:rPr>
          <w:spacing w:val="-5"/>
        </w:rPr>
        <w:t xml:space="preserve"> </w:t>
      </w:r>
      <w:r>
        <w:t>were</w:t>
      </w:r>
      <w:r>
        <w:rPr>
          <w:spacing w:val="-5"/>
        </w:rPr>
        <w:t xml:space="preserve"> </w:t>
      </w:r>
      <w:r>
        <w:t>potentially</w:t>
      </w:r>
      <w:r>
        <w:rPr>
          <w:spacing w:val="-5"/>
        </w:rPr>
        <w:t xml:space="preserve"> </w:t>
      </w:r>
      <w:r>
        <w:t>preventable</w:t>
      </w:r>
      <w:r>
        <w:rPr>
          <w:spacing w:val="-5"/>
        </w:rPr>
        <w:t xml:space="preserve"> </w:t>
      </w:r>
      <w:r>
        <w:t>(Lawrence</w:t>
      </w:r>
      <w:r>
        <w:rPr>
          <w:spacing w:val="-5"/>
        </w:rPr>
        <w:t xml:space="preserve"> </w:t>
      </w:r>
      <w:r>
        <w:t>et</w:t>
      </w:r>
      <w:r>
        <w:rPr>
          <w:spacing w:val="-5"/>
        </w:rPr>
        <w:t xml:space="preserve"> </w:t>
      </w:r>
      <w:r>
        <w:t>al.,</w:t>
      </w:r>
      <w:r>
        <w:rPr>
          <w:spacing w:val="-5"/>
        </w:rPr>
        <w:t xml:space="preserve"> </w:t>
      </w:r>
      <w:r>
        <w:t>2013).</w:t>
      </w:r>
    </w:p>
    <w:p w:rsidR="00EA1F74" w:rsidRDefault="00EA1F74" w:rsidP="00625DA1">
      <w:pPr>
        <w:pStyle w:val="BodyText"/>
      </w:pPr>
    </w:p>
    <w:p w:rsidR="00EA1F74" w:rsidRDefault="00FC1CE8" w:rsidP="00625DA1">
      <w:pPr>
        <w:pStyle w:val="BodyText"/>
      </w:pPr>
      <w:r>
        <w:t xml:space="preserve">Despite documented risk of premature mortality, including from preventable causes, mortality data for people with disabilities are not tracked or integrated in a consistent manner. National and international </w:t>
      </w:r>
      <w:r>
        <w:rPr>
          <w:color w:val="1C1D1E"/>
        </w:rPr>
        <w:t xml:space="preserve">efforts to track causes and contributors to death for people with disabilities have been hindered by definitional and methodological inconsistencies between jurisdictions. Representative national or state-level mortality data for people with disabilities are not always identifiable, or are grouped in varying or inconsistent categories within existing surveillance systems </w:t>
      </w:r>
      <w:r>
        <w:t>(Lauer &amp; McCallion, 2015)</w:t>
      </w:r>
      <w:r>
        <w:rPr>
          <w:color w:val="1C1D1E"/>
        </w:rPr>
        <w:t>.</w:t>
      </w:r>
    </w:p>
    <w:p w:rsidR="00EA1F74" w:rsidRDefault="00FC1CE8" w:rsidP="00AA01B4">
      <w:pPr>
        <w:pStyle w:val="BodyText"/>
      </w:pPr>
      <w:r>
        <w:t>Inconsistencies in the quality and robustness of reporting systems used between</w:t>
      </w:r>
      <w:r w:rsidR="00AA01B4">
        <w:t xml:space="preserve"> </w:t>
      </w:r>
      <w:r>
        <w:t>jurisdictions can present challenges when conducting national or international comparisons (Lauer &amp; McCallion, 2015).</w:t>
      </w:r>
    </w:p>
    <w:p w:rsidR="00B60585" w:rsidRDefault="00B60585" w:rsidP="00625DA1">
      <w:pPr>
        <w:pStyle w:val="BodyText"/>
      </w:pPr>
    </w:p>
    <w:p w:rsidR="00EA1F74" w:rsidRDefault="00FC1CE8" w:rsidP="00625DA1">
      <w:pPr>
        <w:pStyle w:val="BodyText"/>
      </w:pPr>
      <w:r>
        <w:t>In Australia, some state or territory bodies have historically had their own system for tracking mortality data. Reports on deaths of people with disabilities in Australia have therefore differed widely between jurisdictions, both in terms of scope and timeframe. For example, the Victorian Disability Services Commissioner recently released their first review of deaths of people receiving disability services in Victoria, which covered part of the 2017/2018 time period. In NSW, the NSW Ombudsman is responsible for biannual reporting. The NSW Ombudsman has published nine reports into the deaths of people with disability residing in residential care have been conducted in NSW to date. In Queensland, there has been no specific process for systemically reviewing deaths of people with disability apart from the coronial process for deaths in care. The Queensland Office of the Public Advocate recently published a one-off review of deaths of people with disability in care in Queensland during the period of 2009 to 2014. They supplemented information provided by the State Coroner with information provided by a number of government and non-government agencies to generate insight into mortality trends. To date, state and territory data have not been aggregated to provide national insights into trends relating to deaths of people with disability.</w:t>
      </w:r>
    </w:p>
    <w:p w:rsidR="00B60585" w:rsidRDefault="00B60585" w:rsidP="00625DA1">
      <w:pPr>
        <w:pStyle w:val="BodyText"/>
      </w:pPr>
    </w:p>
    <w:p w:rsidR="00EA1F74" w:rsidRDefault="00FC1CE8">
      <w:pPr>
        <w:spacing w:line="355" w:lineRule="auto"/>
        <w:ind w:left="733" w:right="1413"/>
        <w:rPr>
          <w:b/>
          <w:sz w:val="24"/>
        </w:rPr>
      </w:pPr>
      <w:r>
        <w:rPr>
          <w:b/>
          <w:color w:val="1C1D1E"/>
          <w:sz w:val="24"/>
        </w:rPr>
        <w:t>The introduction of the NDIS Quality and Safeguards Commission: an opportunity for change</w:t>
      </w:r>
    </w:p>
    <w:p w:rsidR="00EA1F74" w:rsidRDefault="00FC1CE8" w:rsidP="00B60585">
      <w:pPr>
        <w:pStyle w:val="BodyText"/>
      </w:pPr>
      <w:r>
        <w:t xml:space="preserve">The National Disability Insurance Scheme (NDIS) Quality and Safeguards Commission (referred to as ‘the Commission’ for the remainder of this review) will be operationalised across all Australian states and territories by 2020. The establishment of the Commission provides an exciting opportunity to develop Australia’s first nationally consistent arrangement for reporting deaths of people with disability who receive NDIS funding. The National Disability Insurance Scheme </w:t>
      </w:r>
      <w:r>
        <w:rPr>
          <w:i/>
        </w:rPr>
        <w:t xml:space="preserve">(Provider Registration and Practice Standards) Rules 2018 </w:t>
      </w:r>
      <w:r>
        <w:t>mandate that all registered NDIS providers across Australia must notify the NDIS Commission of reportable incidents, including deaths of people that occurred in connection with their services. Thus, the NDIS Commission will have responsibility for</w:t>
      </w:r>
      <w:r w:rsidR="00B60585">
        <w:t xml:space="preserve"> </w:t>
      </w:r>
      <w:r>
        <w:rPr>
          <w:color w:val="1C1D1E"/>
        </w:rPr>
        <w:t xml:space="preserve">investigating and developing insight into the causes of and contributors to such deaths. </w:t>
      </w:r>
      <w:r>
        <w:t>This scoping review has been developed in response to the need for the Commission to obtain an Australia-wide insight into deaths and factors relating to the deaths of people with disability.</w:t>
      </w:r>
    </w:p>
    <w:p w:rsidR="00CB629F" w:rsidRDefault="00CB629F">
      <w:pPr>
        <w:rPr>
          <w:w w:val="105"/>
          <w:sz w:val="24"/>
          <w:szCs w:val="24"/>
        </w:rPr>
      </w:pPr>
      <w:r>
        <w:br w:type="page"/>
      </w:r>
    </w:p>
    <w:p w:rsidR="00EA1F74" w:rsidRDefault="00EA1F74" w:rsidP="00625DA1">
      <w:pPr>
        <w:pStyle w:val="BodyText"/>
      </w:pPr>
    </w:p>
    <w:p w:rsidR="00EA1F74" w:rsidRDefault="00FC1CE8" w:rsidP="005D5E3C">
      <w:pPr>
        <w:pStyle w:val="Heading1"/>
      </w:pPr>
      <w:bookmarkStart w:id="2" w:name="_TOC_250063"/>
      <w:bookmarkEnd w:id="2"/>
      <w:r>
        <w:t>Aim</w:t>
      </w:r>
    </w:p>
    <w:p w:rsidR="00EA1F74" w:rsidRDefault="00FC1CE8" w:rsidP="00625DA1">
      <w:pPr>
        <w:pStyle w:val="BodyText"/>
      </w:pPr>
      <w:r>
        <w:t>The aim of this scoping review is to provide, at the request of the Commission, a national baseline picture of trends, issues and current monitoring practices relating to deaths of people with disability across Australia, based on findings from existing state and territory reports.</w:t>
      </w:r>
    </w:p>
    <w:p w:rsidR="00EA1F74" w:rsidRDefault="00EA1F74" w:rsidP="00625DA1">
      <w:pPr>
        <w:pStyle w:val="BodyText"/>
      </w:pPr>
    </w:p>
    <w:p w:rsidR="00EA1F74" w:rsidRDefault="00FC1CE8" w:rsidP="005D5E3C">
      <w:pPr>
        <w:pStyle w:val="Heading1"/>
      </w:pPr>
      <w:bookmarkStart w:id="3" w:name="_TOC_250062"/>
      <w:bookmarkEnd w:id="3"/>
      <w:r>
        <w:t>Objectives</w:t>
      </w:r>
    </w:p>
    <w:p w:rsidR="00EA1F74" w:rsidRDefault="00FC1CE8">
      <w:pPr>
        <w:pStyle w:val="ListParagraph"/>
        <w:numPr>
          <w:ilvl w:val="0"/>
          <w:numId w:val="121"/>
        </w:numPr>
        <w:tabs>
          <w:tab w:val="left" w:pos="1516"/>
        </w:tabs>
        <w:spacing w:before="42" w:line="360" w:lineRule="auto"/>
        <w:ind w:right="1336"/>
        <w:rPr>
          <w:sz w:val="24"/>
        </w:rPr>
      </w:pPr>
      <w:r>
        <w:rPr>
          <w:sz w:val="24"/>
        </w:rPr>
        <w:t xml:space="preserve">Identify key themes and findings relating to deaths of people with disability </w:t>
      </w:r>
      <w:r>
        <w:rPr>
          <w:spacing w:val="-3"/>
          <w:sz w:val="24"/>
        </w:rPr>
        <w:t xml:space="preserve">across </w:t>
      </w:r>
      <w:r>
        <w:rPr>
          <w:sz w:val="24"/>
        </w:rPr>
        <w:t>jurisdictions, including broad and underlying causes deaths, risk factors, and risk reduction</w:t>
      </w:r>
      <w:r>
        <w:rPr>
          <w:spacing w:val="-1"/>
          <w:sz w:val="24"/>
        </w:rPr>
        <w:t xml:space="preserve"> </w:t>
      </w:r>
      <w:r>
        <w:rPr>
          <w:sz w:val="24"/>
        </w:rPr>
        <w:t>strategies.</w:t>
      </w:r>
    </w:p>
    <w:p w:rsidR="00EA1F74" w:rsidRDefault="00FC1CE8">
      <w:pPr>
        <w:pStyle w:val="ListParagraph"/>
        <w:numPr>
          <w:ilvl w:val="0"/>
          <w:numId w:val="121"/>
        </w:numPr>
        <w:tabs>
          <w:tab w:val="left" w:pos="1516"/>
        </w:tabs>
        <w:spacing w:before="1" w:line="360" w:lineRule="auto"/>
        <w:ind w:right="1255"/>
        <w:rPr>
          <w:sz w:val="24"/>
        </w:rPr>
      </w:pPr>
      <w:r>
        <w:rPr>
          <w:sz w:val="24"/>
        </w:rPr>
        <w:t>Summarise and comment on methodological approaches to monitoring and data analysis used across jurisdictions including: inclusion and exclusion criteria for reportable deaths; definitions for avoidable, expected and unexpected deaths; and investigative methods used to explore causes of and contributors to</w:t>
      </w:r>
      <w:r>
        <w:rPr>
          <w:spacing w:val="-5"/>
          <w:sz w:val="24"/>
        </w:rPr>
        <w:t xml:space="preserve"> </w:t>
      </w:r>
      <w:r>
        <w:rPr>
          <w:sz w:val="24"/>
        </w:rPr>
        <w:t>deaths.</w:t>
      </w:r>
    </w:p>
    <w:p w:rsidR="00EA1F74" w:rsidRDefault="00EA1F74" w:rsidP="00625DA1">
      <w:pPr>
        <w:pStyle w:val="BodyText"/>
      </w:pPr>
    </w:p>
    <w:p w:rsidR="00EA1F74" w:rsidRDefault="00FC1CE8" w:rsidP="005D5E3C">
      <w:pPr>
        <w:pStyle w:val="Heading1"/>
      </w:pPr>
      <w:bookmarkStart w:id="4" w:name="_TOC_250061"/>
      <w:bookmarkEnd w:id="4"/>
      <w:r>
        <w:t>Methodology</w:t>
      </w:r>
    </w:p>
    <w:p w:rsidR="00EA1F74" w:rsidRDefault="00FC1CE8">
      <w:pPr>
        <w:pStyle w:val="Heading2"/>
        <w:spacing w:before="248"/>
      </w:pPr>
      <w:bookmarkStart w:id="5" w:name="_TOC_250060"/>
      <w:bookmarkEnd w:id="5"/>
      <w:r>
        <w:t>Review Type</w:t>
      </w:r>
    </w:p>
    <w:p w:rsidR="00EA1F74" w:rsidRDefault="00FC1CE8" w:rsidP="00625DA1">
      <w:pPr>
        <w:pStyle w:val="BodyText"/>
      </w:pPr>
      <w:r>
        <w:t>A scoping review was conducted to identify and interrogate relevant data from different state and territory jurisdictions. A scoping review was considered the most appropriate methodology in light of the heterogeneity of existing state and territory reports. Scoping reviews are particularly useful when operational definitions and conceptual boundaries require clarification (Khalil et al., 2016), no comprehensive review of the body of work has been conducted, or there is sufficient heterogeneity in source scope and methods to make a meta-analysis or other systematic form of data aggregation impractical (Tricco et al., 2018). Scoping reviews are appropriate when, as is the case for this study, insight is sought into general trends about the nature of a problem, rather than seeking a singular specific answer to a research question (Tricco et al., 2018).</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FC1CE8">
      <w:pPr>
        <w:pStyle w:val="Heading2"/>
      </w:pPr>
      <w:bookmarkStart w:id="6" w:name="_TOC_250059"/>
      <w:bookmarkEnd w:id="6"/>
      <w:r>
        <w:t>Inclusion criteria</w:t>
      </w:r>
    </w:p>
    <w:p w:rsidR="00EA1F74" w:rsidRDefault="00FC1CE8" w:rsidP="00625DA1">
      <w:pPr>
        <w:pStyle w:val="BodyText"/>
      </w:pPr>
      <w:r>
        <w:t>All Australian state and territory government publications pertaining to deaths of people with intellectual disability, who were in receipt of specialist disability supports and services during the period of the NDIS rollout, were in-scope. For the purposes of this review, the period of NDIS rollout was defined as 1</w:t>
      </w:r>
      <w:r>
        <w:rPr>
          <w:vertAlign w:val="superscript"/>
        </w:rPr>
        <w:t>st</w:t>
      </w:r>
      <w:r>
        <w:t xml:space="preserve"> January, 2013 until 1</w:t>
      </w:r>
      <w:r>
        <w:rPr>
          <w:vertAlign w:val="superscript"/>
        </w:rPr>
        <w:t>st</w:t>
      </w:r>
      <w:r>
        <w:t xml:space="preserve"> April, 2019. Reports covering a broader time-span, which overlapped with this period, were considered in- scope.</w:t>
      </w:r>
    </w:p>
    <w:p w:rsidR="00EA1F74" w:rsidRDefault="00EA1F74" w:rsidP="00625DA1">
      <w:pPr>
        <w:pStyle w:val="BodyText"/>
      </w:pPr>
    </w:p>
    <w:p w:rsidR="00EA1F74" w:rsidRDefault="00EA1F74" w:rsidP="00625DA1">
      <w:pPr>
        <w:pStyle w:val="BodyText"/>
      </w:pPr>
    </w:p>
    <w:p w:rsidR="00EA1F74" w:rsidRDefault="00FC1CE8">
      <w:pPr>
        <w:pStyle w:val="Heading2"/>
        <w:spacing w:before="0"/>
      </w:pPr>
      <w:bookmarkStart w:id="7" w:name="_TOC_250058"/>
      <w:bookmarkEnd w:id="7"/>
      <w:r>
        <w:t>Identification of sources</w:t>
      </w:r>
    </w:p>
    <w:p w:rsidR="00EA1F74" w:rsidRDefault="00FC1CE8" w:rsidP="00625DA1">
      <w:pPr>
        <w:pStyle w:val="BodyText"/>
      </w:pPr>
      <w:r>
        <w:t>Published reviews meeting inclusion criteria were identified by searching each state and territory’s website and other topical grey literature. The study authors also contacted all relevant state and territory departments and coroners’ courts, as well as the National Coronial Inquest System (NCIS) administrators, to confirm that no other reports meeting selection criteria were available. Table 1 identifies jurisdictions where electronic responses were received confirming that their jurisdictions had no consolidated or publicly accessible reports or collections of topical data pertaining to deaths of people with disability that they were aware of. Additionally, electronic communication with the NCIS administrators confirmed that they had no publicly available summary reports, fact sheets or other recommendations aggregating findings related to deaths of people with disability referred to the coroners’ courts. Table 2 lists jurisdictions where one or more reports meeting inclusion criteria were identified.</w:t>
      </w:r>
    </w:p>
    <w:p w:rsidR="00EA1F74" w:rsidRDefault="00FC1CE8" w:rsidP="00625DA1">
      <w:pPr>
        <w:pStyle w:val="BodyText"/>
      </w:pPr>
      <w:r>
        <w:t>Table 1: Jurisdictions where no in-scope reports were identified</w:t>
      </w:r>
    </w:p>
    <w:tbl>
      <w:tblPr>
        <w:tblW w:w="0" w:type="auto"/>
        <w:tblInd w:w="616" w:type="dxa"/>
        <w:tblLayout w:type="fixed"/>
        <w:tblCellMar>
          <w:left w:w="0" w:type="dxa"/>
          <w:right w:w="0" w:type="dxa"/>
        </w:tblCellMar>
        <w:tblLook w:val="01E0" w:firstRow="1" w:lastRow="1" w:firstColumn="1" w:lastColumn="1" w:noHBand="0" w:noVBand="0"/>
      </w:tblPr>
      <w:tblGrid>
        <w:gridCol w:w="1504"/>
        <w:gridCol w:w="6476"/>
        <w:gridCol w:w="1615"/>
      </w:tblGrid>
      <w:tr w:rsidR="00EA1F74">
        <w:trPr>
          <w:trHeight w:val="805"/>
        </w:trPr>
        <w:tc>
          <w:tcPr>
            <w:tcW w:w="1504" w:type="dxa"/>
            <w:tcBorders>
              <w:top w:val="single" w:sz="8" w:space="0" w:color="000000"/>
              <w:bottom w:val="single" w:sz="8" w:space="0" w:color="000000"/>
            </w:tcBorders>
          </w:tcPr>
          <w:p w:rsidR="00EA1F74" w:rsidRDefault="00FC1CE8">
            <w:pPr>
              <w:pStyle w:val="TableParagraph"/>
              <w:spacing w:before="3"/>
              <w:ind w:left="124"/>
              <w:rPr>
                <w:b/>
                <w:sz w:val="19"/>
              </w:rPr>
            </w:pPr>
            <w:r>
              <w:rPr>
                <w:b/>
                <w:w w:val="105"/>
                <w:sz w:val="19"/>
              </w:rPr>
              <w:t>Jurisdiction</w:t>
            </w:r>
          </w:p>
        </w:tc>
        <w:tc>
          <w:tcPr>
            <w:tcW w:w="6476" w:type="dxa"/>
            <w:tcBorders>
              <w:top w:val="single" w:sz="8" w:space="0" w:color="000000"/>
              <w:bottom w:val="single" w:sz="8" w:space="0" w:color="000000"/>
            </w:tcBorders>
          </w:tcPr>
          <w:p w:rsidR="00EA1F74" w:rsidRDefault="00FC1CE8">
            <w:pPr>
              <w:pStyle w:val="TableParagraph"/>
              <w:spacing w:before="3" w:line="252" w:lineRule="auto"/>
              <w:ind w:left="248" w:right="610"/>
              <w:rPr>
                <w:b/>
                <w:sz w:val="19"/>
              </w:rPr>
            </w:pPr>
            <w:r>
              <w:rPr>
                <w:b/>
                <w:w w:val="105"/>
                <w:sz w:val="19"/>
              </w:rPr>
              <w:t>Departments responding to request for reports/information concerning deaths of people with disability</w:t>
            </w:r>
          </w:p>
        </w:tc>
        <w:tc>
          <w:tcPr>
            <w:tcW w:w="1615" w:type="dxa"/>
            <w:tcBorders>
              <w:top w:val="single" w:sz="8" w:space="0" w:color="000000"/>
              <w:bottom w:val="single" w:sz="8" w:space="0" w:color="000000"/>
            </w:tcBorders>
          </w:tcPr>
          <w:p w:rsidR="00EA1F74" w:rsidRDefault="00FC1CE8">
            <w:pPr>
              <w:pStyle w:val="TableParagraph"/>
              <w:spacing w:before="3" w:line="252" w:lineRule="auto"/>
              <w:ind w:left="616" w:right="92"/>
              <w:rPr>
                <w:b/>
                <w:sz w:val="19"/>
              </w:rPr>
            </w:pPr>
            <w:r>
              <w:rPr>
                <w:b/>
                <w:w w:val="105"/>
                <w:sz w:val="19"/>
              </w:rPr>
              <w:t>Reports identified</w:t>
            </w:r>
          </w:p>
        </w:tc>
      </w:tr>
      <w:tr w:rsidR="00EA1F74" w:rsidTr="00CE4F28">
        <w:trPr>
          <w:trHeight w:val="873"/>
        </w:trPr>
        <w:tc>
          <w:tcPr>
            <w:tcW w:w="1504" w:type="dxa"/>
            <w:tcBorders>
              <w:top w:val="single" w:sz="8" w:space="0" w:color="000000"/>
            </w:tcBorders>
            <w:shd w:val="clear" w:color="auto" w:fill="F2F2F2" w:themeFill="background1" w:themeFillShade="F2"/>
          </w:tcPr>
          <w:p w:rsidR="00EA1F74" w:rsidRDefault="00FC1CE8">
            <w:pPr>
              <w:pStyle w:val="TableParagraph"/>
              <w:spacing w:before="8"/>
              <w:ind w:left="124"/>
              <w:rPr>
                <w:b/>
                <w:sz w:val="19"/>
              </w:rPr>
            </w:pPr>
            <w:r>
              <w:rPr>
                <w:b/>
                <w:w w:val="105"/>
                <w:sz w:val="19"/>
              </w:rPr>
              <w:t>ACT</w:t>
            </w:r>
          </w:p>
        </w:tc>
        <w:tc>
          <w:tcPr>
            <w:tcW w:w="6476" w:type="dxa"/>
            <w:tcBorders>
              <w:top w:val="single" w:sz="8" w:space="0" w:color="000000"/>
            </w:tcBorders>
            <w:shd w:val="clear" w:color="auto" w:fill="F2F2F2" w:themeFill="background1" w:themeFillShade="F2"/>
          </w:tcPr>
          <w:p w:rsidR="00EA1F74" w:rsidRDefault="00FC1CE8">
            <w:pPr>
              <w:pStyle w:val="TableParagraph"/>
              <w:spacing w:before="8"/>
              <w:ind w:left="248"/>
              <w:rPr>
                <w:sz w:val="19"/>
              </w:rPr>
            </w:pPr>
            <w:r>
              <w:rPr>
                <w:w w:val="105"/>
                <w:sz w:val="19"/>
              </w:rPr>
              <w:t>ACT Office for Disability</w:t>
            </w:r>
          </w:p>
          <w:p w:rsidR="00EA1F74" w:rsidRDefault="00FC1CE8">
            <w:pPr>
              <w:pStyle w:val="TableParagraph"/>
              <w:spacing w:before="8" w:line="280" w:lineRule="atLeast"/>
              <w:ind w:left="248" w:right="3336"/>
              <w:rPr>
                <w:sz w:val="19"/>
              </w:rPr>
            </w:pPr>
            <w:r>
              <w:rPr>
                <w:w w:val="105"/>
                <w:sz w:val="19"/>
              </w:rPr>
              <w:t>ACT Human Rights Commission ACT Courts and Tribunal</w:t>
            </w:r>
          </w:p>
        </w:tc>
        <w:tc>
          <w:tcPr>
            <w:tcW w:w="1615" w:type="dxa"/>
            <w:tcBorders>
              <w:top w:val="single" w:sz="8" w:space="0" w:color="000000"/>
            </w:tcBorders>
            <w:shd w:val="clear" w:color="auto" w:fill="F2F2F2" w:themeFill="background1" w:themeFillShade="F2"/>
          </w:tcPr>
          <w:p w:rsidR="00EA1F74" w:rsidRDefault="00FC1CE8">
            <w:pPr>
              <w:pStyle w:val="TableParagraph"/>
              <w:spacing w:before="8"/>
              <w:ind w:left="616"/>
              <w:rPr>
                <w:sz w:val="19"/>
              </w:rPr>
            </w:pPr>
            <w:r>
              <w:rPr>
                <w:w w:val="105"/>
                <w:sz w:val="19"/>
              </w:rPr>
              <w:t>No</w:t>
            </w:r>
          </w:p>
        </w:tc>
      </w:tr>
      <w:tr w:rsidR="00EA1F74">
        <w:trPr>
          <w:trHeight w:val="288"/>
        </w:trPr>
        <w:tc>
          <w:tcPr>
            <w:tcW w:w="1504" w:type="dxa"/>
          </w:tcPr>
          <w:p w:rsidR="00EA1F74" w:rsidRDefault="00FC1CE8">
            <w:pPr>
              <w:pStyle w:val="TableParagraph"/>
              <w:spacing w:before="4"/>
              <w:ind w:left="124"/>
              <w:rPr>
                <w:b/>
                <w:sz w:val="19"/>
              </w:rPr>
            </w:pPr>
            <w:r>
              <w:rPr>
                <w:b/>
                <w:w w:val="105"/>
                <w:sz w:val="19"/>
              </w:rPr>
              <w:t>NT</w:t>
            </w:r>
          </w:p>
        </w:tc>
        <w:tc>
          <w:tcPr>
            <w:tcW w:w="6476" w:type="dxa"/>
          </w:tcPr>
          <w:p w:rsidR="00EA1F74" w:rsidRDefault="00FC1CE8">
            <w:pPr>
              <w:pStyle w:val="TableParagraph"/>
              <w:spacing w:before="4"/>
              <w:ind w:left="248"/>
              <w:rPr>
                <w:sz w:val="19"/>
              </w:rPr>
            </w:pPr>
            <w:r>
              <w:rPr>
                <w:w w:val="105"/>
                <w:sz w:val="19"/>
              </w:rPr>
              <w:t>NTG Office of Disability</w:t>
            </w:r>
          </w:p>
        </w:tc>
        <w:tc>
          <w:tcPr>
            <w:tcW w:w="1615" w:type="dxa"/>
          </w:tcPr>
          <w:p w:rsidR="00EA1F74" w:rsidRDefault="00FC1CE8">
            <w:pPr>
              <w:pStyle w:val="TableParagraph"/>
              <w:spacing w:before="4"/>
              <w:ind w:left="616"/>
              <w:rPr>
                <w:sz w:val="19"/>
              </w:rPr>
            </w:pPr>
            <w:r>
              <w:rPr>
                <w:w w:val="105"/>
                <w:sz w:val="19"/>
              </w:rPr>
              <w:t>No</w:t>
            </w:r>
          </w:p>
        </w:tc>
      </w:tr>
      <w:tr w:rsidR="00EA1F74" w:rsidTr="00CE4F28">
        <w:trPr>
          <w:trHeight w:val="292"/>
        </w:trPr>
        <w:tc>
          <w:tcPr>
            <w:tcW w:w="1504" w:type="dxa"/>
            <w:shd w:val="clear" w:color="auto" w:fill="F2F2F2" w:themeFill="background1" w:themeFillShade="F2"/>
          </w:tcPr>
          <w:p w:rsidR="00EA1F74" w:rsidRDefault="00FC1CE8">
            <w:pPr>
              <w:pStyle w:val="TableParagraph"/>
              <w:spacing w:before="4"/>
              <w:ind w:left="124"/>
              <w:rPr>
                <w:b/>
                <w:sz w:val="19"/>
              </w:rPr>
            </w:pPr>
            <w:r>
              <w:rPr>
                <w:b/>
                <w:w w:val="105"/>
                <w:sz w:val="19"/>
              </w:rPr>
              <w:t>SA</w:t>
            </w:r>
          </w:p>
        </w:tc>
        <w:tc>
          <w:tcPr>
            <w:tcW w:w="6476" w:type="dxa"/>
            <w:shd w:val="clear" w:color="auto" w:fill="F2F2F2" w:themeFill="background1" w:themeFillShade="F2"/>
          </w:tcPr>
          <w:p w:rsidR="00EA1F74" w:rsidRDefault="00FC1CE8">
            <w:pPr>
              <w:pStyle w:val="TableParagraph"/>
              <w:spacing w:before="4"/>
              <w:ind w:left="248"/>
              <w:rPr>
                <w:sz w:val="19"/>
              </w:rPr>
            </w:pPr>
            <w:r>
              <w:rPr>
                <w:w w:val="105"/>
                <w:sz w:val="19"/>
              </w:rPr>
              <w:t>SA Coroner’s Court</w:t>
            </w:r>
          </w:p>
        </w:tc>
        <w:tc>
          <w:tcPr>
            <w:tcW w:w="1615" w:type="dxa"/>
            <w:shd w:val="clear" w:color="auto" w:fill="F2F2F2" w:themeFill="background1" w:themeFillShade="F2"/>
          </w:tcPr>
          <w:p w:rsidR="00EA1F74" w:rsidRDefault="00FC1CE8">
            <w:pPr>
              <w:pStyle w:val="TableParagraph"/>
              <w:spacing w:before="4"/>
              <w:ind w:left="616"/>
              <w:rPr>
                <w:sz w:val="19"/>
              </w:rPr>
            </w:pPr>
            <w:r>
              <w:rPr>
                <w:w w:val="105"/>
                <w:sz w:val="19"/>
              </w:rPr>
              <w:t>No</w:t>
            </w:r>
          </w:p>
        </w:tc>
      </w:tr>
      <w:tr w:rsidR="00EA1F74">
        <w:trPr>
          <w:trHeight w:val="580"/>
        </w:trPr>
        <w:tc>
          <w:tcPr>
            <w:tcW w:w="1504" w:type="dxa"/>
          </w:tcPr>
          <w:p w:rsidR="00EA1F74" w:rsidRDefault="00FC1CE8">
            <w:pPr>
              <w:pStyle w:val="TableParagraph"/>
              <w:spacing w:before="4"/>
              <w:ind w:left="124"/>
              <w:rPr>
                <w:b/>
                <w:sz w:val="19"/>
              </w:rPr>
            </w:pPr>
            <w:r>
              <w:rPr>
                <w:b/>
                <w:w w:val="105"/>
                <w:sz w:val="19"/>
              </w:rPr>
              <w:t>TAS</w:t>
            </w:r>
          </w:p>
        </w:tc>
        <w:tc>
          <w:tcPr>
            <w:tcW w:w="6476" w:type="dxa"/>
          </w:tcPr>
          <w:p w:rsidR="00EA1F74" w:rsidRDefault="00FC1CE8">
            <w:pPr>
              <w:pStyle w:val="TableParagraph"/>
              <w:spacing w:before="4"/>
              <w:ind w:left="248"/>
              <w:rPr>
                <w:sz w:val="19"/>
              </w:rPr>
            </w:pPr>
            <w:r>
              <w:rPr>
                <w:w w:val="105"/>
                <w:sz w:val="19"/>
              </w:rPr>
              <w:t>Office of the Health Complaints Commissioner</w:t>
            </w:r>
          </w:p>
          <w:p w:rsidR="00EA1F74" w:rsidRDefault="00FC1CE8">
            <w:pPr>
              <w:pStyle w:val="TableParagraph"/>
              <w:spacing w:before="69"/>
              <w:ind w:left="248"/>
              <w:rPr>
                <w:sz w:val="19"/>
              </w:rPr>
            </w:pPr>
            <w:r>
              <w:rPr>
                <w:w w:val="105"/>
                <w:sz w:val="19"/>
              </w:rPr>
              <w:t>Ombudsman Tasmania</w:t>
            </w:r>
          </w:p>
        </w:tc>
        <w:tc>
          <w:tcPr>
            <w:tcW w:w="1615" w:type="dxa"/>
          </w:tcPr>
          <w:p w:rsidR="00EA1F74" w:rsidRDefault="00FC1CE8">
            <w:pPr>
              <w:pStyle w:val="TableParagraph"/>
              <w:spacing w:before="4"/>
              <w:ind w:left="616"/>
              <w:rPr>
                <w:sz w:val="19"/>
              </w:rPr>
            </w:pPr>
            <w:r>
              <w:rPr>
                <w:w w:val="105"/>
                <w:sz w:val="19"/>
              </w:rPr>
              <w:t>No</w:t>
            </w:r>
          </w:p>
        </w:tc>
      </w:tr>
      <w:tr w:rsidR="00EA1F74" w:rsidTr="00CE4F28">
        <w:trPr>
          <w:trHeight w:val="580"/>
        </w:trPr>
        <w:tc>
          <w:tcPr>
            <w:tcW w:w="1504" w:type="dxa"/>
            <w:tcBorders>
              <w:bottom w:val="single" w:sz="8" w:space="0" w:color="000000"/>
            </w:tcBorders>
            <w:shd w:val="clear" w:color="auto" w:fill="F2F2F2" w:themeFill="background1" w:themeFillShade="F2"/>
          </w:tcPr>
          <w:p w:rsidR="00EA1F74" w:rsidRDefault="00FC1CE8">
            <w:pPr>
              <w:pStyle w:val="TableParagraph"/>
              <w:spacing w:before="4"/>
              <w:ind w:left="124"/>
              <w:rPr>
                <w:b/>
                <w:sz w:val="19"/>
              </w:rPr>
            </w:pPr>
            <w:r>
              <w:rPr>
                <w:b/>
                <w:w w:val="105"/>
                <w:sz w:val="19"/>
              </w:rPr>
              <w:t>WA</w:t>
            </w:r>
          </w:p>
        </w:tc>
        <w:tc>
          <w:tcPr>
            <w:tcW w:w="6476" w:type="dxa"/>
            <w:tcBorders>
              <w:bottom w:val="single" w:sz="8" w:space="0" w:color="000000"/>
            </w:tcBorders>
            <w:shd w:val="clear" w:color="auto" w:fill="F2F2F2" w:themeFill="background1" w:themeFillShade="F2"/>
          </w:tcPr>
          <w:p w:rsidR="00EA1F74" w:rsidRDefault="00FC1CE8">
            <w:pPr>
              <w:pStyle w:val="TableParagraph"/>
              <w:spacing w:before="4"/>
              <w:ind w:left="248"/>
              <w:rPr>
                <w:sz w:val="19"/>
              </w:rPr>
            </w:pPr>
            <w:r>
              <w:rPr>
                <w:w w:val="105"/>
                <w:sz w:val="19"/>
              </w:rPr>
              <w:t>Ombudsman Western Australia</w:t>
            </w:r>
          </w:p>
          <w:p w:rsidR="00EA1F74" w:rsidRDefault="00FC1CE8">
            <w:pPr>
              <w:pStyle w:val="TableParagraph"/>
              <w:spacing w:before="69"/>
              <w:ind w:left="248"/>
              <w:rPr>
                <w:sz w:val="19"/>
              </w:rPr>
            </w:pPr>
            <w:r>
              <w:rPr>
                <w:w w:val="105"/>
                <w:sz w:val="19"/>
              </w:rPr>
              <w:t>Office of the State Coroner</w:t>
            </w:r>
          </w:p>
        </w:tc>
        <w:tc>
          <w:tcPr>
            <w:tcW w:w="1615" w:type="dxa"/>
            <w:tcBorders>
              <w:bottom w:val="single" w:sz="8" w:space="0" w:color="000000"/>
            </w:tcBorders>
            <w:shd w:val="clear" w:color="auto" w:fill="F2F2F2" w:themeFill="background1" w:themeFillShade="F2"/>
          </w:tcPr>
          <w:p w:rsidR="00EA1F74" w:rsidRDefault="00FC1CE8">
            <w:pPr>
              <w:pStyle w:val="TableParagraph"/>
              <w:spacing w:before="4"/>
              <w:ind w:left="616"/>
              <w:rPr>
                <w:sz w:val="19"/>
              </w:rPr>
            </w:pPr>
            <w:r>
              <w:rPr>
                <w:w w:val="105"/>
                <w:sz w:val="19"/>
              </w:rPr>
              <w:t>No</w:t>
            </w:r>
          </w:p>
        </w:tc>
      </w:tr>
    </w:tbl>
    <w:p w:rsidR="00CB629F" w:rsidRDefault="00CB629F" w:rsidP="00FA5D6D">
      <w:pPr>
        <w:tabs>
          <w:tab w:val="left" w:pos="7020"/>
        </w:tabs>
        <w:rPr>
          <w:sz w:val="19"/>
        </w:rPr>
      </w:pPr>
    </w:p>
    <w:p w:rsidR="00CB629F" w:rsidRDefault="00CB629F">
      <w:pPr>
        <w:rPr>
          <w:sz w:val="19"/>
        </w:rPr>
      </w:pPr>
      <w:r>
        <w:rPr>
          <w:sz w:val="19"/>
        </w:rPr>
        <w:br w:type="page"/>
      </w:r>
    </w:p>
    <w:p w:rsidR="00372553" w:rsidRPr="00FA5D6D" w:rsidRDefault="00372553" w:rsidP="00FA5D6D">
      <w:pPr>
        <w:tabs>
          <w:tab w:val="left" w:pos="7020"/>
        </w:tabs>
        <w:rPr>
          <w:sz w:val="19"/>
        </w:rPr>
        <w:sectPr w:rsidR="00372553" w:rsidRPr="00FA5D6D" w:rsidSect="00FA5D6D">
          <w:pgSz w:w="11900" w:h="16840"/>
          <w:pgMar w:top="1600" w:right="260" w:bottom="1460" w:left="140" w:header="0" w:footer="567" w:gutter="0"/>
          <w:cols w:space="720"/>
          <w:docGrid w:linePitch="299"/>
        </w:sectPr>
      </w:pPr>
    </w:p>
    <w:tbl>
      <w:tblPr>
        <w:tblStyle w:val="ListTable6Colorful"/>
        <w:tblpPr w:leftFromText="180" w:rightFromText="180" w:horzAnchor="margin" w:tblpX="425" w:tblpY="720"/>
        <w:tblW w:w="10632" w:type="dxa"/>
        <w:tblLook w:val="04A0" w:firstRow="1" w:lastRow="0" w:firstColumn="1" w:lastColumn="0" w:noHBand="0" w:noVBand="1"/>
        <w:tblCaption w:val="Reports that were identified"/>
        <w:tblDescription w:val="Reports that were identified"/>
      </w:tblPr>
      <w:tblGrid>
        <w:gridCol w:w="2410"/>
        <w:gridCol w:w="8222"/>
      </w:tblGrid>
      <w:tr w:rsidR="001464D6" w:rsidTr="00C42B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rsidR="001464D6" w:rsidRDefault="00372553" w:rsidP="00372553">
            <w:pPr>
              <w:pStyle w:val="BodyText"/>
              <w:ind w:left="0"/>
            </w:pPr>
            <w:r>
              <w:rPr>
                <w:b w:val="0"/>
                <w:sz w:val="19"/>
              </w:rPr>
              <w:t>Jurisdiction</w:t>
            </w:r>
          </w:p>
        </w:tc>
        <w:tc>
          <w:tcPr>
            <w:tcW w:w="8222" w:type="dxa"/>
          </w:tcPr>
          <w:p w:rsidR="001464D6" w:rsidRDefault="00372553" w:rsidP="00372553">
            <w:pPr>
              <w:pStyle w:val="BodyText"/>
              <w:ind w:left="0"/>
              <w:cnfStyle w:val="100000000000" w:firstRow="1" w:lastRow="0" w:firstColumn="0" w:lastColumn="0" w:oddVBand="0" w:evenVBand="0" w:oddHBand="0" w:evenHBand="0" w:firstRowFirstColumn="0" w:firstRowLastColumn="0" w:lastRowFirstColumn="0" w:lastRowLastColumn="0"/>
            </w:pPr>
            <w:r>
              <w:rPr>
                <w:b w:val="0"/>
                <w:sz w:val="19"/>
              </w:rPr>
              <w:t>Title of identified</w:t>
            </w:r>
            <w:r>
              <w:rPr>
                <w:b w:val="0"/>
                <w:spacing w:val="2"/>
                <w:sz w:val="19"/>
              </w:rPr>
              <w:t xml:space="preserve"> </w:t>
            </w:r>
            <w:r>
              <w:rPr>
                <w:b w:val="0"/>
                <w:sz w:val="19"/>
              </w:rPr>
              <w:t>report</w:t>
            </w:r>
          </w:p>
        </w:tc>
      </w:tr>
      <w:tr w:rsidR="001464D6" w:rsidTr="0002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464D6" w:rsidRPr="00372553" w:rsidRDefault="00372553" w:rsidP="00372553">
            <w:pPr>
              <w:pStyle w:val="BodyText"/>
              <w:ind w:left="0"/>
              <w:rPr>
                <w:sz w:val="19"/>
                <w:szCs w:val="19"/>
              </w:rPr>
            </w:pPr>
            <w:r w:rsidRPr="00372553">
              <w:rPr>
                <w:sz w:val="19"/>
                <w:szCs w:val="19"/>
              </w:rPr>
              <w:t>NSW</w:t>
            </w:r>
          </w:p>
        </w:tc>
        <w:tc>
          <w:tcPr>
            <w:tcW w:w="8222" w:type="dxa"/>
          </w:tcPr>
          <w:p w:rsidR="001464D6" w:rsidRPr="00372553" w:rsidRDefault="001464D6" w:rsidP="00372553">
            <w:pPr>
              <w:spacing w:line="252" w:lineRule="auto"/>
              <w:cnfStyle w:val="000000100000" w:firstRow="0" w:lastRow="0" w:firstColumn="0" w:lastColumn="0" w:oddVBand="0" w:evenVBand="0" w:oddHBand="1" w:evenHBand="0" w:firstRowFirstColumn="0" w:firstRowLastColumn="0" w:lastRowFirstColumn="0" w:lastRowLastColumn="0"/>
              <w:rPr>
                <w:w w:val="105"/>
                <w:sz w:val="19"/>
                <w:szCs w:val="19"/>
              </w:rPr>
            </w:pPr>
            <w:r w:rsidRPr="00372553">
              <w:rPr>
                <w:w w:val="105"/>
                <w:sz w:val="19"/>
                <w:szCs w:val="19"/>
              </w:rPr>
              <w:t>NSW Ombudsman (2018). Report of reviewable deaths in 2014 and 2015, 2016-2017. Deaths of people with disability in residential care.</w:t>
            </w:r>
          </w:p>
          <w:p w:rsidR="00372553" w:rsidRPr="00372553" w:rsidRDefault="00372553" w:rsidP="00372553">
            <w:pPr>
              <w:spacing w:line="252" w:lineRule="auto"/>
              <w:cnfStyle w:val="000000100000" w:firstRow="0" w:lastRow="0" w:firstColumn="0" w:lastColumn="0" w:oddVBand="0" w:evenVBand="0" w:oddHBand="1" w:evenHBand="0" w:firstRowFirstColumn="0" w:firstRowLastColumn="0" w:lastRowFirstColumn="0" w:lastRowLastColumn="0"/>
              <w:rPr>
                <w:sz w:val="19"/>
                <w:szCs w:val="19"/>
              </w:rPr>
            </w:pPr>
          </w:p>
          <w:p w:rsidR="001464D6" w:rsidRPr="00372553" w:rsidRDefault="001464D6" w:rsidP="00372553">
            <w:pPr>
              <w:spacing w:line="252" w:lineRule="auto"/>
              <w:ind w:right="17"/>
              <w:cnfStyle w:val="000000100000" w:firstRow="0" w:lastRow="0" w:firstColumn="0" w:lastColumn="0" w:oddVBand="0" w:evenVBand="0" w:oddHBand="1" w:evenHBand="0" w:firstRowFirstColumn="0" w:firstRowLastColumn="0" w:lastRowFirstColumn="0" w:lastRowLastColumn="0"/>
              <w:rPr>
                <w:sz w:val="19"/>
                <w:szCs w:val="19"/>
              </w:rPr>
            </w:pPr>
            <w:r w:rsidRPr="00372553">
              <w:rPr>
                <w:w w:val="105"/>
                <w:sz w:val="19"/>
                <w:szCs w:val="19"/>
              </w:rPr>
              <w:t>NSW Ombudsman (2015). Report of reviewable deaths in 2012 and 2013. Volume 2: Deaths of people with disability in residential care.</w:t>
            </w:r>
          </w:p>
        </w:tc>
      </w:tr>
      <w:tr w:rsidR="001464D6" w:rsidTr="000222C5">
        <w:tc>
          <w:tcPr>
            <w:cnfStyle w:val="001000000000" w:firstRow="0" w:lastRow="0" w:firstColumn="1" w:lastColumn="0" w:oddVBand="0" w:evenVBand="0" w:oddHBand="0" w:evenHBand="0" w:firstRowFirstColumn="0" w:firstRowLastColumn="0" w:lastRowFirstColumn="0" w:lastRowLastColumn="0"/>
            <w:tcW w:w="2410" w:type="dxa"/>
          </w:tcPr>
          <w:p w:rsidR="001464D6" w:rsidRPr="00372553" w:rsidRDefault="00372553" w:rsidP="00372553">
            <w:pPr>
              <w:pStyle w:val="BodyText"/>
              <w:ind w:left="0"/>
              <w:rPr>
                <w:sz w:val="19"/>
                <w:szCs w:val="19"/>
              </w:rPr>
            </w:pPr>
            <w:r w:rsidRPr="00372553">
              <w:rPr>
                <w:b w:val="0"/>
                <w:sz w:val="19"/>
                <w:szCs w:val="19"/>
              </w:rPr>
              <w:t>VIC</w:t>
            </w:r>
          </w:p>
        </w:tc>
        <w:tc>
          <w:tcPr>
            <w:tcW w:w="8222" w:type="dxa"/>
          </w:tcPr>
          <w:p w:rsidR="00372553" w:rsidRPr="00372553" w:rsidRDefault="00372553" w:rsidP="00372553">
            <w:pPr>
              <w:tabs>
                <w:tab w:val="left" w:pos="2259"/>
              </w:tabs>
              <w:spacing w:line="194" w:lineRule="exact"/>
              <w:jc w:val="both"/>
              <w:cnfStyle w:val="000000000000" w:firstRow="0" w:lastRow="0" w:firstColumn="0" w:lastColumn="0" w:oddVBand="0" w:evenVBand="0" w:oddHBand="0" w:evenHBand="0" w:firstRowFirstColumn="0" w:firstRowLastColumn="0" w:lastRowFirstColumn="0" w:lastRowLastColumn="0"/>
              <w:rPr>
                <w:sz w:val="19"/>
                <w:szCs w:val="19"/>
              </w:rPr>
            </w:pPr>
            <w:r w:rsidRPr="00372553">
              <w:rPr>
                <w:w w:val="105"/>
                <w:sz w:val="19"/>
                <w:szCs w:val="19"/>
              </w:rPr>
              <w:t>Disability Services Commissioner (DSC). A review of disability service provision to</w:t>
            </w:r>
            <w:r w:rsidRPr="00372553">
              <w:rPr>
                <w:spacing w:val="1"/>
                <w:w w:val="105"/>
                <w:sz w:val="19"/>
                <w:szCs w:val="19"/>
              </w:rPr>
              <w:t xml:space="preserve"> </w:t>
            </w:r>
            <w:r w:rsidRPr="00372553">
              <w:rPr>
                <w:w w:val="105"/>
                <w:sz w:val="19"/>
                <w:szCs w:val="19"/>
              </w:rPr>
              <w:t>people who have died 2017-18. Melbourne: Disability Services Commissioner</w:t>
            </w:r>
          </w:p>
          <w:p w:rsidR="001464D6" w:rsidRPr="00372553" w:rsidRDefault="00372553" w:rsidP="00372553">
            <w:pPr>
              <w:pStyle w:val="BodyText"/>
              <w:ind w:left="0"/>
              <w:jc w:val="both"/>
              <w:cnfStyle w:val="000000000000" w:firstRow="0" w:lastRow="0" w:firstColumn="0" w:lastColumn="0" w:oddVBand="0" w:evenVBand="0" w:oddHBand="0" w:evenHBand="0" w:firstRowFirstColumn="0" w:firstRowLastColumn="0" w:lastRowFirstColumn="0" w:lastRowLastColumn="0"/>
              <w:rPr>
                <w:sz w:val="19"/>
                <w:szCs w:val="19"/>
              </w:rPr>
            </w:pPr>
            <w:r w:rsidRPr="00372553">
              <w:rPr>
                <w:sz w:val="19"/>
                <w:szCs w:val="19"/>
              </w:rPr>
              <w:t>Parliament of Victoria, Family and Community Development Committee 2016, Inquiry into abuse in disability services: final report, State Government of Victoria, Melbourne</w:t>
            </w:r>
          </w:p>
        </w:tc>
      </w:tr>
      <w:tr w:rsidR="00FC699A" w:rsidTr="0002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464D6" w:rsidRPr="00372553" w:rsidRDefault="00372553" w:rsidP="00372553">
            <w:pPr>
              <w:pStyle w:val="BodyText"/>
              <w:ind w:left="0"/>
              <w:rPr>
                <w:sz w:val="19"/>
                <w:szCs w:val="19"/>
              </w:rPr>
            </w:pPr>
            <w:r w:rsidRPr="00372553">
              <w:rPr>
                <w:sz w:val="19"/>
                <w:szCs w:val="19"/>
              </w:rPr>
              <w:t>QLD</w:t>
            </w:r>
          </w:p>
        </w:tc>
        <w:tc>
          <w:tcPr>
            <w:tcW w:w="8222" w:type="dxa"/>
          </w:tcPr>
          <w:p w:rsidR="001464D6" w:rsidRPr="00372553" w:rsidRDefault="00372553" w:rsidP="00372553">
            <w:pPr>
              <w:spacing w:line="252" w:lineRule="auto"/>
              <w:cnfStyle w:val="000000100000" w:firstRow="0" w:lastRow="0" w:firstColumn="0" w:lastColumn="0" w:oddVBand="0" w:evenVBand="0" w:oddHBand="1" w:evenHBand="0" w:firstRowFirstColumn="0" w:firstRowLastColumn="0" w:lastRowFirstColumn="0" w:lastRowLastColumn="0"/>
              <w:rPr>
                <w:sz w:val="19"/>
                <w:szCs w:val="19"/>
              </w:rPr>
            </w:pPr>
            <w:r w:rsidRPr="00372553">
              <w:rPr>
                <w:w w:val="105"/>
                <w:sz w:val="19"/>
                <w:szCs w:val="19"/>
              </w:rPr>
              <w:t>Office of the Public Advocate (QLD). 2016. Upholding the right to life and health: a review of the deaths in care of people with disability in Queensland. A systematic advocacy report.</w:t>
            </w:r>
          </w:p>
        </w:tc>
      </w:tr>
    </w:tbl>
    <w:p w:rsidR="00372553" w:rsidRDefault="00372553" w:rsidP="00372553">
      <w:pPr>
        <w:pStyle w:val="BodyText"/>
      </w:pPr>
      <w:r>
        <w:t>Table 2: Jurisdictions where one or more in-scope reports were identified</w:t>
      </w:r>
    </w:p>
    <w:p w:rsidR="00EA1F74" w:rsidRDefault="00EA1F74" w:rsidP="005F63E8">
      <w:pPr>
        <w:pStyle w:val="BodyText"/>
        <w:ind w:left="0"/>
      </w:pPr>
    </w:p>
    <w:p w:rsidR="002F4C97" w:rsidRDefault="002F4C97">
      <w:pPr>
        <w:rPr>
          <w:b/>
          <w:bCs/>
          <w:sz w:val="26"/>
          <w:szCs w:val="26"/>
        </w:rPr>
      </w:pPr>
      <w:bookmarkStart w:id="8" w:name="_TOC_250057"/>
      <w:bookmarkEnd w:id="8"/>
    </w:p>
    <w:p w:rsidR="00EA1F74" w:rsidRDefault="00FC1CE8">
      <w:pPr>
        <w:pStyle w:val="Heading2"/>
        <w:spacing w:before="90"/>
      </w:pPr>
      <w:r>
        <w:t>Data extraction</w:t>
      </w:r>
    </w:p>
    <w:p w:rsidR="00EA1F74" w:rsidRDefault="00FC1CE8" w:rsidP="00625DA1">
      <w:pPr>
        <w:pStyle w:val="BodyText"/>
      </w:pPr>
      <w:r>
        <w:t>Five identified reports met the inclusion criteria. The principal investigator extracted the following information, where available, from each report:</w:t>
      </w:r>
    </w:p>
    <w:p w:rsidR="00EA1F74" w:rsidRDefault="00FC1CE8">
      <w:pPr>
        <w:pStyle w:val="ListParagraph"/>
        <w:numPr>
          <w:ilvl w:val="0"/>
          <w:numId w:val="120"/>
        </w:numPr>
        <w:tabs>
          <w:tab w:val="left" w:pos="1515"/>
          <w:tab w:val="left" w:pos="1516"/>
        </w:tabs>
        <w:spacing w:before="58"/>
        <w:ind w:hanging="358"/>
        <w:rPr>
          <w:sz w:val="24"/>
        </w:rPr>
      </w:pPr>
      <w:r>
        <w:rPr>
          <w:sz w:val="24"/>
        </w:rPr>
        <w:t>Inclusion and exclusion criteria, time period and terms of</w:t>
      </w:r>
      <w:r>
        <w:rPr>
          <w:spacing w:val="-3"/>
          <w:sz w:val="24"/>
        </w:rPr>
        <w:t xml:space="preserve"> </w:t>
      </w:r>
      <w:r>
        <w:rPr>
          <w:sz w:val="24"/>
        </w:rPr>
        <w:t>reference</w:t>
      </w:r>
    </w:p>
    <w:p w:rsidR="00EA1F74" w:rsidRDefault="00FC1CE8">
      <w:pPr>
        <w:pStyle w:val="ListParagraph"/>
        <w:numPr>
          <w:ilvl w:val="0"/>
          <w:numId w:val="120"/>
        </w:numPr>
        <w:tabs>
          <w:tab w:val="left" w:pos="1515"/>
          <w:tab w:val="left" w:pos="1516"/>
        </w:tabs>
        <w:spacing w:before="138"/>
        <w:ind w:hanging="358"/>
        <w:rPr>
          <w:sz w:val="24"/>
        </w:rPr>
      </w:pPr>
      <w:r>
        <w:rPr>
          <w:sz w:val="24"/>
        </w:rPr>
        <w:t>Operational definitions of key mortality reporting</w:t>
      </w:r>
      <w:r>
        <w:rPr>
          <w:spacing w:val="-2"/>
          <w:sz w:val="24"/>
        </w:rPr>
        <w:t xml:space="preserve"> </w:t>
      </w:r>
      <w:r>
        <w:rPr>
          <w:sz w:val="24"/>
        </w:rPr>
        <w:t>terminology</w:t>
      </w:r>
    </w:p>
    <w:p w:rsidR="00EA1F74" w:rsidRDefault="00FC1CE8">
      <w:pPr>
        <w:pStyle w:val="ListParagraph"/>
        <w:numPr>
          <w:ilvl w:val="0"/>
          <w:numId w:val="120"/>
        </w:numPr>
        <w:tabs>
          <w:tab w:val="left" w:pos="1515"/>
          <w:tab w:val="left" w:pos="1516"/>
        </w:tabs>
        <w:spacing w:before="138" w:line="350" w:lineRule="auto"/>
        <w:ind w:right="1402"/>
        <w:rPr>
          <w:sz w:val="24"/>
        </w:rPr>
      </w:pPr>
      <w:r>
        <w:rPr>
          <w:sz w:val="24"/>
        </w:rPr>
        <w:t xml:space="preserve">Investigative methods and the processes used to identify and examine causes </w:t>
      </w:r>
      <w:r>
        <w:rPr>
          <w:spacing w:val="-8"/>
          <w:sz w:val="24"/>
        </w:rPr>
        <w:t xml:space="preserve">or </w:t>
      </w:r>
      <w:r>
        <w:rPr>
          <w:sz w:val="24"/>
        </w:rPr>
        <w:t>contributors to</w:t>
      </w:r>
      <w:r>
        <w:rPr>
          <w:spacing w:val="-1"/>
          <w:sz w:val="24"/>
        </w:rPr>
        <w:t xml:space="preserve"> </w:t>
      </w:r>
      <w:r>
        <w:rPr>
          <w:sz w:val="24"/>
        </w:rPr>
        <w:t>deaths</w:t>
      </w:r>
    </w:p>
    <w:p w:rsidR="00EA1F74" w:rsidRDefault="00FC1CE8">
      <w:pPr>
        <w:pStyle w:val="ListParagraph"/>
        <w:numPr>
          <w:ilvl w:val="0"/>
          <w:numId w:val="120"/>
        </w:numPr>
        <w:tabs>
          <w:tab w:val="left" w:pos="1515"/>
          <w:tab w:val="left" w:pos="1516"/>
        </w:tabs>
        <w:spacing w:before="8"/>
        <w:ind w:hanging="358"/>
        <w:rPr>
          <w:sz w:val="24"/>
        </w:rPr>
      </w:pPr>
      <w:r>
        <w:rPr>
          <w:sz w:val="24"/>
        </w:rPr>
        <w:t>Cohort</w:t>
      </w:r>
      <w:r>
        <w:rPr>
          <w:spacing w:val="-1"/>
          <w:sz w:val="24"/>
        </w:rPr>
        <w:t xml:space="preserve"> </w:t>
      </w:r>
      <w:r>
        <w:rPr>
          <w:sz w:val="24"/>
        </w:rPr>
        <w:t>demographics</w:t>
      </w:r>
    </w:p>
    <w:p w:rsidR="00EA1F74" w:rsidRDefault="00FC1CE8">
      <w:pPr>
        <w:pStyle w:val="ListParagraph"/>
        <w:numPr>
          <w:ilvl w:val="0"/>
          <w:numId w:val="120"/>
        </w:numPr>
        <w:tabs>
          <w:tab w:val="left" w:pos="1515"/>
          <w:tab w:val="left" w:pos="1516"/>
        </w:tabs>
        <w:spacing w:before="138"/>
        <w:ind w:hanging="358"/>
        <w:rPr>
          <w:sz w:val="24"/>
        </w:rPr>
      </w:pPr>
      <w:r>
        <w:rPr>
          <w:sz w:val="24"/>
        </w:rPr>
        <w:t>Primary and additional disability</w:t>
      </w:r>
      <w:r>
        <w:rPr>
          <w:spacing w:val="-1"/>
          <w:sz w:val="24"/>
        </w:rPr>
        <w:t xml:space="preserve"> </w:t>
      </w:r>
      <w:r>
        <w:rPr>
          <w:sz w:val="24"/>
        </w:rPr>
        <w:t>types</w:t>
      </w:r>
    </w:p>
    <w:p w:rsidR="00EA1F74" w:rsidRDefault="00FC1CE8">
      <w:pPr>
        <w:pStyle w:val="ListParagraph"/>
        <w:numPr>
          <w:ilvl w:val="0"/>
          <w:numId w:val="120"/>
        </w:numPr>
        <w:tabs>
          <w:tab w:val="left" w:pos="1515"/>
          <w:tab w:val="left" w:pos="1516"/>
        </w:tabs>
        <w:spacing w:before="138"/>
        <w:ind w:hanging="358"/>
        <w:rPr>
          <w:sz w:val="24"/>
        </w:rPr>
      </w:pPr>
      <w:r>
        <w:rPr>
          <w:sz w:val="24"/>
        </w:rPr>
        <w:t>Other identified mental health and physical health</w:t>
      </w:r>
      <w:r>
        <w:rPr>
          <w:spacing w:val="-1"/>
          <w:sz w:val="24"/>
        </w:rPr>
        <w:t xml:space="preserve"> </w:t>
      </w:r>
      <w:r>
        <w:rPr>
          <w:sz w:val="24"/>
        </w:rPr>
        <w:t>issues</w:t>
      </w:r>
    </w:p>
    <w:p w:rsidR="00EA1F74" w:rsidRDefault="00FC1CE8">
      <w:pPr>
        <w:pStyle w:val="ListParagraph"/>
        <w:numPr>
          <w:ilvl w:val="0"/>
          <w:numId w:val="120"/>
        </w:numPr>
        <w:tabs>
          <w:tab w:val="left" w:pos="1515"/>
          <w:tab w:val="left" w:pos="1516"/>
        </w:tabs>
        <w:spacing w:before="133"/>
        <w:ind w:hanging="358"/>
        <w:rPr>
          <w:sz w:val="24"/>
        </w:rPr>
      </w:pPr>
      <w:r>
        <w:rPr>
          <w:sz w:val="24"/>
        </w:rPr>
        <w:t>Underlying cause of death and other contributing</w:t>
      </w:r>
      <w:r>
        <w:rPr>
          <w:spacing w:val="-2"/>
          <w:sz w:val="24"/>
        </w:rPr>
        <w:t xml:space="preserve"> </w:t>
      </w:r>
      <w:r>
        <w:rPr>
          <w:sz w:val="24"/>
        </w:rPr>
        <w:t>causes</w:t>
      </w:r>
    </w:p>
    <w:p w:rsidR="00EA1F74" w:rsidRDefault="00FC1CE8">
      <w:pPr>
        <w:pStyle w:val="ListParagraph"/>
        <w:numPr>
          <w:ilvl w:val="0"/>
          <w:numId w:val="120"/>
        </w:numPr>
        <w:tabs>
          <w:tab w:val="left" w:pos="1515"/>
          <w:tab w:val="left" w:pos="1516"/>
        </w:tabs>
        <w:spacing w:before="138"/>
        <w:ind w:hanging="358"/>
        <w:rPr>
          <w:sz w:val="24"/>
        </w:rPr>
      </w:pPr>
      <w:r>
        <w:rPr>
          <w:sz w:val="24"/>
        </w:rPr>
        <w:t>Any differences in risk factors or causes of death between</w:t>
      </w:r>
      <w:r>
        <w:rPr>
          <w:spacing w:val="-4"/>
          <w:sz w:val="24"/>
        </w:rPr>
        <w:t xml:space="preserve"> </w:t>
      </w:r>
      <w:r>
        <w:rPr>
          <w:sz w:val="24"/>
        </w:rPr>
        <w:t>cohorts</w:t>
      </w:r>
    </w:p>
    <w:p w:rsidR="00EA1F74" w:rsidRDefault="00FC1CE8">
      <w:pPr>
        <w:pStyle w:val="ListParagraph"/>
        <w:numPr>
          <w:ilvl w:val="0"/>
          <w:numId w:val="120"/>
        </w:numPr>
        <w:tabs>
          <w:tab w:val="left" w:pos="1515"/>
          <w:tab w:val="left" w:pos="1516"/>
        </w:tabs>
        <w:spacing w:before="133"/>
        <w:ind w:hanging="358"/>
        <w:rPr>
          <w:sz w:val="24"/>
        </w:rPr>
      </w:pPr>
      <w:r>
        <w:rPr>
          <w:sz w:val="24"/>
        </w:rPr>
        <w:t>Any methodological limitations identified by study</w:t>
      </w:r>
      <w:r>
        <w:rPr>
          <w:spacing w:val="-1"/>
          <w:sz w:val="24"/>
        </w:rPr>
        <w:t xml:space="preserve"> </w:t>
      </w:r>
      <w:r>
        <w:rPr>
          <w:sz w:val="24"/>
        </w:rPr>
        <w:t>authors</w:t>
      </w:r>
    </w:p>
    <w:p w:rsidR="00EA1F74" w:rsidRDefault="00FC1CE8">
      <w:pPr>
        <w:pStyle w:val="ListParagraph"/>
        <w:numPr>
          <w:ilvl w:val="0"/>
          <w:numId w:val="120"/>
        </w:numPr>
        <w:tabs>
          <w:tab w:val="left" w:pos="1515"/>
          <w:tab w:val="left" w:pos="1516"/>
        </w:tabs>
        <w:spacing w:before="138"/>
        <w:ind w:hanging="358"/>
        <w:rPr>
          <w:sz w:val="24"/>
        </w:rPr>
      </w:pPr>
      <w:r>
        <w:rPr>
          <w:sz w:val="24"/>
        </w:rPr>
        <w:t>Key themes, findings and recommendations made by study</w:t>
      </w:r>
      <w:r>
        <w:rPr>
          <w:spacing w:val="-2"/>
          <w:sz w:val="24"/>
        </w:rPr>
        <w:t xml:space="preserve"> </w:t>
      </w:r>
      <w:r>
        <w:rPr>
          <w:sz w:val="24"/>
        </w:rPr>
        <w:t>authors</w:t>
      </w:r>
    </w:p>
    <w:p w:rsidR="002F4C97" w:rsidRPr="00FA5D6D" w:rsidRDefault="00FC1CE8" w:rsidP="002F4C97">
      <w:pPr>
        <w:pStyle w:val="BodyText"/>
      </w:pPr>
      <w:r>
        <w:t>Where possible, we also reached out to study authors to provide clarification or additional detail where necessary.</w:t>
      </w:r>
    </w:p>
    <w:p w:rsidR="00EA1F74" w:rsidRPr="00FA5D6D" w:rsidRDefault="00EA1F74" w:rsidP="00FA5D6D">
      <w:pPr>
        <w:tabs>
          <w:tab w:val="center" w:pos="5750"/>
        </w:tabs>
        <w:sectPr w:rsidR="00EA1F74" w:rsidRPr="00FA5D6D"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FC1CE8">
      <w:pPr>
        <w:pStyle w:val="Heading2"/>
      </w:pPr>
      <w:bookmarkStart w:id="9" w:name="_TOC_250056"/>
      <w:bookmarkEnd w:id="9"/>
      <w:r>
        <w:t>Data analysis</w:t>
      </w:r>
    </w:p>
    <w:p w:rsidR="00EA1F74" w:rsidRDefault="00FC1CE8" w:rsidP="00625DA1">
      <w:pPr>
        <w:pStyle w:val="BodyText"/>
      </w:pPr>
      <w:r>
        <w:t>Extracted data were compared and aggregated thematically across all reports in order to:</w:t>
      </w:r>
    </w:p>
    <w:p w:rsidR="00EA1F74" w:rsidRDefault="00FC1CE8">
      <w:pPr>
        <w:pStyle w:val="ListParagraph"/>
        <w:numPr>
          <w:ilvl w:val="0"/>
          <w:numId w:val="120"/>
        </w:numPr>
        <w:tabs>
          <w:tab w:val="left" w:pos="1515"/>
          <w:tab w:val="left" w:pos="1516"/>
        </w:tabs>
        <w:spacing w:before="197"/>
        <w:ind w:hanging="358"/>
        <w:rPr>
          <w:sz w:val="24"/>
        </w:rPr>
      </w:pPr>
      <w:r>
        <w:rPr>
          <w:sz w:val="24"/>
        </w:rPr>
        <w:t>Identify national trends and issues pertaining to deaths of people with</w:t>
      </w:r>
      <w:r>
        <w:rPr>
          <w:spacing w:val="-2"/>
          <w:sz w:val="24"/>
        </w:rPr>
        <w:t xml:space="preserve"> </w:t>
      </w:r>
      <w:r>
        <w:rPr>
          <w:sz w:val="24"/>
        </w:rPr>
        <w:t>disabilities</w:t>
      </w:r>
    </w:p>
    <w:p w:rsidR="00EA1F74" w:rsidRDefault="00FC1CE8">
      <w:pPr>
        <w:pStyle w:val="ListParagraph"/>
        <w:numPr>
          <w:ilvl w:val="0"/>
          <w:numId w:val="120"/>
        </w:numPr>
        <w:tabs>
          <w:tab w:val="left" w:pos="1515"/>
          <w:tab w:val="left" w:pos="1516"/>
        </w:tabs>
        <w:spacing w:before="138" w:line="357" w:lineRule="auto"/>
        <w:ind w:right="1350"/>
        <w:rPr>
          <w:sz w:val="24"/>
        </w:rPr>
      </w:pPr>
      <w:r>
        <w:rPr>
          <w:sz w:val="24"/>
        </w:rPr>
        <w:t>Make recommendations for resolving methodological inconsistencies in data monitoring, investigation and analysis and provide the Commission with guidance for developing a uniform best practice data collection and analysis</w:t>
      </w:r>
      <w:r>
        <w:rPr>
          <w:spacing w:val="-4"/>
          <w:sz w:val="24"/>
        </w:rPr>
        <w:t xml:space="preserve"> </w:t>
      </w:r>
      <w:r>
        <w:rPr>
          <w:sz w:val="24"/>
        </w:rPr>
        <w:t>framework.</w:t>
      </w:r>
    </w:p>
    <w:p w:rsidR="00EA1F74" w:rsidRDefault="00EA1F74" w:rsidP="00625DA1">
      <w:pPr>
        <w:pStyle w:val="BodyText"/>
      </w:pPr>
    </w:p>
    <w:p w:rsidR="00EA1F74" w:rsidRDefault="00FC1CE8">
      <w:pPr>
        <w:spacing w:line="360" w:lineRule="auto"/>
        <w:ind w:left="1158" w:right="1479"/>
        <w:rPr>
          <w:b/>
          <w:sz w:val="24"/>
        </w:rPr>
      </w:pPr>
      <w:r>
        <w:rPr>
          <w:b/>
          <w:sz w:val="24"/>
        </w:rPr>
        <w:t>This report describes findings from the scoping review. A separate report will be prepared for the Commission outlining recommendations stemming from these findings.</w:t>
      </w:r>
    </w:p>
    <w:p w:rsidR="00EA1F74" w:rsidRDefault="00EA1F74">
      <w:pPr>
        <w:spacing w:line="360" w:lineRule="auto"/>
        <w:rPr>
          <w:sz w:val="24"/>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3641CB" w:rsidRDefault="003641CB">
      <w:pPr>
        <w:rPr>
          <w:b/>
          <w:bCs/>
          <w:color w:val="44546A"/>
          <w:sz w:val="28"/>
          <w:szCs w:val="28"/>
        </w:rPr>
      </w:pPr>
      <w:bookmarkStart w:id="10" w:name="_TOC_250055"/>
      <w:bookmarkEnd w:id="10"/>
      <w:r>
        <w:br w:type="page"/>
      </w:r>
    </w:p>
    <w:p w:rsidR="00EA1F74" w:rsidRDefault="00FC1CE8" w:rsidP="005D5E3C">
      <w:pPr>
        <w:pStyle w:val="Heading1"/>
      </w:pPr>
      <w:r>
        <w:t>Findings</w:t>
      </w:r>
    </w:p>
    <w:p w:rsidR="00EA1F74" w:rsidRDefault="00FC1CE8" w:rsidP="00625DA1">
      <w:pPr>
        <w:pStyle w:val="BodyText"/>
      </w:pPr>
      <w:r>
        <w:t>This section of the review provides an overview of the five in-scope reports, summarises inclusion/exclusion criteria, and outlines the investigative processes undertaken to examine deaths across jurisdictions.</w:t>
      </w:r>
    </w:p>
    <w:p w:rsidR="00EA1F74" w:rsidRDefault="00EA1F74" w:rsidP="00625DA1">
      <w:pPr>
        <w:pStyle w:val="BodyText"/>
      </w:pPr>
    </w:p>
    <w:p w:rsidR="00EA1F74" w:rsidRDefault="00FC1CE8">
      <w:pPr>
        <w:pStyle w:val="Heading2"/>
        <w:spacing w:before="0"/>
      </w:pPr>
      <w:bookmarkStart w:id="11" w:name="_TOC_250054"/>
      <w:bookmarkEnd w:id="11"/>
      <w:r>
        <w:t>Overview of reports</w:t>
      </w:r>
    </w:p>
    <w:p w:rsidR="00EA1F74" w:rsidRDefault="00FC1CE8" w:rsidP="00625DA1">
      <w:pPr>
        <w:pStyle w:val="BodyText"/>
      </w:pPr>
      <w:r>
        <w:t>Only three Australian States (VIC, NSW and QLD) had publicly available reports pertaining to deaths of people with disability within their jurisdiction (see Table 3). Of these, NSW was the only state with a well-established, systematic and ongoing system for tracking such data. Mandatory biennial reporting of deaths of people with disability in residential care commenced in NSW in 2002. The NSW Ombudsman’s 2012-13</w:t>
      </w:r>
      <w:r>
        <w:rPr>
          <w:spacing w:val="-4"/>
        </w:rPr>
        <w:t xml:space="preserve"> </w:t>
      </w:r>
      <w:r>
        <w:t>and</w:t>
      </w:r>
      <w:r w:rsidR="003641CB">
        <w:t xml:space="preserve"> </w:t>
      </w:r>
      <w:r>
        <w:t>2014-17 reports are in-scope for this review. In VIC, the Victorian Disability Services Commissioner released one report covering part of 2017-18 (included in this review) and plans to release one final topical report later in 2019 before handing over its death reporting functions to the Committee. The Victorian Inquiry into abuse in disability services was a one-off report, covering in-scope deaths from 2007-2016. The only in-scope report from QLD included deaths from 2009-2014 and was a one-off report produced by the Office of the Public Advocate.</w:t>
      </w:r>
    </w:p>
    <w:p w:rsidR="00EA1F74" w:rsidRDefault="00E00A38" w:rsidP="00E00A38">
      <w:pPr>
        <w:pStyle w:val="BodyText"/>
      </w:pPr>
      <w:r>
        <w:t>Table 3: In-scope reports</w:t>
      </w:r>
    </w:p>
    <w:tbl>
      <w:tblPr>
        <w:tblStyle w:val="ListTable6Colorful"/>
        <w:tblW w:w="10773" w:type="dxa"/>
        <w:tblInd w:w="426" w:type="dxa"/>
        <w:tblLook w:val="04A0" w:firstRow="1" w:lastRow="0" w:firstColumn="1" w:lastColumn="0" w:noHBand="0" w:noVBand="1"/>
        <w:tblCaption w:val="In-scope reports"/>
        <w:tblDescription w:val="In-scope reports"/>
      </w:tblPr>
      <w:tblGrid>
        <w:gridCol w:w="1862"/>
        <w:gridCol w:w="5544"/>
        <w:gridCol w:w="3367"/>
      </w:tblGrid>
      <w:tr w:rsidR="003A2A88" w:rsidTr="00C42B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2" w:type="dxa"/>
          </w:tcPr>
          <w:p w:rsidR="003A2A88" w:rsidRDefault="003A2A88" w:rsidP="003A2A88">
            <w:pPr>
              <w:pStyle w:val="BodyText"/>
              <w:tabs>
                <w:tab w:val="clear" w:pos="1134"/>
              </w:tabs>
              <w:ind w:left="0" w:right="0"/>
            </w:pPr>
            <w:r>
              <w:rPr>
                <w:sz w:val="19"/>
              </w:rPr>
              <w:t>Jurisdiction</w:t>
            </w:r>
          </w:p>
        </w:tc>
        <w:tc>
          <w:tcPr>
            <w:tcW w:w="5544" w:type="dxa"/>
          </w:tcPr>
          <w:p w:rsidR="003A2A88" w:rsidRDefault="003A2A88" w:rsidP="00625DA1">
            <w:pPr>
              <w:pStyle w:val="BodyText"/>
              <w:ind w:left="0"/>
              <w:cnfStyle w:val="100000000000" w:firstRow="1" w:lastRow="0" w:firstColumn="0" w:lastColumn="0" w:oddVBand="0" w:evenVBand="0" w:oddHBand="0" w:evenHBand="0" w:firstRowFirstColumn="0" w:firstRowLastColumn="0" w:lastRowFirstColumn="0" w:lastRowLastColumn="0"/>
            </w:pPr>
            <w:r>
              <w:rPr>
                <w:sz w:val="19"/>
              </w:rPr>
              <w:t>Report</w:t>
            </w:r>
            <w:r>
              <w:rPr>
                <w:spacing w:val="-2"/>
                <w:sz w:val="19"/>
              </w:rPr>
              <w:t xml:space="preserve"> </w:t>
            </w:r>
            <w:r>
              <w:rPr>
                <w:sz w:val="19"/>
              </w:rPr>
              <w:t>title</w:t>
            </w:r>
          </w:p>
        </w:tc>
        <w:tc>
          <w:tcPr>
            <w:tcW w:w="3367" w:type="dxa"/>
          </w:tcPr>
          <w:p w:rsidR="003A2A88" w:rsidRDefault="003A2A88" w:rsidP="00625DA1">
            <w:pPr>
              <w:pStyle w:val="BodyText"/>
              <w:ind w:left="0"/>
              <w:cnfStyle w:val="100000000000" w:firstRow="1" w:lastRow="0" w:firstColumn="0" w:lastColumn="0" w:oddVBand="0" w:evenVBand="0" w:oddHBand="0" w:evenHBand="0" w:firstRowFirstColumn="0" w:firstRowLastColumn="0" w:lastRowFirstColumn="0" w:lastRowLastColumn="0"/>
            </w:pPr>
            <w:r>
              <w:rPr>
                <w:sz w:val="19"/>
              </w:rPr>
              <w:t>Report frequency</w:t>
            </w:r>
          </w:p>
        </w:tc>
      </w:tr>
      <w:tr w:rsidR="003A2A88" w:rsidTr="00A27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rsidR="003A2A88" w:rsidRDefault="003A2A88" w:rsidP="00625DA1">
            <w:pPr>
              <w:pStyle w:val="BodyText"/>
              <w:ind w:left="0"/>
            </w:pPr>
            <w:r>
              <w:rPr>
                <w:sz w:val="19"/>
              </w:rPr>
              <w:t>VIC</w:t>
            </w:r>
          </w:p>
        </w:tc>
        <w:tc>
          <w:tcPr>
            <w:tcW w:w="5544" w:type="dxa"/>
          </w:tcPr>
          <w:p w:rsidR="003A2A88" w:rsidRDefault="003A2A88" w:rsidP="003A2A88">
            <w:pPr>
              <w:spacing w:before="100"/>
              <w:ind w:left="5"/>
              <w:cnfStyle w:val="000000100000" w:firstRow="0" w:lastRow="0" w:firstColumn="0" w:lastColumn="0" w:oddVBand="0" w:evenVBand="0" w:oddHBand="1" w:evenHBand="0" w:firstRowFirstColumn="0" w:firstRowLastColumn="0" w:lastRowFirstColumn="0" w:lastRowLastColumn="0"/>
              <w:rPr>
                <w:sz w:val="19"/>
              </w:rPr>
            </w:pPr>
            <w:r>
              <w:rPr>
                <w:w w:val="105"/>
                <w:sz w:val="19"/>
              </w:rPr>
              <w:t>Disability Services Commissioner (DSC). A review of disability service provision to people who have died 2017-18. Melbourne: Disability Services</w:t>
            </w:r>
            <w:r>
              <w:rPr>
                <w:spacing w:val="2"/>
                <w:w w:val="105"/>
                <w:sz w:val="19"/>
              </w:rPr>
              <w:t xml:space="preserve"> </w:t>
            </w:r>
            <w:r>
              <w:rPr>
                <w:w w:val="105"/>
                <w:sz w:val="19"/>
              </w:rPr>
              <w:t>Commissioner</w:t>
            </w:r>
          </w:p>
          <w:p w:rsidR="003A2A88" w:rsidRPr="003A2A88" w:rsidRDefault="003A2A88" w:rsidP="003A2A88">
            <w:pPr>
              <w:pStyle w:val="ListParagraph"/>
              <w:spacing w:before="61"/>
              <w:ind w:left="5" w:firstLine="0"/>
              <w:cnfStyle w:val="000000100000" w:firstRow="0" w:lastRow="0" w:firstColumn="0" w:lastColumn="0" w:oddVBand="0" w:evenVBand="0" w:oddHBand="1" w:evenHBand="0" w:firstRowFirstColumn="0" w:firstRowLastColumn="0" w:lastRowFirstColumn="0" w:lastRowLastColumn="0"/>
              <w:rPr>
                <w:i/>
                <w:sz w:val="19"/>
              </w:rPr>
            </w:pPr>
            <w:r>
              <w:rPr>
                <w:i/>
                <w:w w:val="105"/>
                <w:sz w:val="19"/>
              </w:rPr>
              <w:t>* For remainder of report will be referenced as ‘VIC</w:t>
            </w:r>
            <w:r>
              <w:rPr>
                <w:i/>
                <w:spacing w:val="-4"/>
                <w:w w:val="105"/>
                <w:sz w:val="19"/>
              </w:rPr>
              <w:t xml:space="preserve"> </w:t>
            </w:r>
            <w:r>
              <w:rPr>
                <w:i/>
                <w:w w:val="105"/>
                <w:sz w:val="19"/>
              </w:rPr>
              <w:t>17-18’</w:t>
            </w:r>
          </w:p>
        </w:tc>
        <w:tc>
          <w:tcPr>
            <w:tcW w:w="3367" w:type="dxa"/>
          </w:tcPr>
          <w:p w:rsidR="003A2A88" w:rsidRDefault="003A2A88" w:rsidP="003A2A88">
            <w:pPr>
              <w:pStyle w:val="BodyText"/>
              <w:tabs>
                <w:tab w:val="clear" w:pos="1134"/>
              </w:tabs>
              <w:spacing w:line="240" w:lineRule="auto"/>
              <w:ind w:left="0" w:right="0"/>
              <w:cnfStyle w:val="000000100000" w:firstRow="0" w:lastRow="0" w:firstColumn="0" w:lastColumn="0" w:oddVBand="0" w:evenVBand="0" w:oddHBand="1" w:evenHBand="0" w:firstRowFirstColumn="0" w:firstRowLastColumn="0" w:lastRowFirstColumn="0" w:lastRowLastColumn="0"/>
            </w:pPr>
            <w:r>
              <w:rPr>
                <w:sz w:val="19"/>
              </w:rPr>
              <w:t>First report of its kind: One final report will be published later in 2019 then the NDIS commission will take over death reporting functions</w:t>
            </w:r>
          </w:p>
        </w:tc>
      </w:tr>
      <w:tr w:rsidR="003A2A88" w:rsidTr="00A27FC8">
        <w:tc>
          <w:tcPr>
            <w:cnfStyle w:val="001000000000" w:firstRow="0" w:lastRow="0" w:firstColumn="1" w:lastColumn="0" w:oddVBand="0" w:evenVBand="0" w:oddHBand="0" w:evenHBand="0" w:firstRowFirstColumn="0" w:firstRowLastColumn="0" w:lastRowFirstColumn="0" w:lastRowLastColumn="0"/>
            <w:tcW w:w="1862" w:type="dxa"/>
          </w:tcPr>
          <w:p w:rsidR="003A2A88" w:rsidRDefault="003A2A88" w:rsidP="00625DA1">
            <w:pPr>
              <w:pStyle w:val="BodyText"/>
              <w:ind w:left="0"/>
              <w:rPr>
                <w:sz w:val="19"/>
              </w:rPr>
            </w:pPr>
            <w:r>
              <w:rPr>
                <w:b w:val="0"/>
                <w:sz w:val="19"/>
              </w:rPr>
              <w:t>VIC</w:t>
            </w:r>
          </w:p>
        </w:tc>
        <w:tc>
          <w:tcPr>
            <w:tcW w:w="5544" w:type="dxa"/>
          </w:tcPr>
          <w:p w:rsidR="003A2A88" w:rsidRDefault="003A2A88" w:rsidP="003A2A88">
            <w:pPr>
              <w:spacing w:before="100" w:line="252" w:lineRule="auto"/>
              <w:ind w:left="5"/>
              <w:cnfStyle w:val="000000000000" w:firstRow="0" w:lastRow="0" w:firstColumn="0" w:lastColumn="0" w:oddVBand="0" w:evenVBand="0" w:oddHBand="0" w:evenHBand="0" w:firstRowFirstColumn="0" w:firstRowLastColumn="0" w:lastRowFirstColumn="0" w:lastRowLastColumn="0"/>
              <w:rPr>
                <w:sz w:val="19"/>
              </w:rPr>
            </w:pPr>
            <w:r>
              <w:rPr>
                <w:w w:val="105"/>
                <w:sz w:val="19"/>
              </w:rPr>
              <w:t>Parliament of Victoria, Family and Community Development Committee 2016, Inquiry into abuse in disability services: final report, State Government of Victoria,</w:t>
            </w:r>
            <w:r>
              <w:rPr>
                <w:spacing w:val="1"/>
                <w:w w:val="105"/>
                <w:sz w:val="19"/>
              </w:rPr>
              <w:t xml:space="preserve"> </w:t>
            </w:r>
            <w:r>
              <w:rPr>
                <w:w w:val="105"/>
                <w:sz w:val="19"/>
              </w:rPr>
              <w:t>Melbourne</w:t>
            </w:r>
          </w:p>
          <w:p w:rsidR="003A2A88" w:rsidRDefault="003A2A88" w:rsidP="003A2A88">
            <w:pPr>
              <w:pStyle w:val="ListParagraph"/>
              <w:spacing w:before="66"/>
              <w:ind w:left="13" w:firstLine="0"/>
              <w:cnfStyle w:val="000000000000" w:firstRow="0" w:lastRow="0" w:firstColumn="0" w:lastColumn="0" w:oddVBand="0" w:evenVBand="0" w:oddHBand="0" w:evenHBand="0" w:firstRowFirstColumn="0" w:firstRowLastColumn="0" w:lastRowFirstColumn="0" w:lastRowLastColumn="0"/>
              <w:rPr>
                <w:i/>
                <w:sz w:val="19"/>
              </w:rPr>
            </w:pPr>
            <w:r>
              <w:rPr>
                <w:i/>
                <w:w w:val="105"/>
                <w:sz w:val="19"/>
              </w:rPr>
              <w:t>* For remainder of report will be referenced as ‘VIC</w:t>
            </w:r>
            <w:r>
              <w:rPr>
                <w:i/>
                <w:spacing w:val="-1"/>
                <w:w w:val="105"/>
                <w:sz w:val="19"/>
              </w:rPr>
              <w:t xml:space="preserve"> </w:t>
            </w:r>
            <w:r>
              <w:rPr>
                <w:i/>
                <w:w w:val="105"/>
                <w:sz w:val="19"/>
              </w:rPr>
              <w:t>07-16’</w:t>
            </w:r>
          </w:p>
          <w:p w:rsidR="003A2A88" w:rsidRDefault="003A2A88" w:rsidP="003A2A88">
            <w:pPr>
              <w:spacing w:before="100"/>
              <w:ind w:left="5"/>
              <w:cnfStyle w:val="000000000000" w:firstRow="0" w:lastRow="0" w:firstColumn="0" w:lastColumn="0" w:oddVBand="0" w:evenVBand="0" w:oddHBand="0" w:evenHBand="0" w:firstRowFirstColumn="0" w:firstRowLastColumn="0" w:lastRowFirstColumn="0" w:lastRowLastColumn="0"/>
              <w:rPr>
                <w:w w:val="105"/>
                <w:sz w:val="19"/>
              </w:rPr>
            </w:pPr>
          </w:p>
        </w:tc>
        <w:tc>
          <w:tcPr>
            <w:tcW w:w="3367" w:type="dxa"/>
          </w:tcPr>
          <w:p w:rsidR="003A2A88" w:rsidRDefault="003A2A88" w:rsidP="003A2A88">
            <w:pPr>
              <w:spacing w:before="100"/>
              <w:cnfStyle w:val="000000000000" w:firstRow="0" w:lastRow="0" w:firstColumn="0" w:lastColumn="0" w:oddVBand="0" w:evenVBand="0" w:oddHBand="0" w:evenHBand="0" w:firstRowFirstColumn="0" w:firstRowLastColumn="0" w:lastRowFirstColumn="0" w:lastRowLastColumn="0"/>
              <w:rPr>
                <w:sz w:val="19"/>
              </w:rPr>
            </w:pPr>
            <w:r>
              <w:br w:type="column"/>
            </w:r>
            <w:r>
              <w:rPr>
                <w:w w:val="105"/>
                <w:sz w:val="19"/>
              </w:rPr>
              <w:t>First of its kind</w:t>
            </w:r>
          </w:p>
        </w:tc>
      </w:tr>
      <w:tr w:rsidR="00E00A38" w:rsidTr="00A27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rsidR="00E00A38" w:rsidRDefault="00E00A38" w:rsidP="00E00A38">
            <w:pPr>
              <w:pStyle w:val="BodyText"/>
              <w:ind w:left="0"/>
              <w:rPr>
                <w:sz w:val="19"/>
              </w:rPr>
            </w:pPr>
            <w:r>
              <w:rPr>
                <w:b w:val="0"/>
                <w:sz w:val="19"/>
              </w:rPr>
              <w:t>QLD</w:t>
            </w:r>
          </w:p>
        </w:tc>
        <w:tc>
          <w:tcPr>
            <w:tcW w:w="5544" w:type="dxa"/>
          </w:tcPr>
          <w:p w:rsidR="00E00A38" w:rsidRDefault="00E00A38" w:rsidP="00E00A38">
            <w:pPr>
              <w:spacing w:before="100" w:line="252" w:lineRule="auto"/>
              <w:jc w:val="both"/>
              <w:cnfStyle w:val="000000100000" w:firstRow="0" w:lastRow="0" w:firstColumn="0" w:lastColumn="0" w:oddVBand="0" w:evenVBand="0" w:oddHBand="1" w:evenHBand="0" w:firstRowFirstColumn="0" w:firstRowLastColumn="0" w:lastRowFirstColumn="0" w:lastRowLastColumn="0"/>
              <w:rPr>
                <w:sz w:val="19"/>
              </w:rPr>
            </w:pPr>
            <w:r>
              <w:rPr>
                <w:w w:val="105"/>
                <w:sz w:val="19"/>
              </w:rPr>
              <w:t>Office of the Public Advocate (QLD). 2016. Upholding the right to life and health: A review of the deaths in care of people with disability in Queensland. A systematic advocacy</w:t>
            </w:r>
            <w:r>
              <w:rPr>
                <w:spacing w:val="3"/>
                <w:w w:val="105"/>
                <w:sz w:val="19"/>
              </w:rPr>
              <w:t xml:space="preserve"> </w:t>
            </w:r>
            <w:r>
              <w:rPr>
                <w:w w:val="105"/>
                <w:sz w:val="19"/>
              </w:rPr>
              <w:t>report.</w:t>
            </w:r>
          </w:p>
          <w:p w:rsidR="00E00A38" w:rsidRDefault="00E00A38" w:rsidP="00E00A38">
            <w:pPr>
              <w:spacing w:before="100"/>
              <w:cnfStyle w:val="000000100000" w:firstRow="0" w:lastRow="0" w:firstColumn="0" w:lastColumn="0" w:oddVBand="0" w:evenVBand="0" w:oddHBand="1" w:evenHBand="0" w:firstRowFirstColumn="0" w:firstRowLastColumn="0" w:lastRowFirstColumn="0" w:lastRowLastColumn="0"/>
              <w:rPr>
                <w:i/>
                <w:w w:val="105"/>
                <w:sz w:val="19"/>
              </w:rPr>
            </w:pPr>
            <w:r>
              <w:rPr>
                <w:i/>
                <w:w w:val="105"/>
                <w:sz w:val="19"/>
              </w:rPr>
              <w:t>For remainder of report will be referenced as ‘QLD</w:t>
            </w:r>
            <w:r>
              <w:rPr>
                <w:i/>
                <w:spacing w:val="-1"/>
                <w:w w:val="105"/>
                <w:sz w:val="19"/>
              </w:rPr>
              <w:t xml:space="preserve"> </w:t>
            </w:r>
            <w:r>
              <w:rPr>
                <w:i/>
                <w:w w:val="105"/>
                <w:sz w:val="19"/>
              </w:rPr>
              <w:t>09-14’</w:t>
            </w:r>
          </w:p>
          <w:p w:rsidR="00CB6BD6" w:rsidRDefault="00CB6BD6" w:rsidP="00E00A38">
            <w:pPr>
              <w:spacing w:before="100"/>
              <w:cnfStyle w:val="000000100000" w:firstRow="0" w:lastRow="0" w:firstColumn="0" w:lastColumn="0" w:oddVBand="0" w:evenVBand="0" w:oddHBand="1" w:evenHBand="0" w:firstRowFirstColumn="0" w:firstRowLastColumn="0" w:lastRowFirstColumn="0" w:lastRowLastColumn="0"/>
              <w:rPr>
                <w:w w:val="105"/>
                <w:sz w:val="19"/>
              </w:rPr>
            </w:pPr>
          </w:p>
        </w:tc>
        <w:tc>
          <w:tcPr>
            <w:tcW w:w="3367" w:type="dxa"/>
          </w:tcPr>
          <w:p w:rsidR="00E00A38" w:rsidRDefault="00E00A38" w:rsidP="00E00A38">
            <w:pPr>
              <w:spacing w:before="100"/>
              <w:cnfStyle w:val="000000100000" w:firstRow="0" w:lastRow="0" w:firstColumn="0" w:lastColumn="0" w:oddVBand="0" w:evenVBand="0" w:oddHBand="1" w:evenHBand="0" w:firstRowFirstColumn="0" w:firstRowLastColumn="0" w:lastRowFirstColumn="0" w:lastRowLastColumn="0"/>
              <w:rPr>
                <w:sz w:val="19"/>
              </w:rPr>
            </w:pPr>
            <w:r>
              <w:br w:type="column"/>
            </w:r>
            <w:r>
              <w:rPr>
                <w:w w:val="105"/>
                <w:sz w:val="19"/>
              </w:rPr>
              <w:t>First of its kind</w:t>
            </w:r>
          </w:p>
        </w:tc>
      </w:tr>
    </w:tbl>
    <w:p w:rsidR="00673B69" w:rsidRDefault="00673B69" w:rsidP="00625DA1">
      <w:pPr>
        <w:pStyle w:val="BodyText"/>
      </w:pPr>
    </w:p>
    <w:tbl>
      <w:tblPr>
        <w:tblStyle w:val="ListTable6Colorful"/>
        <w:tblW w:w="10773" w:type="dxa"/>
        <w:tblInd w:w="426" w:type="dxa"/>
        <w:tblLook w:val="04A0" w:firstRow="1" w:lastRow="0" w:firstColumn="1" w:lastColumn="0" w:noHBand="0" w:noVBand="1"/>
        <w:tblCaption w:val="In-scope reports"/>
        <w:tblDescription w:val="In-scope reports"/>
      </w:tblPr>
      <w:tblGrid>
        <w:gridCol w:w="1862"/>
        <w:gridCol w:w="5544"/>
        <w:gridCol w:w="3367"/>
      </w:tblGrid>
      <w:tr w:rsidR="00673B69" w:rsidTr="00C42B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2" w:type="dxa"/>
          </w:tcPr>
          <w:p w:rsidR="00673B69" w:rsidRDefault="003A0312" w:rsidP="00F757E8">
            <w:pPr>
              <w:pStyle w:val="BodyText"/>
              <w:tabs>
                <w:tab w:val="clear" w:pos="1134"/>
              </w:tabs>
              <w:ind w:left="0" w:right="0"/>
            </w:pPr>
            <w:r>
              <w:br w:type="page"/>
            </w:r>
            <w:bookmarkStart w:id="12" w:name="_TOC_250053"/>
            <w:bookmarkEnd w:id="12"/>
            <w:r w:rsidR="00673B69">
              <w:rPr>
                <w:sz w:val="19"/>
              </w:rPr>
              <w:t>Jurisdiction</w:t>
            </w:r>
          </w:p>
        </w:tc>
        <w:tc>
          <w:tcPr>
            <w:tcW w:w="5544" w:type="dxa"/>
          </w:tcPr>
          <w:p w:rsidR="00673B69" w:rsidRDefault="00673B69" w:rsidP="00F757E8">
            <w:pPr>
              <w:pStyle w:val="BodyText"/>
              <w:ind w:left="0"/>
              <w:cnfStyle w:val="100000000000" w:firstRow="1" w:lastRow="0" w:firstColumn="0" w:lastColumn="0" w:oddVBand="0" w:evenVBand="0" w:oddHBand="0" w:evenHBand="0" w:firstRowFirstColumn="0" w:firstRowLastColumn="0" w:lastRowFirstColumn="0" w:lastRowLastColumn="0"/>
            </w:pPr>
            <w:r>
              <w:rPr>
                <w:sz w:val="19"/>
              </w:rPr>
              <w:t>Report</w:t>
            </w:r>
            <w:r>
              <w:rPr>
                <w:spacing w:val="-2"/>
                <w:sz w:val="19"/>
              </w:rPr>
              <w:t xml:space="preserve"> </w:t>
            </w:r>
            <w:r>
              <w:rPr>
                <w:sz w:val="19"/>
              </w:rPr>
              <w:t>title</w:t>
            </w:r>
          </w:p>
        </w:tc>
        <w:tc>
          <w:tcPr>
            <w:tcW w:w="3367" w:type="dxa"/>
          </w:tcPr>
          <w:p w:rsidR="00673B69" w:rsidRDefault="00673B69" w:rsidP="00F757E8">
            <w:pPr>
              <w:pStyle w:val="BodyText"/>
              <w:ind w:left="0"/>
              <w:cnfStyle w:val="100000000000" w:firstRow="1" w:lastRow="0" w:firstColumn="0" w:lastColumn="0" w:oddVBand="0" w:evenVBand="0" w:oddHBand="0" w:evenHBand="0" w:firstRowFirstColumn="0" w:firstRowLastColumn="0" w:lastRowFirstColumn="0" w:lastRowLastColumn="0"/>
            </w:pPr>
            <w:r>
              <w:rPr>
                <w:sz w:val="19"/>
              </w:rPr>
              <w:t>Report frequency</w:t>
            </w:r>
          </w:p>
        </w:tc>
      </w:tr>
      <w:tr w:rsidR="00673B69" w:rsidTr="00F75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rsidR="00673B69" w:rsidRDefault="00673B69" w:rsidP="00F757E8">
            <w:pPr>
              <w:pStyle w:val="BodyText"/>
              <w:ind w:left="0"/>
              <w:rPr>
                <w:b w:val="0"/>
                <w:sz w:val="19"/>
              </w:rPr>
            </w:pPr>
            <w:r>
              <w:rPr>
                <w:b w:val="0"/>
                <w:sz w:val="19"/>
              </w:rPr>
              <w:t>NSW</w:t>
            </w:r>
          </w:p>
        </w:tc>
        <w:tc>
          <w:tcPr>
            <w:tcW w:w="5544" w:type="dxa"/>
          </w:tcPr>
          <w:p w:rsidR="00673B69" w:rsidRPr="00FF50D9" w:rsidRDefault="00673B69" w:rsidP="00F757E8">
            <w:pPr>
              <w:spacing w:before="140" w:line="252" w:lineRule="auto"/>
              <w:ind w:left="14"/>
              <w:cnfStyle w:val="000000100000" w:firstRow="0" w:lastRow="0" w:firstColumn="0" w:lastColumn="0" w:oddVBand="0" w:evenVBand="0" w:oddHBand="1" w:evenHBand="0" w:firstRowFirstColumn="0" w:firstRowLastColumn="0" w:lastRowFirstColumn="0" w:lastRowLastColumn="0"/>
              <w:rPr>
                <w:sz w:val="19"/>
              </w:rPr>
            </w:pPr>
            <w:r w:rsidRPr="00FF50D9">
              <w:rPr>
                <w:w w:val="105"/>
                <w:sz w:val="19"/>
              </w:rPr>
              <w:t>NSW Ombudsman (2015). Report of reviewable deaths in 2012 and 2013. Volume 2: Deaths of people with disability in residential</w:t>
            </w:r>
            <w:r w:rsidRPr="00FF50D9">
              <w:rPr>
                <w:spacing w:val="-19"/>
                <w:w w:val="105"/>
                <w:sz w:val="19"/>
              </w:rPr>
              <w:t xml:space="preserve"> </w:t>
            </w:r>
            <w:r w:rsidRPr="00FF50D9">
              <w:rPr>
                <w:w w:val="105"/>
                <w:sz w:val="19"/>
              </w:rPr>
              <w:t>care.</w:t>
            </w:r>
          </w:p>
          <w:p w:rsidR="00673B69" w:rsidRPr="00FF50D9" w:rsidRDefault="00673B69" w:rsidP="00F757E8">
            <w:pPr>
              <w:pStyle w:val="ListParagraph"/>
              <w:tabs>
                <w:tab w:val="left" w:pos="2336"/>
              </w:tabs>
              <w:spacing w:before="65"/>
              <w:ind w:left="14" w:firstLine="0"/>
              <w:cnfStyle w:val="000000100000" w:firstRow="0" w:lastRow="0" w:firstColumn="0" w:lastColumn="0" w:oddVBand="0" w:evenVBand="0" w:oddHBand="1" w:evenHBand="0" w:firstRowFirstColumn="0" w:firstRowLastColumn="0" w:lastRowFirstColumn="0" w:lastRowLastColumn="0"/>
              <w:rPr>
                <w:i/>
                <w:sz w:val="19"/>
              </w:rPr>
            </w:pPr>
            <w:r w:rsidRPr="00FF50D9">
              <w:rPr>
                <w:i/>
                <w:w w:val="105"/>
                <w:sz w:val="19"/>
              </w:rPr>
              <w:t>*For remainder of report will be referenced as ‘NSW</w:t>
            </w:r>
            <w:r w:rsidRPr="00FF50D9">
              <w:rPr>
                <w:i/>
                <w:spacing w:val="-2"/>
                <w:w w:val="105"/>
                <w:sz w:val="19"/>
              </w:rPr>
              <w:t xml:space="preserve"> </w:t>
            </w:r>
            <w:r w:rsidRPr="00FF50D9">
              <w:rPr>
                <w:i/>
                <w:w w:val="105"/>
                <w:sz w:val="19"/>
              </w:rPr>
              <w:t>12-13’</w:t>
            </w:r>
          </w:p>
          <w:p w:rsidR="00673B69" w:rsidRPr="00FF50D9" w:rsidRDefault="00673B69" w:rsidP="00F757E8">
            <w:pPr>
              <w:spacing w:before="100" w:line="252" w:lineRule="auto"/>
              <w:ind w:left="14"/>
              <w:jc w:val="both"/>
              <w:cnfStyle w:val="000000100000" w:firstRow="0" w:lastRow="0" w:firstColumn="0" w:lastColumn="0" w:oddVBand="0" w:evenVBand="0" w:oddHBand="1" w:evenHBand="0" w:firstRowFirstColumn="0" w:firstRowLastColumn="0" w:lastRowFirstColumn="0" w:lastRowLastColumn="0"/>
              <w:rPr>
                <w:w w:val="105"/>
                <w:sz w:val="19"/>
              </w:rPr>
            </w:pPr>
          </w:p>
        </w:tc>
        <w:tc>
          <w:tcPr>
            <w:tcW w:w="3367" w:type="dxa"/>
          </w:tcPr>
          <w:p w:rsidR="00673B69" w:rsidRPr="00FF50D9" w:rsidRDefault="00673B69" w:rsidP="00F757E8">
            <w:pPr>
              <w:spacing w:before="140"/>
              <w:cnfStyle w:val="000000100000" w:firstRow="0" w:lastRow="0" w:firstColumn="0" w:lastColumn="0" w:oddVBand="0" w:evenVBand="0" w:oddHBand="1" w:evenHBand="0" w:firstRowFirstColumn="0" w:firstRowLastColumn="0" w:lastRowFirstColumn="0" w:lastRowLastColumn="0"/>
              <w:rPr>
                <w:sz w:val="19"/>
              </w:rPr>
            </w:pPr>
            <w:r w:rsidRPr="00FF50D9">
              <w:rPr>
                <w:w w:val="105"/>
                <w:sz w:val="19"/>
              </w:rPr>
              <w:t>8</w:t>
            </w:r>
            <w:r w:rsidRPr="00FF50D9">
              <w:rPr>
                <w:w w:val="105"/>
                <w:sz w:val="19"/>
                <w:vertAlign w:val="superscript"/>
              </w:rPr>
              <w:t>th</w:t>
            </w:r>
            <w:r w:rsidRPr="00FF50D9">
              <w:rPr>
                <w:w w:val="105"/>
                <w:sz w:val="19"/>
              </w:rPr>
              <w:t xml:space="preserve"> report of its kind</w:t>
            </w:r>
          </w:p>
          <w:p w:rsidR="00673B69" w:rsidRPr="00FF50D9" w:rsidRDefault="00673B69" w:rsidP="00F757E8">
            <w:pPr>
              <w:spacing w:before="100"/>
              <w:cnfStyle w:val="000000100000" w:firstRow="0" w:lastRow="0" w:firstColumn="0" w:lastColumn="0" w:oddVBand="0" w:evenVBand="0" w:oddHBand="1" w:evenHBand="0" w:firstRowFirstColumn="0" w:firstRowLastColumn="0" w:lastRowFirstColumn="0" w:lastRowLastColumn="0"/>
            </w:pPr>
            <w:r w:rsidRPr="00FF50D9">
              <w:rPr>
                <w:w w:val="105"/>
                <w:sz w:val="19"/>
              </w:rPr>
              <w:t>Mandatory biannual reporting commenced in 2002</w:t>
            </w:r>
          </w:p>
        </w:tc>
      </w:tr>
      <w:tr w:rsidR="00673B69" w:rsidTr="00F757E8">
        <w:tc>
          <w:tcPr>
            <w:cnfStyle w:val="001000000000" w:firstRow="0" w:lastRow="0" w:firstColumn="1" w:lastColumn="0" w:oddVBand="0" w:evenVBand="0" w:oddHBand="0" w:evenHBand="0" w:firstRowFirstColumn="0" w:firstRowLastColumn="0" w:lastRowFirstColumn="0" w:lastRowLastColumn="0"/>
            <w:tcW w:w="1862" w:type="dxa"/>
          </w:tcPr>
          <w:p w:rsidR="00673B69" w:rsidRDefault="00673B69" w:rsidP="00F757E8">
            <w:pPr>
              <w:pStyle w:val="BodyText"/>
              <w:ind w:left="0"/>
              <w:rPr>
                <w:b w:val="0"/>
                <w:sz w:val="19"/>
              </w:rPr>
            </w:pPr>
            <w:r>
              <w:rPr>
                <w:b w:val="0"/>
                <w:sz w:val="19"/>
              </w:rPr>
              <w:t>NSW</w:t>
            </w:r>
          </w:p>
        </w:tc>
        <w:tc>
          <w:tcPr>
            <w:tcW w:w="5544" w:type="dxa"/>
          </w:tcPr>
          <w:p w:rsidR="00673B69" w:rsidRDefault="00673B69" w:rsidP="00F757E8">
            <w:pPr>
              <w:spacing w:before="141" w:line="252" w:lineRule="auto"/>
              <w:ind w:left="14"/>
              <w:jc w:val="both"/>
              <w:cnfStyle w:val="000000000000" w:firstRow="0" w:lastRow="0" w:firstColumn="0" w:lastColumn="0" w:oddVBand="0" w:evenVBand="0" w:oddHBand="0" w:evenHBand="0" w:firstRowFirstColumn="0" w:firstRowLastColumn="0" w:lastRowFirstColumn="0" w:lastRowLastColumn="0"/>
              <w:rPr>
                <w:sz w:val="19"/>
              </w:rPr>
            </w:pPr>
            <w:r>
              <w:rPr>
                <w:w w:val="105"/>
                <w:sz w:val="19"/>
              </w:rPr>
              <w:t>Ombudsman NSW (2018). Report of reviewable deaths in: 2014 and 2015 &amp; 2016 and 2017: Deaths of people with disability in residential care</w:t>
            </w:r>
          </w:p>
          <w:p w:rsidR="00673B69" w:rsidRDefault="00673B69" w:rsidP="00F757E8">
            <w:pPr>
              <w:pStyle w:val="ListParagraph"/>
              <w:tabs>
                <w:tab w:val="left" w:pos="2336"/>
              </w:tabs>
              <w:spacing w:before="60"/>
              <w:ind w:left="14" w:firstLine="0"/>
              <w:jc w:val="both"/>
              <w:cnfStyle w:val="000000000000" w:firstRow="0" w:lastRow="0" w:firstColumn="0" w:lastColumn="0" w:oddVBand="0" w:evenVBand="0" w:oddHBand="0" w:evenHBand="0" w:firstRowFirstColumn="0" w:firstRowLastColumn="0" w:lastRowFirstColumn="0" w:lastRowLastColumn="0"/>
              <w:rPr>
                <w:i/>
                <w:sz w:val="19"/>
              </w:rPr>
            </w:pPr>
            <w:r>
              <w:rPr>
                <w:i/>
                <w:w w:val="105"/>
                <w:sz w:val="19"/>
              </w:rPr>
              <w:t>*For remainder of report will be referenced as ‘NSW</w:t>
            </w:r>
            <w:r>
              <w:rPr>
                <w:i/>
                <w:spacing w:val="-1"/>
                <w:w w:val="105"/>
                <w:sz w:val="19"/>
              </w:rPr>
              <w:t xml:space="preserve"> </w:t>
            </w:r>
            <w:r>
              <w:rPr>
                <w:i/>
                <w:w w:val="105"/>
                <w:sz w:val="19"/>
              </w:rPr>
              <w:t>14-17’</w:t>
            </w:r>
          </w:p>
          <w:p w:rsidR="00673B69" w:rsidRDefault="00673B69" w:rsidP="00F757E8">
            <w:pPr>
              <w:spacing w:before="100" w:line="252" w:lineRule="auto"/>
              <w:ind w:left="14"/>
              <w:jc w:val="both"/>
              <w:cnfStyle w:val="000000000000" w:firstRow="0" w:lastRow="0" w:firstColumn="0" w:lastColumn="0" w:oddVBand="0" w:evenVBand="0" w:oddHBand="0" w:evenHBand="0" w:firstRowFirstColumn="0" w:firstRowLastColumn="0" w:lastRowFirstColumn="0" w:lastRowLastColumn="0"/>
              <w:rPr>
                <w:w w:val="105"/>
                <w:sz w:val="19"/>
              </w:rPr>
            </w:pPr>
          </w:p>
        </w:tc>
        <w:tc>
          <w:tcPr>
            <w:tcW w:w="3367" w:type="dxa"/>
          </w:tcPr>
          <w:p w:rsidR="00673B69" w:rsidRDefault="00673B69" w:rsidP="00F757E8">
            <w:pPr>
              <w:spacing w:before="141"/>
              <w:cnfStyle w:val="000000000000" w:firstRow="0" w:lastRow="0" w:firstColumn="0" w:lastColumn="0" w:oddVBand="0" w:evenVBand="0" w:oddHBand="0" w:evenHBand="0" w:firstRowFirstColumn="0" w:firstRowLastColumn="0" w:lastRowFirstColumn="0" w:lastRowLastColumn="0"/>
              <w:rPr>
                <w:sz w:val="19"/>
              </w:rPr>
            </w:pPr>
            <w:r>
              <w:rPr>
                <w:w w:val="105"/>
                <w:sz w:val="19"/>
              </w:rPr>
              <w:t>9</w:t>
            </w:r>
            <w:r>
              <w:rPr>
                <w:w w:val="105"/>
                <w:sz w:val="19"/>
                <w:vertAlign w:val="superscript"/>
              </w:rPr>
              <w:t>th</w:t>
            </w:r>
            <w:r>
              <w:rPr>
                <w:w w:val="105"/>
                <w:sz w:val="19"/>
              </w:rPr>
              <w:t xml:space="preserve"> report of its kind</w:t>
            </w:r>
          </w:p>
          <w:p w:rsidR="00673B69" w:rsidRDefault="00673B69" w:rsidP="00F757E8">
            <w:pPr>
              <w:spacing w:before="100"/>
              <w:cnfStyle w:val="000000000000" w:firstRow="0" w:lastRow="0" w:firstColumn="0" w:lastColumn="0" w:oddVBand="0" w:evenVBand="0" w:oddHBand="0" w:evenHBand="0" w:firstRowFirstColumn="0" w:firstRowLastColumn="0" w:lastRowFirstColumn="0" w:lastRowLastColumn="0"/>
            </w:pPr>
            <w:r>
              <w:rPr>
                <w:w w:val="105"/>
                <w:sz w:val="19"/>
              </w:rPr>
              <w:t>Covers two biannual reporting periods</w:t>
            </w:r>
          </w:p>
        </w:tc>
      </w:tr>
    </w:tbl>
    <w:p w:rsidR="00673B69" w:rsidRDefault="00673B69" w:rsidP="00CB6BD6">
      <w:pPr>
        <w:pStyle w:val="BodyText"/>
      </w:pPr>
    </w:p>
    <w:p w:rsidR="00EA1F74" w:rsidRDefault="00FC1CE8">
      <w:pPr>
        <w:pStyle w:val="Heading2"/>
      </w:pPr>
      <w:r>
        <w:t>In-scope deaths</w:t>
      </w:r>
    </w:p>
    <w:p w:rsidR="00EA1F74" w:rsidRDefault="00FC1CE8" w:rsidP="00625DA1">
      <w:pPr>
        <w:pStyle w:val="BodyText"/>
      </w:pPr>
      <w:r>
        <w:t>Table 4 summarises key inclusion and exclusion criteria for each report. In-scope deaths varied widely across reports. In summary, variance was due to a number of factors including:</w:t>
      </w:r>
    </w:p>
    <w:p w:rsidR="00EA1F74" w:rsidRDefault="00EA1F74" w:rsidP="00625DA1">
      <w:pPr>
        <w:pStyle w:val="BodyText"/>
      </w:pPr>
    </w:p>
    <w:p w:rsidR="00EA1F74" w:rsidRDefault="00FC1CE8">
      <w:pPr>
        <w:spacing w:before="1" w:line="362" w:lineRule="auto"/>
        <w:ind w:left="733" w:right="1236"/>
        <w:rPr>
          <w:sz w:val="24"/>
        </w:rPr>
      </w:pPr>
      <w:r>
        <w:rPr>
          <w:b/>
          <w:i/>
          <w:sz w:val="24"/>
        </w:rPr>
        <w:t xml:space="preserve">Different data collection periods: </w:t>
      </w:r>
      <w:r>
        <w:rPr>
          <w:sz w:val="24"/>
        </w:rPr>
        <w:t>Length and time range of in-scope deaths varied from 7 months (VIC 17-18) to 9 years (VIC 07-16).</w:t>
      </w:r>
    </w:p>
    <w:p w:rsidR="00EA1F74" w:rsidRDefault="00EA1F74" w:rsidP="00625DA1">
      <w:pPr>
        <w:pStyle w:val="BodyText"/>
      </w:pPr>
    </w:p>
    <w:p w:rsidR="00EA1F74" w:rsidRDefault="00FC1CE8" w:rsidP="00625DA1">
      <w:pPr>
        <w:pStyle w:val="BodyText"/>
      </w:pPr>
      <w:r>
        <w:rPr>
          <w:b/>
          <w:i/>
        </w:rPr>
        <w:t xml:space="preserve">Differences in terms of reference: </w:t>
      </w:r>
      <w:r>
        <w:t>Significant heterogeneity in terms of reference was also noted across reviews. For example, the VIC 07-16 report was restricted to deaths of people with disability in residential care whose deaths could be potentially related to abuse and neglect in care provided by a disability service provider. In contrast, the VIC 17-18 report had much broader terms of reference, including both expected and unexpected deaths of all Victorians in receipt of disability services. In QLD, the Office</w:t>
      </w:r>
      <w:r>
        <w:rPr>
          <w:spacing w:val="-8"/>
        </w:rPr>
        <w:t xml:space="preserve"> </w:t>
      </w:r>
      <w:r>
        <w:t>of</w:t>
      </w:r>
      <w:r w:rsidR="00673B69">
        <w:t xml:space="preserve"> </w:t>
      </w:r>
      <w:r>
        <w:t>the Public Advocate (QLD 09-14) examined both expected and unexpected deaths across a range of settings, but only where the person had an intellectual disability. In NSW (NSW 12-13 &amp; 14-17), only deaths of people with disabilities in residential care were</w:t>
      </w:r>
      <w:r>
        <w:rPr>
          <w:spacing w:val="-4"/>
        </w:rPr>
        <w:t xml:space="preserve"> </w:t>
      </w:r>
      <w:r>
        <w:t>in-scope.</w:t>
      </w:r>
    </w:p>
    <w:p w:rsidR="00EA1F74" w:rsidRDefault="00FC1CE8" w:rsidP="00625DA1">
      <w:pPr>
        <w:pStyle w:val="BodyText"/>
      </w:pPr>
      <w:r>
        <w:t>Differences in how ‘disability service providers’ are defined under each jurisdiction’s Disability Act also impacted which populations were included.</w:t>
      </w:r>
    </w:p>
    <w:p w:rsidR="00EA1F74" w:rsidRDefault="00EA1F74">
      <w:pPr>
        <w:spacing w:line="362" w:lineRule="auto"/>
        <w:jc w:val="both"/>
        <w:sectPr w:rsidR="00EA1F74" w:rsidSect="003A0312">
          <w:type w:val="continuous"/>
          <w:pgSz w:w="11900" w:h="16840"/>
          <w:pgMar w:top="993" w:right="260" w:bottom="0" w:left="140" w:header="720" w:footer="720" w:gutter="0"/>
          <w:cols w:space="720"/>
        </w:sectPr>
      </w:pPr>
    </w:p>
    <w:p w:rsidR="00EA1F74" w:rsidRDefault="00EA1F74" w:rsidP="00625DA1">
      <w:pPr>
        <w:pStyle w:val="BodyText"/>
      </w:pPr>
    </w:p>
    <w:p w:rsidR="00EA1F74" w:rsidRDefault="00FC1CE8" w:rsidP="00625DA1">
      <w:pPr>
        <w:pStyle w:val="BodyText"/>
      </w:pPr>
      <w:r>
        <w:t>Reviewing exclusion criteria across reports, it appears that the deaths of certain types of people with disability are under-represented in this scoping review, including:</w:t>
      </w:r>
    </w:p>
    <w:p w:rsidR="00EA1F74" w:rsidRDefault="00FC1CE8">
      <w:pPr>
        <w:pStyle w:val="ListParagraph"/>
        <w:numPr>
          <w:ilvl w:val="1"/>
          <w:numId w:val="120"/>
        </w:numPr>
        <w:tabs>
          <w:tab w:val="left" w:pos="1813"/>
          <w:tab w:val="left" w:pos="1814"/>
        </w:tabs>
        <w:spacing w:before="69" w:line="355" w:lineRule="auto"/>
        <w:ind w:right="1238"/>
        <w:rPr>
          <w:sz w:val="24"/>
        </w:rPr>
      </w:pPr>
      <w:r>
        <w:rPr>
          <w:sz w:val="24"/>
        </w:rPr>
        <w:t>Deaths of people with disability who live at home and/or do not access disability services</w:t>
      </w:r>
    </w:p>
    <w:p w:rsidR="00EA1F74" w:rsidRDefault="00FC1CE8">
      <w:pPr>
        <w:pStyle w:val="ListParagraph"/>
        <w:numPr>
          <w:ilvl w:val="1"/>
          <w:numId w:val="120"/>
        </w:numPr>
        <w:tabs>
          <w:tab w:val="left" w:pos="1813"/>
          <w:tab w:val="left" w:pos="1814"/>
        </w:tabs>
        <w:spacing w:before="1"/>
        <w:ind w:hanging="361"/>
        <w:rPr>
          <w:sz w:val="24"/>
        </w:rPr>
      </w:pPr>
      <w:r>
        <w:rPr>
          <w:sz w:val="24"/>
        </w:rPr>
        <w:t>Deaths of people with disability who reside in residential aged care</w:t>
      </w:r>
      <w:r>
        <w:rPr>
          <w:spacing w:val="-1"/>
          <w:sz w:val="24"/>
        </w:rPr>
        <w:t xml:space="preserve"> </w:t>
      </w:r>
      <w:r>
        <w:rPr>
          <w:sz w:val="24"/>
        </w:rPr>
        <w:t>facilities</w:t>
      </w:r>
    </w:p>
    <w:p w:rsidR="00EA1F74" w:rsidRDefault="00FC1CE8">
      <w:pPr>
        <w:pStyle w:val="ListParagraph"/>
        <w:numPr>
          <w:ilvl w:val="1"/>
          <w:numId w:val="120"/>
        </w:numPr>
        <w:tabs>
          <w:tab w:val="left" w:pos="1813"/>
          <w:tab w:val="left" w:pos="1814"/>
        </w:tabs>
        <w:spacing w:before="138" w:line="350" w:lineRule="auto"/>
        <w:ind w:right="1892"/>
        <w:rPr>
          <w:sz w:val="24"/>
        </w:rPr>
      </w:pPr>
      <w:r>
        <w:rPr>
          <w:sz w:val="24"/>
        </w:rPr>
        <w:t xml:space="preserve">Deaths of people with disabilities who are in custody or in a mental </w:t>
      </w:r>
      <w:r>
        <w:rPr>
          <w:spacing w:val="-3"/>
          <w:sz w:val="24"/>
        </w:rPr>
        <w:t xml:space="preserve">health </w:t>
      </w:r>
      <w:r>
        <w:rPr>
          <w:sz w:val="24"/>
        </w:rPr>
        <w:t>facility.</w:t>
      </w:r>
    </w:p>
    <w:p w:rsidR="00EA1F74" w:rsidRDefault="00FC1CE8" w:rsidP="00625DA1">
      <w:pPr>
        <w:pStyle w:val="BodyText"/>
      </w:pPr>
      <w:r>
        <w:t>The great variance in terms of reference and inclusion criteria between reports means that the deaths examined in this scoping review are highly unlikely to be representative of the broader population of people with disabilities residing in Australia.</w:t>
      </w:r>
    </w:p>
    <w:p w:rsidR="00EA1F74" w:rsidRDefault="00EA1F74" w:rsidP="00625DA1">
      <w:pPr>
        <w:pStyle w:val="BodyText"/>
      </w:pPr>
    </w:p>
    <w:p w:rsidR="00EA1F74" w:rsidRDefault="00FC1CE8" w:rsidP="00625DA1">
      <w:pPr>
        <w:pStyle w:val="BodyText"/>
      </w:pPr>
      <w:r>
        <w:t>Definitional differences as to what constitutes a ‘reportable’ death of a person with disability under each jurisdiction’s Coroner’s Act: Table 5 summarises what constitutes a ‘reportable death’ across in-scope jurisdictions. Each Australian state and territory has its own Coroners Act, the wording of which has different implications for which deaths are considered ‘reportable’ (Middleton &amp; Buist, 2014). For example, deaths of people with disability receiving non-government funded disability care in Victoria are not considered ‘reportable’ under the Victorian Coroner’s Act. Of note, not all deaths that were reportable to the state coroner were automatically in-scope for the death review in that jurisdiction. For example, deaths of people detained in a secure mental health facility and deaths of people in custody are reportable to the coroner but are not in-scope for the NSW Ombudsman review of deaths of people with disability in residential care, even when the person was known to have a disability.</w:t>
      </w:r>
    </w:p>
    <w:p w:rsidR="00EA1F74" w:rsidRDefault="00EA1F74" w:rsidP="00625DA1">
      <w:pPr>
        <w:pStyle w:val="BodyText"/>
      </w:pPr>
    </w:p>
    <w:p w:rsidR="00B60585" w:rsidRDefault="00B60585">
      <w:pPr>
        <w:rPr>
          <w:w w:val="105"/>
          <w:sz w:val="24"/>
          <w:szCs w:val="24"/>
        </w:rPr>
      </w:pPr>
      <w:r>
        <w:br w:type="page"/>
      </w:r>
    </w:p>
    <w:p w:rsidR="00EA1F74" w:rsidRDefault="00FC1CE8" w:rsidP="00625DA1">
      <w:pPr>
        <w:pStyle w:val="BodyText"/>
      </w:pPr>
      <w:r>
        <w:t>Table 4: Inclusion and exclusion criteria for in-scope reports</w:t>
      </w:r>
    </w:p>
    <w:tbl>
      <w:tblPr>
        <w:tblW w:w="0" w:type="auto"/>
        <w:tblInd w:w="46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94"/>
        <w:gridCol w:w="1416"/>
        <w:gridCol w:w="5813"/>
        <w:gridCol w:w="2693"/>
      </w:tblGrid>
      <w:tr w:rsidR="00EA1F74">
        <w:trPr>
          <w:trHeight w:val="747"/>
        </w:trPr>
        <w:tc>
          <w:tcPr>
            <w:tcW w:w="994" w:type="dxa"/>
            <w:tcBorders>
              <w:bottom w:val="single" w:sz="18" w:space="0" w:color="A5A5A5"/>
            </w:tcBorders>
          </w:tcPr>
          <w:p w:rsidR="00EA1F74" w:rsidRDefault="00FC1CE8">
            <w:pPr>
              <w:pStyle w:val="TableParagraph"/>
              <w:spacing w:before="3" w:line="316" w:lineRule="auto"/>
              <w:ind w:left="105" w:right="206"/>
              <w:rPr>
                <w:b/>
                <w:sz w:val="19"/>
              </w:rPr>
            </w:pPr>
            <w:r>
              <w:rPr>
                <w:b/>
                <w:w w:val="105"/>
                <w:sz w:val="19"/>
              </w:rPr>
              <w:t>Report ID</w:t>
            </w:r>
          </w:p>
        </w:tc>
        <w:tc>
          <w:tcPr>
            <w:tcW w:w="1416" w:type="dxa"/>
            <w:tcBorders>
              <w:bottom w:val="single" w:sz="18" w:space="0" w:color="A5A5A5"/>
            </w:tcBorders>
          </w:tcPr>
          <w:p w:rsidR="00EA1F74" w:rsidRDefault="00FC1CE8">
            <w:pPr>
              <w:pStyle w:val="TableParagraph"/>
              <w:spacing w:before="3"/>
              <w:ind w:left="104"/>
              <w:rPr>
                <w:b/>
                <w:sz w:val="19"/>
              </w:rPr>
            </w:pPr>
            <w:r>
              <w:rPr>
                <w:b/>
                <w:w w:val="105"/>
                <w:sz w:val="19"/>
              </w:rPr>
              <w:t>Time period</w:t>
            </w:r>
          </w:p>
        </w:tc>
        <w:tc>
          <w:tcPr>
            <w:tcW w:w="5813" w:type="dxa"/>
            <w:tcBorders>
              <w:bottom w:val="single" w:sz="18" w:space="0" w:color="A5A5A5"/>
            </w:tcBorders>
          </w:tcPr>
          <w:p w:rsidR="00EA1F74" w:rsidRDefault="00FC1CE8">
            <w:pPr>
              <w:pStyle w:val="TableParagraph"/>
              <w:spacing w:before="3"/>
              <w:ind w:left="104"/>
              <w:rPr>
                <w:b/>
                <w:sz w:val="19"/>
              </w:rPr>
            </w:pPr>
            <w:r>
              <w:rPr>
                <w:b/>
                <w:w w:val="105"/>
                <w:sz w:val="19"/>
              </w:rPr>
              <w:t>In-scope deaths</w:t>
            </w:r>
          </w:p>
        </w:tc>
        <w:tc>
          <w:tcPr>
            <w:tcW w:w="2693" w:type="dxa"/>
            <w:tcBorders>
              <w:bottom w:val="single" w:sz="18" w:space="0" w:color="A5A5A5"/>
            </w:tcBorders>
          </w:tcPr>
          <w:p w:rsidR="00EA1F74" w:rsidRDefault="00FC1CE8">
            <w:pPr>
              <w:pStyle w:val="TableParagraph"/>
              <w:spacing w:before="3" w:line="252" w:lineRule="auto"/>
              <w:ind w:left="104" w:right="166"/>
              <w:rPr>
                <w:b/>
                <w:sz w:val="19"/>
              </w:rPr>
            </w:pPr>
            <w:r>
              <w:rPr>
                <w:b/>
                <w:w w:val="105"/>
                <w:sz w:val="19"/>
              </w:rPr>
              <w:t>Deaths of people with disabilities that were out- of-scope</w:t>
            </w:r>
          </w:p>
        </w:tc>
      </w:tr>
      <w:tr w:rsidR="00EA1F74" w:rsidTr="00B0036C">
        <w:trPr>
          <w:trHeight w:val="1793"/>
        </w:trPr>
        <w:tc>
          <w:tcPr>
            <w:tcW w:w="994" w:type="dxa"/>
            <w:tcBorders>
              <w:top w:val="single" w:sz="18" w:space="0" w:color="A5A5A5"/>
            </w:tcBorders>
            <w:shd w:val="clear" w:color="auto" w:fill="F2F2F2" w:themeFill="background1" w:themeFillShade="F2"/>
          </w:tcPr>
          <w:p w:rsidR="00EA1F74" w:rsidRDefault="00FC1CE8">
            <w:pPr>
              <w:pStyle w:val="TableParagraph"/>
              <w:spacing w:before="8" w:line="316" w:lineRule="auto"/>
              <w:ind w:left="105" w:right="355"/>
              <w:rPr>
                <w:b/>
                <w:sz w:val="19"/>
              </w:rPr>
            </w:pPr>
            <w:r>
              <w:rPr>
                <w:b/>
                <w:w w:val="105"/>
                <w:sz w:val="19"/>
              </w:rPr>
              <w:t>VIC 17-18</w:t>
            </w:r>
          </w:p>
        </w:tc>
        <w:tc>
          <w:tcPr>
            <w:tcW w:w="1416" w:type="dxa"/>
            <w:tcBorders>
              <w:top w:val="single" w:sz="18" w:space="0" w:color="A5A5A5"/>
            </w:tcBorders>
            <w:shd w:val="clear" w:color="auto" w:fill="F2F2F2" w:themeFill="background1" w:themeFillShade="F2"/>
          </w:tcPr>
          <w:p w:rsidR="00EA1F74" w:rsidRDefault="00FC1CE8">
            <w:pPr>
              <w:pStyle w:val="TableParagraph"/>
              <w:spacing w:before="8"/>
              <w:ind w:left="104"/>
              <w:rPr>
                <w:sz w:val="19"/>
              </w:rPr>
            </w:pPr>
            <w:r>
              <w:rPr>
                <w:w w:val="105"/>
                <w:sz w:val="19"/>
              </w:rPr>
              <w:t>24/07/2017-</w:t>
            </w:r>
          </w:p>
          <w:p w:rsidR="00EA1F74" w:rsidRDefault="00FC1CE8">
            <w:pPr>
              <w:pStyle w:val="TableParagraph"/>
              <w:spacing w:before="69"/>
              <w:ind w:left="104"/>
              <w:rPr>
                <w:sz w:val="19"/>
              </w:rPr>
            </w:pPr>
            <w:r>
              <w:rPr>
                <w:w w:val="105"/>
                <w:sz w:val="19"/>
              </w:rPr>
              <w:t>2018</w:t>
            </w:r>
          </w:p>
          <w:p w:rsidR="00EA1F74" w:rsidRDefault="00EA1F74">
            <w:pPr>
              <w:pStyle w:val="TableParagraph"/>
              <w:spacing w:before="6"/>
              <w:rPr>
                <w:sz w:val="30"/>
              </w:rPr>
            </w:pPr>
          </w:p>
          <w:p w:rsidR="00EA1F74" w:rsidRDefault="00FC1CE8">
            <w:pPr>
              <w:pStyle w:val="TableParagraph"/>
              <w:spacing w:line="230" w:lineRule="atLeast"/>
              <w:ind w:left="104" w:right="285"/>
              <w:rPr>
                <w:sz w:val="19"/>
              </w:rPr>
            </w:pPr>
            <w:r>
              <w:rPr>
                <w:w w:val="105"/>
                <w:sz w:val="19"/>
              </w:rPr>
              <w:t>*Report noted to cover a 7 month time</w:t>
            </w:r>
          </w:p>
        </w:tc>
        <w:tc>
          <w:tcPr>
            <w:tcW w:w="5813" w:type="dxa"/>
            <w:tcBorders>
              <w:top w:val="single" w:sz="18" w:space="0" w:color="A5A5A5"/>
            </w:tcBorders>
            <w:shd w:val="clear" w:color="auto" w:fill="F2F2F2" w:themeFill="background1" w:themeFillShade="F2"/>
          </w:tcPr>
          <w:p w:rsidR="00EA1F74" w:rsidRDefault="00FC1CE8">
            <w:pPr>
              <w:pStyle w:val="TableParagraph"/>
              <w:spacing w:before="8" w:line="252" w:lineRule="auto"/>
              <w:ind w:left="104" w:right="267"/>
              <w:rPr>
                <w:sz w:val="19"/>
              </w:rPr>
            </w:pPr>
            <w:r>
              <w:rPr>
                <w:w w:val="105"/>
                <w:sz w:val="19"/>
              </w:rPr>
              <w:t xml:space="preserve">Both expected and unexpected deaths of people who were in receipt of disability services as defined by the </w:t>
            </w:r>
            <w:r>
              <w:rPr>
                <w:i/>
                <w:w w:val="105"/>
                <w:sz w:val="19"/>
              </w:rPr>
              <w:t>Disability Act 2006 (The Act)</w:t>
            </w:r>
            <w:r>
              <w:rPr>
                <w:w w:val="105"/>
                <w:sz w:val="19"/>
              </w:rPr>
              <w:t xml:space="preserve">, whose deaths were subsequently reported to the investigating team by DHHS* through its client incident reporting system </w:t>
            </w:r>
            <w:r>
              <w:rPr>
                <w:i/>
                <w:w w:val="105"/>
                <w:sz w:val="19"/>
              </w:rPr>
              <w:t xml:space="preserve">or </w:t>
            </w:r>
            <w:r>
              <w:rPr>
                <w:w w:val="105"/>
                <w:sz w:val="19"/>
              </w:rPr>
              <w:t>by notification from the State Coroner.</w:t>
            </w:r>
          </w:p>
          <w:p w:rsidR="00EA1F74" w:rsidRDefault="00EA1F74">
            <w:pPr>
              <w:pStyle w:val="TableParagraph"/>
              <w:spacing w:before="5"/>
              <w:rPr>
                <w:sz w:val="30"/>
              </w:rPr>
            </w:pPr>
          </w:p>
          <w:p w:rsidR="00EA1F74" w:rsidRDefault="00FC1CE8">
            <w:pPr>
              <w:pStyle w:val="TableParagraph"/>
              <w:ind w:left="104"/>
              <w:rPr>
                <w:sz w:val="19"/>
              </w:rPr>
            </w:pPr>
            <w:r>
              <w:rPr>
                <w:w w:val="105"/>
                <w:sz w:val="19"/>
              </w:rPr>
              <w:t>Included people with disability who accessed:</w:t>
            </w:r>
          </w:p>
        </w:tc>
        <w:tc>
          <w:tcPr>
            <w:tcW w:w="2693" w:type="dxa"/>
            <w:tcBorders>
              <w:top w:val="single" w:sz="18" w:space="0" w:color="A5A5A5"/>
            </w:tcBorders>
            <w:shd w:val="clear" w:color="auto" w:fill="F2F2F2" w:themeFill="background1" w:themeFillShade="F2"/>
          </w:tcPr>
          <w:p w:rsidR="00EA1F74" w:rsidRDefault="00FC1CE8">
            <w:pPr>
              <w:pStyle w:val="TableParagraph"/>
              <w:spacing w:before="8" w:line="252" w:lineRule="auto"/>
              <w:ind w:left="104" w:right="97"/>
              <w:rPr>
                <w:sz w:val="19"/>
              </w:rPr>
            </w:pPr>
            <w:r>
              <w:rPr>
                <w:w w:val="105"/>
                <w:sz w:val="19"/>
              </w:rPr>
              <w:t>Deaths where the person’s service provider was not a disability service provider or a regulated disability service as defined by the Act.</w:t>
            </w:r>
          </w:p>
        </w:tc>
      </w:tr>
    </w:tbl>
    <w:p w:rsidR="00EA1F74" w:rsidRDefault="00EA1F74">
      <w:pPr>
        <w:spacing w:line="252" w:lineRule="auto"/>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rPr>
          <w:sz w:val="19"/>
        </w:rPr>
      </w:pPr>
    </w:p>
    <w:tbl>
      <w:tblPr>
        <w:tblW w:w="0" w:type="auto"/>
        <w:tblInd w:w="46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94"/>
        <w:gridCol w:w="1416"/>
        <w:gridCol w:w="5813"/>
        <w:gridCol w:w="2693"/>
      </w:tblGrid>
      <w:tr w:rsidR="00EA1F74" w:rsidTr="00B0036C">
        <w:trPr>
          <w:trHeight w:val="2965"/>
        </w:trPr>
        <w:tc>
          <w:tcPr>
            <w:tcW w:w="994" w:type="dxa"/>
            <w:shd w:val="clear" w:color="auto" w:fill="F2F2F2" w:themeFill="background1" w:themeFillShade="F2"/>
          </w:tcPr>
          <w:p w:rsidR="00EA1F74" w:rsidRDefault="00EA1F74">
            <w:pPr>
              <w:pStyle w:val="TableParagraph"/>
              <w:rPr>
                <w:rFonts w:ascii="Times New Roman"/>
                <w:sz w:val="18"/>
              </w:rPr>
            </w:pPr>
          </w:p>
        </w:tc>
        <w:tc>
          <w:tcPr>
            <w:tcW w:w="1416" w:type="dxa"/>
            <w:shd w:val="clear" w:color="auto" w:fill="F2F2F2" w:themeFill="background1" w:themeFillShade="F2"/>
          </w:tcPr>
          <w:p w:rsidR="00EA1F74" w:rsidRDefault="00FC1CE8">
            <w:pPr>
              <w:pStyle w:val="TableParagraph"/>
              <w:spacing w:before="3" w:line="252" w:lineRule="auto"/>
              <w:ind w:left="104" w:right="107"/>
              <w:rPr>
                <w:sz w:val="19"/>
              </w:rPr>
            </w:pPr>
            <w:r>
              <w:rPr>
                <w:w w:val="105"/>
                <w:sz w:val="19"/>
              </w:rPr>
              <w:t>period but no exact end date was specified</w:t>
            </w:r>
          </w:p>
        </w:tc>
        <w:tc>
          <w:tcPr>
            <w:tcW w:w="5813" w:type="dxa"/>
            <w:shd w:val="clear" w:color="auto" w:fill="F2F2F2" w:themeFill="background1" w:themeFillShade="F2"/>
          </w:tcPr>
          <w:p w:rsidR="00EA1F74" w:rsidRDefault="00FC1CE8">
            <w:pPr>
              <w:pStyle w:val="TableParagraph"/>
              <w:numPr>
                <w:ilvl w:val="0"/>
                <w:numId w:val="118"/>
              </w:numPr>
              <w:tabs>
                <w:tab w:val="left" w:pos="464"/>
                <w:tab w:val="left" w:pos="465"/>
              </w:tabs>
              <w:spacing w:before="5" w:line="254" w:lineRule="auto"/>
              <w:ind w:right="223"/>
              <w:rPr>
                <w:sz w:val="19"/>
              </w:rPr>
            </w:pPr>
            <w:r>
              <w:rPr>
                <w:w w:val="105"/>
                <w:sz w:val="19"/>
              </w:rPr>
              <w:t>Individual support services (day services, flexible support packages, individual support packages, outreach support, respite)</w:t>
            </w:r>
          </w:p>
          <w:p w:rsidR="00EA1F74" w:rsidRDefault="00FC1CE8">
            <w:pPr>
              <w:pStyle w:val="TableParagraph"/>
              <w:numPr>
                <w:ilvl w:val="0"/>
                <w:numId w:val="118"/>
              </w:numPr>
              <w:tabs>
                <w:tab w:val="left" w:pos="464"/>
                <w:tab w:val="left" w:pos="465"/>
              </w:tabs>
              <w:spacing w:before="15" w:line="256" w:lineRule="auto"/>
              <w:ind w:right="202"/>
              <w:rPr>
                <w:sz w:val="19"/>
              </w:rPr>
            </w:pPr>
            <w:r>
              <w:rPr>
                <w:b/>
                <w:w w:val="105"/>
                <w:sz w:val="19"/>
              </w:rPr>
              <w:t>I</w:t>
            </w:r>
            <w:r>
              <w:rPr>
                <w:w w:val="105"/>
                <w:sz w:val="19"/>
              </w:rPr>
              <w:t>nformation, planning and capacity building services (case management, access)</w:t>
            </w:r>
          </w:p>
          <w:p w:rsidR="00EA1F74" w:rsidRDefault="00FC1CE8">
            <w:pPr>
              <w:pStyle w:val="TableParagraph"/>
              <w:numPr>
                <w:ilvl w:val="0"/>
                <w:numId w:val="118"/>
              </w:numPr>
              <w:tabs>
                <w:tab w:val="left" w:pos="464"/>
                <w:tab w:val="left" w:pos="465"/>
              </w:tabs>
              <w:spacing w:before="12" w:line="256" w:lineRule="auto"/>
              <w:ind w:right="803"/>
              <w:rPr>
                <w:sz w:val="19"/>
              </w:rPr>
            </w:pPr>
            <w:r>
              <w:rPr>
                <w:w w:val="105"/>
                <w:sz w:val="19"/>
              </w:rPr>
              <w:t>Targeted services (behaviour intervention services, independent living training)</w:t>
            </w:r>
          </w:p>
          <w:p w:rsidR="00EA1F74" w:rsidRDefault="00FC1CE8">
            <w:pPr>
              <w:pStyle w:val="TableParagraph"/>
              <w:numPr>
                <w:ilvl w:val="0"/>
                <w:numId w:val="118"/>
              </w:numPr>
              <w:tabs>
                <w:tab w:val="left" w:pos="464"/>
                <w:tab w:val="left" w:pos="465"/>
              </w:tabs>
              <w:spacing w:before="11" w:line="249" w:lineRule="auto"/>
              <w:ind w:right="793"/>
              <w:rPr>
                <w:sz w:val="19"/>
              </w:rPr>
            </w:pPr>
            <w:r>
              <w:rPr>
                <w:w w:val="105"/>
                <w:sz w:val="19"/>
              </w:rPr>
              <w:t>Residential services (residential institutions, shared supported</w:t>
            </w:r>
            <w:r>
              <w:rPr>
                <w:spacing w:val="1"/>
                <w:w w:val="105"/>
                <w:sz w:val="19"/>
              </w:rPr>
              <w:t xml:space="preserve"> </w:t>
            </w:r>
            <w:r>
              <w:rPr>
                <w:w w:val="105"/>
                <w:sz w:val="19"/>
              </w:rPr>
              <w:t>accommodation)</w:t>
            </w:r>
          </w:p>
          <w:p w:rsidR="00EA1F74" w:rsidRDefault="00FC1CE8">
            <w:pPr>
              <w:pStyle w:val="TableParagraph"/>
              <w:numPr>
                <w:ilvl w:val="0"/>
                <w:numId w:val="118"/>
              </w:numPr>
              <w:tabs>
                <w:tab w:val="left" w:pos="464"/>
                <w:tab w:val="left" w:pos="465"/>
              </w:tabs>
              <w:spacing w:before="20" w:line="249" w:lineRule="auto"/>
              <w:ind w:right="293"/>
              <w:rPr>
                <w:sz w:val="19"/>
              </w:rPr>
            </w:pPr>
            <w:r>
              <w:rPr>
                <w:w w:val="105"/>
                <w:sz w:val="19"/>
              </w:rPr>
              <w:t>Victorian approved National Disability Insurance Scheme (NDIS) disability and psychosocial supports.</w:t>
            </w:r>
          </w:p>
        </w:tc>
        <w:tc>
          <w:tcPr>
            <w:tcW w:w="2693" w:type="dxa"/>
            <w:shd w:val="clear" w:color="auto" w:fill="F2F2F2" w:themeFill="background1" w:themeFillShade="F2"/>
          </w:tcPr>
          <w:p w:rsidR="00EA1F74" w:rsidRDefault="00FC1CE8">
            <w:pPr>
              <w:pStyle w:val="TableParagraph"/>
              <w:spacing w:before="3" w:line="252" w:lineRule="auto"/>
              <w:ind w:left="104" w:right="142"/>
              <w:rPr>
                <w:sz w:val="19"/>
              </w:rPr>
            </w:pPr>
            <w:r>
              <w:rPr>
                <w:w w:val="105"/>
                <w:sz w:val="19"/>
              </w:rPr>
              <w:t>Deaths of people not receiving any disability services and whose deaths were not mandated to be reported to the state coroner for some other reason</w:t>
            </w:r>
          </w:p>
        </w:tc>
      </w:tr>
      <w:tr w:rsidR="00EA1F74">
        <w:trPr>
          <w:trHeight w:val="1901"/>
        </w:trPr>
        <w:tc>
          <w:tcPr>
            <w:tcW w:w="994" w:type="dxa"/>
            <w:tcBorders>
              <w:bottom w:val="nil"/>
            </w:tcBorders>
          </w:tcPr>
          <w:p w:rsidR="00EA1F74" w:rsidRDefault="00FC1CE8">
            <w:pPr>
              <w:pStyle w:val="TableParagraph"/>
              <w:spacing w:before="8" w:line="316" w:lineRule="auto"/>
              <w:ind w:left="105" w:right="355"/>
              <w:rPr>
                <w:b/>
                <w:sz w:val="19"/>
              </w:rPr>
            </w:pPr>
            <w:r>
              <w:rPr>
                <w:b/>
                <w:w w:val="105"/>
                <w:sz w:val="19"/>
              </w:rPr>
              <w:t>VIC 07-16</w:t>
            </w:r>
          </w:p>
        </w:tc>
        <w:tc>
          <w:tcPr>
            <w:tcW w:w="1416" w:type="dxa"/>
            <w:tcBorders>
              <w:bottom w:val="nil"/>
            </w:tcBorders>
          </w:tcPr>
          <w:p w:rsidR="00EA1F74" w:rsidRDefault="00FC1CE8">
            <w:pPr>
              <w:pStyle w:val="TableParagraph"/>
              <w:spacing w:before="8"/>
              <w:ind w:left="104"/>
              <w:rPr>
                <w:sz w:val="19"/>
              </w:rPr>
            </w:pPr>
            <w:r>
              <w:rPr>
                <w:w w:val="105"/>
                <w:sz w:val="19"/>
              </w:rPr>
              <w:t>2007 until</w:t>
            </w:r>
          </w:p>
          <w:p w:rsidR="00EA1F74" w:rsidRDefault="00FC1CE8">
            <w:pPr>
              <w:pStyle w:val="TableParagraph"/>
              <w:spacing w:before="12"/>
              <w:ind w:left="104"/>
              <w:rPr>
                <w:sz w:val="19"/>
              </w:rPr>
            </w:pPr>
            <w:r>
              <w:rPr>
                <w:w w:val="105"/>
                <w:sz w:val="19"/>
              </w:rPr>
              <w:t>2016</w:t>
            </w:r>
          </w:p>
          <w:p w:rsidR="00EA1F74" w:rsidRDefault="00EA1F74">
            <w:pPr>
              <w:pStyle w:val="TableParagraph"/>
              <w:spacing w:before="1"/>
              <w:rPr>
                <w:sz w:val="31"/>
              </w:rPr>
            </w:pPr>
          </w:p>
          <w:p w:rsidR="00EA1F74" w:rsidRDefault="00FC1CE8">
            <w:pPr>
              <w:pStyle w:val="TableParagraph"/>
              <w:spacing w:line="252" w:lineRule="auto"/>
              <w:ind w:left="104" w:right="252"/>
              <w:rPr>
                <w:sz w:val="19"/>
              </w:rPr>
            </w:pPr>
            <w:r>
              <w:rPr>
                <w:w w:val="105"/>
                <w:sz w:val="19"/>
              </w:rPr>
              <w:t>*Exact start and end dates not specified</w:t>
            </w:r>
          </w:p>
        </w:tc>
        <w:tc>
          <w:tcPr>
            <w:tcW w:w="5813" w:type="dxa"/>
            <w:tcBorders>
              <w:bottom w:val="nil"/>
            </w:tcBorders>
          </w:tcPr>
          <w:p w:rsidR="00EA1F74" w:rsidRDefault="00FC1CE8">
            <w:pPr>
              <w:pStyle w:val="TableParagraph"/>
              <w:numPr>
                <w:ilvl w:val="0"/>
                <w:numId w:val="117"/>
              </w:numPr>
              <w:tabs>
                <w:tab w:val="left" w:pos="464"/>
                <w:tab w:val="left" w:pos="465"/>
              </w:tabs>
              <w:spacing w:before="10" w:line="244" w:lineRule="auto"/>
              <w:ind w:right="981"/>
              <w:rPr>
                <w:sz w:val="19"/>
              </w:rPr>
            </w:pPr>
            <w:r>
              <w:rPr>
                <w:w w:val="105"/>
                <w:sz w:val="19"/>
              </w:rPr>
              <w:t>Deaths of people with disability that occurred in a residential facility in Victoria; and</w:t>
            </w:r>
          </w:p>
          <w:p w:rsidR="00EA1F74" w:rsidRDefault="00FC1CE8">
            <w:pPr>
              <w:pStyle w:val="TableParagraph"/>
              <w:numPr>
                <w:ilvl w:val="0"/>
                <w:numId w:val="117"/>
              </w:numPr>
              <w:tabs>
                <w:tab w:val="left" w:pos="464"/>
                <w:tab w:val="left" w:pos="465"/>
              </w:tabs>
              <w:spacing w:before="10"/>
              <w:ind w:hanging="361"/>
              <w:rPr>
                <w:sz w:val="19"/>
              </w:rPr>
            </w:pPr>
            <w:r>
              <w:rPr>
                <w:w w:val="105"/>
                <w:sz w:val="19"/>
              </w:rPr>
              <w:t>Were reportable to the State coroner;</w:t>
            </w:r>
            <w:r>
              <w:rPr>
                <w:spacing w:val="3"/>
                <w:w w:val="105"/>
                <w:sz w:val="19"/>
              </w:rPr>
              <w:t xml:space="preserve"> </w:t>
            </w:r>
            <w:r>
              <w:rPr>
                <w:w w:val="105"/>
                <w:sz w:val="19"/>
              </w:rPr>
              <w:t>and</w:t>
            </w:r>
          </w:p>
          <w:p w:rsidR="00EA1F74" w:rsidRDefault="00FC1CE8">
            <w:pPr>
              <w:pStyle w:val="TableParagraph"/>
              <w:numPr>
                <w:ilvl w:val="0"/>
                <w:numId w:val="117"/>
              </w:numPr>
              <w:tabs>
                <w:tab w:val="left" w:pos="464"/>
                <w:tab w:val="left" w:pos="465"/>
              </w:tabs>
              <w:spacing w:before="12" w:line="249" w:lineRule="auto"/>
              <w:ind w:right="213"/>
              <w:rPr>
                <w:sz w:val="19"/>
              </w:rPr>
            </w:pPr>
            <w:r>
              <w:rPr>
                <w:w w:val="105"/>
                <w:sz w:val="19"/>
              </w:rPr>
              <w:t xml:space="preserve">Included mention of the </w:t>
            </w:r>
            <w:r>
              <w:rPr>
                <w:i/>
                <w:w w:val="105"/>
                <w:sz w:val="19"/>
              </w:rPr>
              <w:t xml:space="preserve">Disability Act 2006 </w:t>
            </w:r>
            <w:r>
              <w:rPr>
                <w:w w:val="105"/>
                <w:sz w:val="19"/>
              </w:rPr>
              <w:t>as part of their entry to the National Coronial Information System;</w:t>
            </w:r>
            <w:r>
              <w:rPr>
                <w:spacing w:val="-8"/>
                <w:w w:val="105"/>
                <w:sz w:val="19"/>
              </w:rPr>
              <w:t xml:space="preserve"> </w:t>
            </w:r>
            <w:r>
              <w:rPr>
                <w:w w:val="105"/>
                <w:sz w:val="19"/>
              </w:rPr>
              <w:t>and</w:t>
            </w:r>
          </w:p>
          <w:p w:rsidR="00EA1F74" w:rsidRDefault="00FC1CE8">
            <w:pPr>
              <w:pStyle w:val="TableParagraph"/>
              <w:numPr>
                <w:ilvl w:val="0"/>
                <w:numId w:val="117"/>
              </w:numPr>
              <w:tabs>
                <w:tab w:val="left" w:pos="464"/>
                <w:tab w:val="left" w:pos="465"/>
              </w:tabs>
              <w:spacing w:before="6" w:line="244" w:lineRule="auto"/>
              <w:ind w:right="546"/>
              <w:rPr>
                <w:sz w:val="19"/>
              </w:rPr>
            </w:pPr>
            <w:r>
              <w:rPr>
                <w:w w:val="105"/>
                <w:sz w:val="19"/>
              </w:rPr>
              <w:t>Were included by the committee in the 200 deaths it reviewed out of the total of 570 deaths identified</w:t>
            </w:r>
            <w:r>
              <w:rPr>
                <w:spacing w:val="-21"/>
                <w:w w:val="105"/>
                <w:sz w:val="19"/>
              </w:rPr>
              <w:t xml:space="preserve"> </w:t>
            </w:r>
            <w:r>
              <w:rPr>
                <w:w w:val="105"/>
                <w:sz w:val="19"/>
              </w:rPr>
              <w:t>using</w:t>
            </w:r>
          </w:p>
          <w:p w:rsidR="00EA1F74" w:rsidRDefault="00FC1CE8">
            <w:pPr>
              <w:pStyle w:val="TableParagraph"/>
              <w:spacing w:before="8" w:line="212" w:lineRule="exact"/>
              <w:ind w:left="464"/>
              <w:rPr>
                <w:sz w:val="19"/>
              </w:rPr>
            </w:pPr>
            <w:r>
              <w:rPr>
                <w:w w:val="105"/>
                <w:sz w:val="19"/>
              </w:rPr>
              <w:t>above method, and</w:t>
            </w:r>
          </w:p>
        </w:tc>
        <w:tc>
          <w:tcPr>
            <w:tcW w:w="2693" w:type="dxa"/>
            <w:tcBorders>
              <w:bottom w:val="nil"/>
            </w:tcBorders>
          </w:tcPr>
          <w:p w:rsidR="00EA1F74" w:rsidRDefault="00FC1CE8">
            <w:pPr>
              <w:pStyle w:val="TableParagraph"/>
              <w:spacing w:before="8" w:line="252" w:lineRule="auto"/>
              <w:ind w:left="104" w:right="120"/>
              <w:rPr>
                <w:sz w:val="19"/>
              </w:rPr>
            </w:pPr>
            <w:r>
              <w:rPr>
                <w:w w:val="105"/>
                <w:sz w:val="19"/>
              </w:rPr>
              <w:t>Deaths where abuse or neglect were not suspected</w:t>
            </w:r>
          </w:p>
          <w:p w:rsidR="00EA1F74" w:rsidRDefault="00EA1F74">
            <w:pPr>
              <w:pStyle w:val="TableParagraph"/>
              <w:spacing w:before="3"/>
              <w:rPr>
                <w:sz w:val="30"/>
              </w:rPr>
            </w:pPr>
          </w:p>
          <w:p w:rsidR="00EA1F74" w:rsidRDefault="00FC1CE8">
            <w:pPr>
              <w:pStyle w:val="TableParagraph"/>
              <w:spacing w:line="252" w:lineRule="auto"/>
              <w:ind w:left="104" w:right="164"/>
              <w:rPr>
                <w:sz w:val="19"/>
              </w:rPr>
            </w:pPr>
            <w:r>
              <w:rPr>
                <w:w w:val="105"/>
                <w:sz w:val="19"/>
              </w:rPr>
              <w:t>Deaths not selected for the subsample case review (370 of the 570 deaths identified by coroner)</w:t>
            </w:r>
          </w:p>
        </w:tc>
      </w:tr>
      <w:tr w:rsidR="00EA1F74">
        <w:trPr>
          <w:trHeight w:val="815"/>
        </w:trPr>
        <w:tc>
          <w:tcPr>
            <w:tcW w:w="994" w:type="dxa"/>
            <w:tcBorders>
              <w:top w:val="nil"/>
              <w:bottom w:val="nil"/>
            </w:tcBorders>
          </w:tcPr>
          <w:p w:rsidR="00EA1F74" w:rsidRDefault="00EA1F74">
            <w:pPr>
              <w:pStyle w:val="TableParagraph"/>
              <w:rPr>
                <w:rFonts w:ascii="Times New Roman"/>
                <w:sz w:val="18"/>
              </w:rPr>
            </w:pPr>
          </w:p>
        </w:tc>
        <w:tc>
          <w:tcPr>
            <w:tcW w:w="1416" w:type="dxa"/>
            <w:tcBorders>
              <w:top w:val="nil"/>
              <w:bottom w:val="nil"/>
            </w:tcBorders>
          </w:tcPr>
          <w:p w:rsidR="00EA1F74" w:rsidRDefault="00EA1F74">
            <w:pPr>
              <w:pStyle w:val="TableParagraph"/>
              <w:rPr>
                <w:rFonts w:ascii="Times New Roman"/>
                <w:sz w:val="18"/>
              </w:rPr>
            </w:pPr>
          </w:p>
        </w:tc>
        <w:tc>
          <w:tcPr>
            <w:tcW w:w="5813" w:type="dxa"/>
            <w:tcBorders>
              <w:top w:val="nil"/>
              <w:bottom w:val="nil"/>
            </w:tcBorders>
          </w:tcPr>
          <w:p w:rsidR="00EA1F74" w:rsidRDefault="00FC1CE8">
            <w:pPr>
              <w:pStyle w:val="TableParagraph"/>
              <w:numPr>
                <w:ilvl w:val="0"/>
                <w:numId w:val="116"/>
              </w:numPr>
              <w:tabs>
                <w:tab w:val="left" w:pos="464"/>
                <w:tab w:val="left" w:pos="465"/>
              </w:tabs>
              <w:spacing w:line="249" w:lineRule="auto"/>
              <w:ind w:right="448"/>
              <w:rPr>
                <w:sz w:val="19"/>
              </w:rPr>
            </w:pPr>
            <w:r>
              <w:rPr>
                <w:w w:val="105"/>
                <w:sz w:val="19"/>
              </w:rPr>
              <w:t>Were deaths potentially related to abuse and neglect in care provided by a disability service</w:t>
            </w:r>
            <w:r>
              <w:rPr>
                <w:spacing w:val="1"/>
                <w:w w:val="105"/>
                <w:sz w:val="19"/>
              </w:rPr>
              <w:t xml:space="preserve"> </w:t>
            </w:r>
            <w:r>
              <w:rPr>
                <w:w w:val="105"/>
                <w:sz w:val="19"/>
              </w:rPr>
              <w:t>provider.</w:t>
            </w:r>
          </w:p>
        </w:tc>
        <w:tc>
          <w:tcPr>
            <w:tcW w:w="2693" w:type="dxa"/>
            <w:tcBorders>
              <w:top w:val="nil"/>
              <w:bottom w:val="nil"/>
            </w:tcBorders>
          </w:tcPr>
          <w:p w:rsidR="00EA1F74" w:rsidRDefault="00FC1CE8">
            <w:pPr>
              <w:pStyle w:val="TableParagraph"/>
              <w:spacing w:before="185" w:line="252" w:lineRule="auto"/>
              <w:ind w:left="104" w:right="264"/>
              <w:rPr>
                <w:sz w:val="19"/>
              </w:rPr>
            </w:pPr>
            <w:r>
              <w:rPr>
                <w:w w:val="105"/>
                <w:sz w:val="19"/>
              </w:rPr>
              <w:t>Deaths occurring at home or hospital</w:t>
            </w:r>
          </w:p>
        </w:tc>
      </w:tr>
      <w:tr w:rsidR="00EA1F74">
        <w:trPr>
          <w:trHeight w:val="694"/>
        </w:trPr>
        <w:tc>
          <w:tcPr>
            <w:tcW w:w="994" w:type="dxa"/>
            <w:tcBorders>
              <w:top w:val="nil"/>
            </w:tcBorders>
          </w:tcPr>
          <w:p w:rsidR="00EA1F74" w:rsidRDefault="00EA1F74">
            <w:pPr>
              <w:pStyle w:val="TableParagraph"/>
              <w:rPr>
                <w:rFonts w:ascii="Times New Roman"/>
                <w:sz w:val="18"/>
              </w:rPr>
            </w:pPr>
          </w:p>
        </w:tc>
        <w:tc>
          <w:tcPr>
            <w:tcW w:w="1416" w:type="dxa"/>
            <w:tcBorders>
              <w:top w:val="nil"/>
            </w:tcBorders>
          </w:tcPr>
          <w:p w:rsidR="00EA1F74" w:rsidRDefault="00EA1F74">
            <w:pPr>
              <w:pStyle w:val="TableParagraph"/>
              <w:rPr>
                <w:rFonts w:ascii="Times New Roman"/>
                <w:sz w:val="18"/>
              </w:rPr>
            </w:pPr>
          </w:p>
        </w:tc>
        <w:tc>
          <w:tcPr>
            <w:tcW w:w="5813" w:type="dxa"/>
            <w:tcBorders>
              <w:top w:val="nil"/>
            </w:tcBorders>
          </w:tcPr>
          <w:p w:rsidR="00EA1F74" w:rsidRDefault="00EA1F74">
            <w:pPr>
              <w:pStyle w:val="TableParagraph"/>
              <w:rPr>
                <w:rFonts w:ascii="Times New Roman"/>
                <w:sz w:val="18"/>
              </w:rPr>
            </w:pPr>
          </w:p>
        </w:tc>
        <w:tc>
          <w:tcPr>
            <w:tcW w:w="2693" w:type="dxa"/>
            <w:tcBorders>
              <w:top w:val="nil"/>
            </w:tcBorders>
          </w:tcPr>
          <w:p w:rsidR="00EA1F74" w:rsidRDefault="00FC1CE8">
            <w:pPr>
              <w:pStyle w:val="TableParagraph"/>
              <w:spacing w:before="180" w:line="252" w:lineRule="auto"/>
              <w:ind w:left="104" w:right="408"/>
              <w:rPr>
                <w:sz w:val="19"/>
              </w:rPr>
            </w:pPr>
            <w:r>
              <w:rPr>
                <w:w w:val="105"/>
                <w:sz w:val="19"/>
              </w:rPr>
              <w:t>Deaths not reportable to the coroner</w:t>
            </w:r>
          </w:p>
        </w:tc>
      </w:tr>
      <w:tr w:rsidR="00EA1F74" w:rsidTr="00B0036C">
        <w:trPr>
          <w:trHeight w:val="1498"/>
        </w:trPr>
        <w:tc>
          <w:tcPr>
            <w:tcW w:w="994" w:type="dxa"/>
            <w:tcBorders>
              <w:bottom w:val="nil"/>
            </w:tcBorders>
            <w:shd w:val="clear" w:color="auto" w:fill="F2F2F2" w:themeFill="background1" w:themeFillShade="F2"/>
          </w:tcPr>
          <w:p w:rsidR="00EA1F74" w:rsidRDefault="00FC1CE8">
            <w:pPr>
              <w:pStyle w:val="TableParagraph"/>
              <w:spacing w:before="3" w:line="321" w:lineRule="auto"/>
              <w:ind w:left="105" w:right="355"/>
              <w:rPr>
                <w:b/>
                <w:sz w:val="19"/>
              </w:rPr>
            </w:pPr>
            <w:r>
              <w:rPr>
                <w:b/>
                <w:w w:val="105"/>
                <w:sz w:val="19"/>
              </w:rPr>
              <w:t>QLD 09-14</w:t>
            </w:r>
          </w:p>
        </w:tc>
        <w:tc>
          <w:tcPr>
            <w:tcW w:w="1416" w:type="dxa"/>
            <w:tcBorders>
              <w:bottom w:val="nil"/>
            </w:tcBorders>
            <w:shd w:val="clear" w:color="auto" w:fill="F2F2F2" w:themeFill="background1" w:themeFillShade="F2"/>
          </w:tcPr>
          <w:p w:rsidR="00EA1F74" w:rsidRDefault="00FC1CE8">
            <w:pPr>
              <w:pStyle w:val="TableParagraph"/>
              <w:spacing w:before="3"/>
              <w:ind w:left="104"/>
              <w:rPr>
                <w:sz w:val="19"/>
              </w:rPr>
            </w:pPr>
            <w:r>
              <w:rPr>
                <w:w w:val="105"/>
                <w:sz w:val="19"/>
              </w:rPr>
              <w:t>2009-2014</w:t>
            </w:r>
          </w:p>
          <w:p w:rsidR="00EA1F74" w:rsidRDefault="00EA1F74">
            <w:pPr>
              <w:pStyle w:val="TableParagraph"/>
              <w:spacing w:before="6"/>
              <w:rPr>
                <w:sz w:val="30"/>
              </w:rPr>
            </w:pPr>
          </w:p>
          <w:p w:rsidR="00EA1F74" w:rsidRDefault="00FC1CE8">
            <w:pPr>
              <w:pStyle w:val="TableParagraph"/>
              <w:spacing w:line="230" w:lineRule="atLeast"/>
              <w:ind w:left="104" w:right="274"/>
              <w:rPr>
                <w:sz w:val="19"/>
              </w:rPr>
            </w:pPr>
            <w:r>
              <w:rPr>
                <w:w w:val="105"/>
                <w:sz w:val="19"/>
              </w:rPr>
              <w:t>*exact start and end dates not specified</w:t>
            </w:r>
          </w:p>
        </w:tc>
        <w:tc>
          <w:tcPr>
            <w:tcW w:w="5813" w:type="dxa"/>
            <w:tcBorders>
              <w:bottom w:val="nil"/>
            </w:tcBorders>
            <w:shd w:val="clear" w:color="auto" w:fill="F2F2F2" w:themeFill="background1" w:themeFillShade="F2"/>
          </w:tcPr>
          <w:p w:rsidR="00EA1F74" w:rsidRDefault="00FC1CE8">
            <w:pPr>
              <w:pStyle w:val="TableParagraph"/>
              <w:spacing w:before="3"/>
              <w:ind w:left="104"/>
              <w:rPr>
                <w:sz w:val="19"/>
              </w:rPr>
            </w:pPr>
            <w:r>
              <w:rPr>
                <w:w w:val="105"/>
                <w:sz w:val="19"/>
              </w:rPr>
              <w:t>A person was included in the sample if:</w:t>
            </w:r>
          </w:p>
          <w:p w:rsidR="00EA1F74" w:rsidRDefault="00FC1CE8">
            <w:pPr>
              <w:pStyle w:val="TableParagraph"/>
              <w:numPr>
                <w:ilvl w:val="0"/>
                <w:numId w:val="115"/>
              </w:numPr>
              <w:tabs>
                <w:tab w:val="left" w:pos="464"/>
                <w:tab w:val="left" w:pos="465"/>
              </w:tabs>
              <w:spacing w:before="76" w:line="244" w:lineRule="auto"/>
              <w:ind w:right="212"/>
              <w:rPr>
                <w:sz w:val="19"/>
              </w:rPr>
            </w:pPr>
            <w:r>
              <w:rPr>
                <w:w w:val="105"/>
                <w:sz w:val="19"/>
              </w:rPr>
              <w:t>They had an intellectual disability or cognitive impairment; and</w:t>
            </w:r>
          </w:p>
          <w:p w:rsidR="00EA1F74" w:rsidRDefault="00FC1CE8">
            <w:pPr>
              <w:pStyle w:val="TableParagraph"/>
              <w:numPr>
                <w:ilvl w:val="0"/>
                <w:numId w:val="115"/>
              </w:numPr>
              <w:tabs>
                <w:tab w:val="left" w:pos="464"/>
                <w:tab w:val="left" w:pos="465"/>
              </w:tabs>
              <w:spacing w:before="11"/>
              <w:ind w:hanging="361"/>
              <w:rPr>
                <w:sz w:val="19"/>
              </w:rPr>
            </w:pPr>
            <w:r>
              <w:rPr>
                <w:w w:val="105"/>
                <w:sz w:val="19"/>
              </w:rPr>
              <w:t>They were aged 18 years or over at time of death;</w:t>
            </w:r>
            <w:r>
              <w:rPr>
                <w:spacing w:val="-5"/>
                <w:w w:val="105"/>
                <w:sz w:val="19"/>
              </w:rPr>
              <w:t xml:space="preserve"> </w:t>
            </w:r>
            <w:r>
              <w:rPr>
                <w:w w:val="105"/>
                <w:sz w:val="19"/>
              </w:rPr>
              <w:t>and</w:t>
            </w:r>
          </w:p>
          <w:p w:rsidR="00EA1F74" w:rsidRDefault="00FC1CE8">
            <w:pPr>
              <w:pStyle w:val="TableParagraph"/>
              <w:numPr>
                <w:ilvl w:val="0"/>
                <w:numId w:val="115"/>
              </w:numPr>
              <w:tabs>
                <w:tab w:val="left" w:pos="464"/>
                <w:tab w:val="left" w:pos="465"/>
              </w:tabs>
              <w:spacing w:before="12" w:line="230" w:lineRule="atLeast"/>
              <w:ind w:right="126"/>
              <w:rPr>
                <w:sz w:val="19"/>
              </w:rPr>
            </w:pPr>
            <w:r>
              <w:rPr>
                <w:w w:val="105"/>
                <w:sz w:val="19"/>
              </w:rPr>
              <w:t>Their death was a death in care as defined in the Coroners Act 2003; and</w:t>
            </w:r>
          </w:p>
        </w:tc>
        <w:tc>
          <w:tcPr>
            <w:tcW w:w="2693" w:type="dxa"/>
            <w:tcBorders>
              <w:bottom w:val="nil"/>
            </w:tcBorders>
            <w:shd w:val="clear" w:color="auto" w:fill="F2F2F2" w:themeFill="background1" w:themeFillShade="F2"/>
          </w:tcPr>
          <w:p w:rsidR="00EA1F74" w:rsidRDefault="00FC1CE8">
            <w:pPr>
              <w:pStyle w:val="TableParagraph"/>
              <w:spacing w:before="3" w:line="252" w:lineRule="auto"/>
              <w:ind w:left="104" w:right="197"/>
              <w:rPr>
                <w:sz w:val="19"/>
              </w:rPr>
            </w:pPr>
            <w:r>
              <w:rPr>
                <w:w w:val="105"/>
                <w:sz w:val="19"/>
              </w:rPr>
              <w:t>Deaths of people under 18 years of age</w:t>
            </w:r>
          </w:p>
          <w:p w:rsidR="00EA1F74" w:rsidRDefault="00EA1F74">
            <w:pPr>
              <w:pStyle w:val="TableParagraph"/>
              <w:spacing w:before="8"/>
              <w:rPr>
                <w:sz w:val="30"/>
              </w:rPr>
            </w:pPr>
          </w:p>
          <w:p w:rsidR="00EA1F74" w:rsidRDefault="00FC1CE8">
            <w:pPr>
              <w:pStyle w:val="TableParagraph"/>
              <w:spacing w:line="252" w:lineRule="auto"/>
              <w:ind w:left="104" w:right="131"/>
              <w:rPr>
                <w:sz w:val="19"/>
              </w:rPr>
            </w:pPr>
            <w:r>
              <w:rPr>
                <w:w w:val="105"/>
                <w:sz w:val="19"/>
              </w:rPr>
              <w:t>Deaths of people who were not cognitively impaired</w:t>
            </w:r>
          </w:p>
        </w:tc>
      </w:tr>
      <w:tr w:rsidR="00EA1F74" w:rsidTr="00B0036C">
        <w:trPr>
          <w:trHeight w:val="921"/>
        </w:trPr>
        <w:tc>
          <w:tcPr>
            <w:tcW w:w="994"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5813" w:type="dxa"/>
            <w:tcBorders>
              <w:top w:val="nil"/>
              <w:bottom w:val="nil"/>
            </w:tcBorders>
            <w:shd w:val="clear" w:color="auto" w:fill="F2F2F2" w:themeFill="background1" w:themeFillShade="F2"/>
          </w:tcPr>
          <w:p w:rsidR="00EA1F74" w:rsidRDefault="00FC1CE8">
            <w:pPr>
              <w:pStyle w:val="TableParagraph"/>
              <w:numPr>
                <w:ilvl w:val="0"/>
                <w:numId w:val="114"/>
              </w:numPr>
              <w:tabs>
                <w:tab w:val="left" w:pos="465"/>
              </w:tabs>
              <w:spacing w:line="249" w:lineRule="auto"/>
              <w:ind w:right="181"/>
              <w:jc w:val="both"/>
              <w:rPr>
                <w:sz w:val="19"/>
              </w:rPr>
            </w:pPr>
            <w:r>
              <w:rPr>
                <w:w w:val="105"/>
                <w:sz w:val="19"/>
              </w:rPr>
              <w:t>They resided in accommodation support service funded or provided by the Department of Communities, Child Safety and Disability Services or in a level 3 residential</w:t>
            </w:r>
            <w:r>
              <w:rPr>
                <w:spacing w:val="-11"/>
                <w:w w:val="105"/>
                <w:sz w:val="19"/>
              </w:rPr>
              <w:t xml:space="preserve"> </w:t>
            </w:r>
            <w:r>
              <w:rPr>
                <w:w w:val="105"/>
                <w:sz w:val="19"/>
              </w:rPr>
              <w:t>service;</w:t>
            </w:r>
          </w:p>
          <w:p w:rsidR="00EA1F74" w:rsidRDefault="00FC1CE8">
            <w:pPr>
              <w:pStyle w:val="TableParagraph"/>
              <w:spacing w:line="212" w:lineRule="exact"/>
              <w:ind w:left="464"/>
              <w:rPr>
                <w:sz w:val="19"/>
              </w:rPr>
            </w:pPr>
            <w:r>
              <w:rPr>
                <w:w w:val="105"/>
                <w:sz w:val="19"/>
              </w:rPr>
              <w:t>and</w:t>
            </w:r>
          </w:p>
        </w:tc>
        <w:tc>
          <w:tcPr>
            <w:tcW w:w="2693" w:type="dxa"/>
            <w:tcBorders>
              <w:top w:val="nil"/>
              <w:bottom w:val="nil"/>
            </w:tcBorders>
            <w:shd w:val="clear" w:color="auto" w:fill="F2F2F2" w:themeFill="background1" w:themeFillShade="F2"/>
          </w:tcPr>
          <w:p w:rsidR="00EA1F74" w:rsidRDefault="00FC1CE8">
            <w:pPr>
              <w:pStyle w:val="TableParagraph"/>
              <w:spacing w:before="127" w:line="249" w:lineRule="auto"/>
              <w:ind w:left="104" w:right="109"/>
              <w:rPr>
                <w:sz w:val="19"/>
              </w:rPr>
            </w:pPr>
            <w:r>
              <w:rPr>
                <w:w w:val="105"/>
                <w:sz w:val="19"/>
              </w:rPr>
              <w:t>Deaths of residents in other health facility (such as an aged care facility).</w:t>
            </w:r>
          </w:p>
        </w:tc>
      </w:tr>
      <w:tr w:rsidR="00EA1F74" w:rsidTr="00B0036C">
        <w:trPr>
          <w:trHeight w:val="1279"/>
        </w:trPr>
        <w:tc>
          <w:tcPr>
            <w:tcW w:w="994"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5813" w:type="dxa"/>
            <w:tcBorders>
              <w:top w:val="nil"/>
            </w:tcBorders>
            <w:shd w:val="clear" w:color="auto" w:fill="F2F2F2" w:themeFill="background1" w:themeFillShade="F2"/>
          </w:tcPr>
          <w:p w:rsidR="00EA1F74" w:rsidRDefault="00FC1CE8">
            <w:pPr>
              <w:pStyle w:val="TableParagraph"/>
              <w:numPr>
                <w:ilvl w:val="0"/>
                <w:numId w:val="113"/>
              </w:numPr>
              <w:tabs>
                <w:tab w:val="left" w:pos="464"/>
                <w:tab w:val="left" w:pos="465"/>
              </w:tabs>
              <w:spacing w:line="252" w:lineRule="auto"/>
              <w:ind w:right="104"/>
              <w:rPr>
                <w:sz w:val="19"/>
              </w:rPr>
            </w:pPr>
            <w:r>
              <w:rPr>
                <w:w w:val="105"/>
                <w:sz w:val="19"/>
              </w:rPr>
              <w:t>Their death was reported to the State Coroner with at least a Police Report, or Medical Practitioner’s Report and Coroner’s Findings, or Cause of Death certificate</w:t>
            </w:r>
            <w:r>
              <w:rPr>
                <w:spacing w:val="-19"/>
                <w:w w:val="105"/>
                <w:sz w:val="19"/>
              </w:rPr>
              <w:t xml:space="preserve"> </w:t>
            </w:r>
            <w:r>
              <w:rPr>
                <w:w w:val="105"/>
                <w:sz w:val="19"/>
              </w:rPr>
              <w:t>available.</w:t>
            </w:r>
          </w:p>
        </w:tc>
        <w:tc>
          <w:tcPr>
            <w:tcW w:w="2693" w:type="dxa"/>
            <w:tcBorders>
              <w:top w:val="nil"/>
            </w:tcBorders>
            <w:shd w:val="clear" w:color="auto" w:fill="F2F2F2" w:themeFill="background1" w:themeFillShade="F2"/>
          </w:tcPr>
          <w:p w:rsidR="00EA1F74" w:rsidRDefault="00EA1F74">
            <w:pPr>
              <w:pStyle w:val="TableParagraph"/>
              <w:spacing w:before="1"/>
              <w:rPr>
                <w:sz w:val="21"/>
              </w:rPr>
            </w:pPr>
          </w:p>
          <w:p w:rsidR="00EA1F74" w:rsidRDefault="00FC1CE8">
            <w:pPr>
              <w:pStyle w:val="TableParagraph"/>
              <w:spacing w:line="252" w:lineRule="auto"/>
              <w:ind w:left="104" w:right="197"/>
              <w:rPr>
                <w:sz w:val="19"/>
              </w:rPr>
            </w:pPr>
            <w:r>
              <w:rPr>
                <w:w w:val="105"/>
                <w:sz w:val="19"/>
              </w:rPr>
              <w:t>Deaths with insufficient details contained in the file received from the Coroner</w:t>
            </w:r>
          </w:p>
        </w:tc>
      </w:tr>
      <w:tr w:rsidR="00EA1F74">
        <w:trPr>
          <w:trHeight w:val="3119"/>
        </w:trPr>
        <w:tc>
          <w:tcPr>
            <w:tcW w:w="994" w:type="dxa"/>
          </w:tcPr>
          <w:p w:rsidR="00EA1F74" w:rsidRDefault="00FC1CE8">
            <w:pPr>
              <w:pStyle w:val="TableParagraph"/>
              <w:spacing w:before="3" w:line="321" w:lineRule="auto"/>
              <w:ind w:left="105" w:right="355"/>
              <w:rPr>
                <w:b/>
                <w:sz w:val="19"/>
              </w:rPr>
            </w:pPr>
            <w:r>
              <w:rPr>
                <w:b/>
                <w:w w:val="105"/>
                <w:sz w:val="19"/>
              </w:rPr>
              <w:t>NSW 12-13</w:t>
            </w:r>
          </w:p>
        </w:tc>
        <w:tc>
          <w:tcPr>
            <w:tcW w:w="1416" w:type="dxa"/>
          </w:tcPr>
          <w:p w:rsidR="00EA1F74" w:rsidRDefault="00FC1CE8">
            <w:pPr>
              <w:pStyle w:val="TableParagraph"/>
              <w:spacing w:before="3"/>
              <w:ind w:left="104"/>
              <w:rPr>
                <w:sz w:val="19"/>
              </w:rPr>
            </w:pPr>
            <w:r>
              <w:rPr>
                <w:w w:val="105"/>
                <w:sz w:val="19"/>
              </w:rPr>
              <w:t>1 Jan 2012-</w:t>
            </w:r>
          </w:p>
          <w:p w:rsidR="00EA1F74" w:rsidRDefault="00FC1CE8">
            <w:pPr>
              <w:pStyle w:val="TableParagraph"/>
              <w:spacing w:before="12" w:line="252" w:lineRule="auto"/>
              <w:ind w:left="104" w:right="285"/>
              <w:rPr>
                <w:sz w:val="19"/>
              </w:rPr>
            </w:pPr>
            <w:r>
              <w:rPr>
                <w:sz w:val="19"/>
              </w:rPr>
              <w:t>31</w:t>
            </w:r>
            <w:r>
              <w:rPr>
                <w:sz w:val="19"/>
                <w:vertAlign w:val="superscript"/>
              </w:rPr>
              <w:t>st</w:t>
            </w:r>
            <w:r>
              <w:rPr>
                <w:sz w:val="19"/>
              </w:rPr>
              <w:t xml:space="preserve"> Dec 2013</w:t>
            </w:r>
          </w:p>
        </w:tc>
        <w:tc>
          <w:tcPr>
            <w:tcW w:w="5813" w:type="dxa"/>
          </w:tcPr>
          <w:p w:rsidR="00EA1F74" w:rsidRDefault="00FC1CE8">
            <w:pPr>
              <w:pStyle w:val="TableParagraph"/>
              <w:numPr>
                <w:ilvl w:val="0"/>
                <w:numId w:val="112"/>
              </w:numPr>
              <w:tabs>
                <w:tab w:val="left" w:pos="461"/>
                <w:tab w:val="left" w:pos="462"/>
              </w:tabs>
              <w:spacing w:before="5" w:line="252" w:lineRule="auto"/>
              <w:ind w:right="114"/>
              <w:rPr>
                <w:sz w:val="19"/>
              </w:rPr>
            </w:pPr>
            <w:r>
              <w:rPr>
                <w:w w:val="105"/>
                <w:sz w:val="19"/>
              </w:rPr>
              <w:t>A person with disability was included in the sample if the person was living in, or temporarily absent from, residential care provided by a service provider or an assisted boarding house in</w:t>
            </w:r>
            <w:r>
              <w:rPr>
                <w:spacing w:val="3"/>
                <w:w w:val="105"/>
                <w:sz w:val="19"/>
              </w:rPr>
              <w:t xml:space="preserve"> </w:t>
            </w:r>
            <w:r>
              <w:rPr>
                <w:w w:val="105"/>
                <w:sz w:val="19"/>
              </w:rPr>
              <w:t>NSW.</w:t>
            </w:r>
          </w:p>
          <w:p w:rsidR="00EA1F74" w:rsidRDefault="00FC1CE8">
            <w:pPr>
              <w:pStyle w:val="TableParagraph"/>
              <w:numPr>
                <w:ilvl w:val="0"/>
                <w:numId w:val="112"/>
              </w:numPr>
              <w:tabs>
                <w:tab w:val="left" w:pos="461"/>
                <w:tab w:val="left" w:pos="462"/>
              </w:tabs>
              <w:spacing w:before="3" w:line="252" w:lineRule="auto"/>
              <w:ind w:right="128"/>
              <w:rPr>
                <w:sz w:val="19"/>
              </w:rPr>
            </w:pPr>
            <w:r>
              <w:rPr>
                <w:w w:val="105"/>
                <w:sz w:val="19"/>
              </w:rPr>
              <w:t>‘Service provider’ is defined as: “The Department of Family and Community Services; an implementation company under the</w:t>
            </w:r>
            <w:r>
              <w:rPr>
                <w:color w:val="0000FF"/>
                <w:w w:val="105"/>
                <w:sz w:val="19"/>
              </w:rPr>
              <w:t xml:space="preserve"> </w:t>
            </w:r>
            <w:r>
              <w:rPr>
                <w:i/>
                <w:color w:val="0000FF"/>
                <w:w w:val="105"/>
                <w:sz w:val="19"/>
                <w:u w:val="single" w:color="0000FF"/>
              </w:rPr>
              <w:t>National Disability Insurance Scheme (NSW Enabling) Act 2013</w:t>
            </w:r>
            <w:r>
              <w:rPr>
                <w:w w:val="105"/>
                <w:sz w:val="19"/>
              </w:rPr>
              <w:t>; a person or organisation funded, authorised or licensed by the Minister for Family and Community Services, the Minister for Ageing or the Minister for Disability Services to provide a service; the Home Care Service of NSW or a person or organisation funded by the Home Care Service to provide a service;</w:t>
            </w:r>
            <w:r>
              <w:rPr>
                <w:spacing w:val="-9"/>
                <w:w w:val="105"/>
                <w:sz w:val="19"/>
              </w:rPr>
              <w:t xml:space="preserve"> </w:t>
            </w:r>
            <w:r>
              <w:rPr>
                <w:w w:val="105"/>
                <w:sz w:val="19"/>
              </w:rPr>
              <w:t>a</w:t>
            </w:r>
          </w:p>
        </w:tc>
        <w:tc>
          <w:tcPr>
            <w:tcW w:w="2693" w:type="dxa"/>
          </w:tcPr>
          <w:p w:rsidR="00EA1F74" w:rsidRDefault="00FC1CE8">
            <w:pPr>
              <w:pStyle w:val="TableParagraph"/>
              <w:spacing w:before="3" w:line="252" w:lineRule="auto"/>
              <w:ind w:left="104" w:right="308"/>
              <w:rPr>
                <w:sz w:val="19"/>
              </w:rPr>
            </w:pPr>
            <w:r>
              <w:rPr>
                <w:w w:val="105"/>
                <w:sz w:val="19"/>
              </w:rPr>
              <w:t>Deaths of people living at home</w:t>
            </w:r>
          </w:p>
          <w:p w:rsidR="00EA1F74" w:rsidRDefault="00EA1F74">
            <w:pPr>
              <w:pStyle w:val="TableParagraph"/>
              <w:spacing w:before="8"/>
              <w:rPr>
                <w:sz w:val="30"/>
              </w:rPr>
            </w:pPr>
          </w:p>
          <w:p w:rsidR="00EA1F74" w:rsidRDefault="00FC1CE8">
            <w:pPr>
              <w:pStyle w:val="TableParagraph"/>
              <w:spacing w:line="252" w:lineRule="auto"/>
              <w:ind w:left="104" w:right="142"/>
              <w:rPr>
                <w:sz w:val="19"/>
              </w:rPr>
            </w:pPr>
            <w:r>
              <w:rPr>
                <w:w w:val="105"/>
                <w:sz w:val="19"/>
              </w:rPr>
              <w:t>Deaths of aged care facility residents (including younger adults with disabilities who live in this setting)</w:t>
            </w:r>
          </w:p>
          <w:p w:rsidR="00EA1F74" w:rsidRDefault="00FC1CE8">
            <w:pPr>
              <w:pStyle w:val="TableParagraph"/>
              <w:spacing w:before="65" w:line="580" w:lineRule="exact"/>
              <w:ind w:left="104" w:right="397"/>
              <w:rPr>
                <w:sz w:val="19"/>
              </w:rPr>
            </w:pPr>
            <w:r>
              <w:rPr>
                <w:w w:val="105"/>
                <w:sz w:val="19"/>
              </w:rPr>
              <w:t>Deaths in custody Deaths of detainees in a</w:t>
            </w:r>
          </w:p>
        </w:tc>
      </w:tr>
    </w:tbl>
    <w:p w:rsidR="00EA1F74" w:rsidRDefault="00EA1F74">
      <w:pPr>
        <w:spacing w:line="580" w:lineRule="exact"/>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46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94"/>
        <w:gridCol w:w="1416"/>
        <w:gridCol w:w="5813"/>
        <w:gridCol w:w="2693"/>
      </w:tblGrid>
      <w:tr w:rsidR="00EA1F74">
        <w:trPr>
          <w:trHeight w:val="4275"/>
        </w:trPr>
        <w:tc>
          <w:tcPr>
            <w:tcW w:w="994" w:type="dxa"/>
          </w:tcPr>
          <w:p w:rsidR="00EA1F74" w:rsidRDefault="00EA1F74">
            <w:pPr>
              <w:pStyle w:val="TableParagraph"/>
              <w:rPr>
                <w:rFonts w:ascii="Times New Roman"/>
                <w:sz w:val="18"/>
              </w:rPr>
            </w:pPr>
          </w:p>
        </w:tc>
        <w:tc>
          <w:tcPr>
            <w:tcW w:w="1416" w:type="dxa"/>
          </w:tcPr>
          <w:p w:rsidR="00EA1F74" w:rsidRDefault="00EA1F74">
            <w:pPr>
              <w:pStyle w:val="TableParagraph"/>
              <w:rPr>
                <w:rFonts w:ascii="Times New Roman"/>
                <w:sz w:val="18"/>
              </w:rPr>
            </w:pPr>
          </w:p>
        </w:tc>
        <w:tc>
          <w:tcPr>
            <w:tcW w:w="5813" w:type="dxa"/>
          </w:tcPr>
          <w:p w:rsidR="00EA1F74" w:rsidRDefault="00FC1CE8">
            <w:pPr>
              <w:pStyle w:val="TableParagraph"/>
              <w:spacing w:before="3" w:line="252" w:lineRule="auto"/>
              <w:ind w:left="461" w:right="132"/>
              <w:rPr>
                <w:sz w:val="19"/>
              </w:rPr>
            </w:pPr>
            <w:r>
              <w:rPr>
                <w:w w:val="105"/>
                <w:sz w:val="19"/>
              </w:rPr>
              <w:t xml:space="preserve">person or organisation that is covered by an arrangement made after 7 April 1994 between a Minister of NSW and a State or Commonwealth Minister, under which arrangement that State or Commonwealth Minister agrees to the person or organisation being a service provider for the purposes of this Act; an authorised carer or designated agency within the meaning of the </w:t>
            </w:r>
            <w:r>
              <w:rPr>
                <w:i/>
                <w:color w:val="0000FF"/>
                <w:w w:val="105"/>
                <w:sz w:val="19"/>
                <w:u w:val="single" w:color="0000FF"/>
              </w:rPr>
              <w:t>Children and Young</w:t>
            </w:r>
            <w:r>
              <w:rPr>
                <w:i/>
                <w:color w:val="0000FF"/>
                <w:w w:val="105"/>
                <w:sz w:val="19"/>
              </w:rPr>
              <w:t xml:space="preserve"> </w:t>
            </w:r>
            <w:r>
              <w:rPr>
                <w:i/>
                <w:color w:val="0000FF"/>
                <w:w w:val="105"/>
                <w:sz w:val="19"/>
                <w:u w:val="single" w:color="0000FF"/>
              </w:rPr>
              <w:t>Persons (Care and Protection) Act 1998</w:t>
            </w:r>
            <w:r>
              <w:rPr>
                <w:w w:val="105"/>
                <w:sz w:val="19"/>
              </w:rPr>
              <w:t>; or the proprietor or occupier of premises that consist of an assisted boarding house”.</w:t>
            </w:r>
          </w:p>
          <w:p w:rsidR="00EA1F74" w:rsidRDefault="00FC1CE8">
            <w:pPr>
              <w:pStyle w:val="TableParagraph"/>
              <w:numPr>
                <w:ilvl w:val="0"/>
                <w:numId w:val="111"/>
              </w:numPr>
              <w:tabs>
                <w:tab w:val="left" w:pos="461"/>
                <w:tab w:val="left" w:pos="462"/>
              </w:tabs>
              <w:spacing w:before="7" w:line="252" w:lineRule="auto"/>
              <w:ind w:right="106"/>
              <w:rPr>
                <w:sz w:val="19"/>
              </w:rPr>
            </w:pPr>
            <w:r>
              <w:rPr>
                <w:w w:val="105"/>
                <w:sz w:val="19"/>
              </w:rPr>
              <w:t>“Residential care” includes group homes, residential centres, assisted boarding houses, and other accommodation for people with disability, such as centre- based respite.” Until 30 June 2018 residential care provided by persons or organisations that are funded under the National Disability Insurance Scheme (NDIS) are also</w:t>
            </w:r>
            <w:r>
              <w:rPr>
                <w:spacing w:val="1"/>
                <w:w w:val="105"/>
                <w:sz w:val="19"/>
              </w:rPr>
              <w:t xml:space="preserve"> </w:t>
            </w:r>
            <w:r>
              <w:rPr>
                <w:w w:val="105"/>
                <w:sz w:val="19"/>
              </w:rPr>
              <w:t>included.</w:t>
            </w:r>
          </w:p>
        </w:tc>
        <w:tc>
          <w:tcPr>
            <w:tcW w:w="2693" w:type="dxa"/>
          </w:tcPr>
          <w:p w:rsidR="00EA1F74" w:rsidRDefault="00FC1CE8">
            <w:pPr>
              <w:pStyle w:val="TableParagraph"/>
              <w:spacing w:before="3"/>
              <w:ind w:left="104"/>
              <w:rPr>
                <w:sz w:val="19"/>
              </w:rPr>
            </w:pPr>
            <w:r>
              <w:rPr>
                <w:w w:val="105"/>
                <w:sz w:val="19"/>
              </w:rPr>
              <w:t>mental health facilities</w:t>
            </w:r>
          </w:p>
        </w:tc>
      </w:tr>
      <w:tr w:rsidR="00EA1F74" w:rsidTr="00B0036C">
        <w:trPr>
          <w:trHeight w:val="747"/>
        </w:trPr>
        <w:tc>
          <w:tcPr>
            <w:tcW w:w="994" w:type="dxa"/>
            <w:shd w:val="clear" w:color="auto" w:fill="F2F2F2" w:themeFill="background1" w:themeFillShade="F2"/>
          </w:tcPr>
          <w:p w:rsidR="00EA1F74" w:rsidRDefault="00FC1CE8">
            <w:pPr>
              <w:pStyle w:val="TableParagraph"/>
              <w:spacing w:before="3" w:line="316" w:lineRule="auto"/>
              <w:ind w:left="105" w:right="355"/>
              <w:rPr>
                <w:b/>
                <w:sz w:val="19"/>
              </w:rPr>
            </w:pPr>
            <w:r>
              <w:rPr>
                <w:b/>
                <w:w w:val="105"/>
                <w:sz w:val="19"/>
              </w:rPr>
              <w:t>NSW 14-17</w:t>
            </w:r>
          </w:p>
        </w:tc>
        <w:tc>
          <w:tcPr>
            <w:tcW w:w="1416" w:type="dxa"/>
            <w:shd w:val="clear" w:color="auto" w:fill="F2F2F2" w:themeFill="background1" w:themeFillShade="F2"/>
          </w:tcPr>
          <w:p w:rsidR="00EA1F74" w:rsidRDefault="00FC1CE8">
            <w:pPr>
              <w:pStyle w:val="TableParagraph"/>
              <w:spacing w:before="3" w:line="252" w:lineRule="auto"/>
              <w:ind w:left="104" w:right="152"/>
              <w:rPr>
                <w:sz w:val="19"/>
              </w:rPr>
            </w:pPr>
            <w:r>
              <w:rPr>
                <w:sz w:val="19"/>
              </w:rPr>
              <w:t>1</w:t>
            </w:r>
            <w:r>
              <w:rPr>
                <w:sz w:val="19"/>
                <w:vertAlign w:val="superscript"/>
              </w:rPr>
              <w:t>st</w:t>
            </w:r>
            <w:r>
              <w:rPr>
                <w:sz w:val="19"/>
              </w:rPr>
              <w:t xml:space="preserve"> Jan 2014- 31</w:t>
            </w:r>
            <w:r>
              <w:rPr>
                <w:sz w:val="19"/>
                <w:vertAlign w:val="superscript"/>
              </w:rPr>
              <w:t>st</w:t>
            </w:r>
            <w:r>
              <w:rPr>
                <w:sz w:val="19"/>
              </w:rPr>
              <w:t xml:space="preserve"> Dec 2017</w:t>
            </w:r>
          </w:p>
        </w:tc>
        <w:tc>
          <w:tcPr>
            <w:tcW w:w="5813" w:type="dxa"/>
            <w:shd w:val="clear" w:color="auto" w:fill="F2F2F2" w:themeFill="background1" w:themeFillShade="F2"/>
          </w:tcPr>
          <w:p w:rsidR="00EA1F74" w:rsidRDefault="00FC1CE8">
            <w:pPr>
              <w:pStyle w:val="TableParagraph"/>
              <w:spacing w:before="3"/>
              <w:ind w:left="104"/>
              <w:rPr>
                <w:sz w:val="19"/>
              </w:rPr>
            </w:pPr>
            <w:r>
              <w:rPr>
                <w:w w:val="105"/>
                <w:sz w:val="19"/>
              </w:rPr>
              <w:t>As above</w:t>
            </w:r>
          </w:p>
        </w:tc>
        <w:tc>
          <w:tcPr>
            <w:tcW w:w="2693" w:type="dxa"/>
            <w:shd w:val="clear" w:color="auto" w:fill="F2F2F2" w:themeFill="background1" w:themeFillShade="F2"/>
          </w:tcPr>
          <w:p w:rsidR="00EA1F74" w:rsidRDefault="00FC1CE8">
            <w:pPr>
              <w:pStyle w:val="TableParagraph"/>
              <w:spacing w:before="3"/>
              <w:ind w:left="104"/>
              <w:rPr>
                <w:sz w:val="19"/>
              </w:rPr>
            </w:pPr>
            <w:r>
              <w:rPr>
                <w:w w:val="105"/>
                <w:sz w:val="19"/>
              </w:rPr>
              <w:t>As Above</w:t>
            </w:r>
          </w:p>
        </w:tc>
      </w:tr>
    </w:tbl>
    <w:p w:rsidR="00EA1F74" w:rsidRDefault="00EA1F74" w:rsidP="00625DA1">
      <w:pPr>
        <w:pStyle w:val="BodyText"/>
      </w:pPr>
    </w:p>
    <w:p w:rsidR="00EA1F74" w:rsidRDefault="00EA1F74" w:rsidP="00625DA1">
      <w:pPr>
        <w:pStyle w:val="BodyText"/>
      </w:pPr>
    </w:p>
    <w:p w:rsidR="00B60585" w:rsidRDefault="00B60585">
      <w:pPr>
        <w:rPr>
          <w:w w:val="105"/>
          <w:sz w:val="24"/>
          <w:szCs w:val="24"/>
        </w:rPr>
      </w:pPr>
      <w:r>
        <w:br w:type="page"/>
      </w:r>
    </w:p>
    <w:p w:rsidR="00EA1F74" w:rsidRDefault="00FC1CE8" w:rsidP="00625DA1">
      <w:pPr>
        <w:pStyle w:val="BodyText"/>
      </w:pPr>
      <w:r>
        <w:t>Table 5: ‘Reportable’ deaths</w:t>
      </w: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10132"/>
      </w:tblGrid>
      <w:tr w:rsidR="00EA1F74">
        <w:trPr>
          <w:trHeight w:val="579"/>
        </w:trPr>
        <w:tc>
          <w:tcPr>
            <w:tcW w:w="926" w:type="dxa"/>
            <w:tcBorders>
              <w:bottom w:val="single" w:sz="18" w:space="0" w:color="A5A5A5"/>
            </w:tcBorders>
          </w:tcPr>
          <w:p w:rsidR="00EA1F74" w:rsidRDefault="00FC1CE8">
            <w:pPr>
              <w:pStyle w:val="TableParagraph"/>
              <w:spacing w:before="3" w:line="252" w:lineRule="auto"/>
              <w:ind w:left="110" w:right="133"/>
              <w:rPr>
                <w:b/>
                <w:sz w:val="19"/>
              </w:rPr>
            </w:pPr>
            <w:r>
              <w:rPr>
                <w:b/>
                <w:w w:val="105"/>
                <w:sz w:val="19"/>
              </w:rPr>
              <w:t>Report ID</w:t>
            </w:r>
          </w:p>
        </w:tc>
        <w:tc>
          <w:tcPr>
            <w:tcW w:w="10132" w:type="dxa"/>
            <w:tcBorders>
              <w:bottom w:val="single" w:sz="18" w:space="0" w:color="A5A5A5"/>
            </w:tcBorders>
          </w:tcPr>
          <w:p w:rsidR="00EA1F74" w:rsidRDefault="00FC1CE8">
            <w:pPr>
              <w:pStyle w:val="TableParagraph"/>
              <w:spacing w:before="3"/>
              <w:ind w:left="105"/>
              <w:rPr>
                <w:b/>
                <w:sz w:val="19"/>
              </w:rPr>
            </w:pPr>
            <w:r>
              <w:rPr>
                <w:b/>
                <w:w w:val="105"/>
                <w:sz w:val="19"/>
              </w:rPr>
              <w:t>What deaths are reportable in this jurisdiction?</w:t>
            </w:r>
          </w:p>
        </w:tc>
      </w:tr>
      <w:tr w:rsidR="00EA1F74" w:rsidTr="00B0036C">
        <w:trPr>
          <w:trHeight w:val="6329"/>
        </w:trPr>
        <w:tc>
          <w:tcPr>
            <w:tcW w:w="926" w:type="dxa"/>
            <w:tcBorders>
              <w:top w:val="single" w:sz="18" w:space="0" w:color="A5A5A5"/>
            </w:tcBorders>
            <w:shd w:val="clear" w:color="auto" w:fill="F2F2F2" w:themeFill="background1" w:themeFillShade="F2"/>
          </w:tcPr>
          <w:p w:rsidR="00EA1F74" w:rsidRDefault="00FC1CE8">
            <w:pPr>
              <w:pStyle w:val="TableParagraph"/>
              <w:spacing w:before="3" w:line="316" w:lineRule="auto"/>
              <w:ind w:left="110" w:right="282"/>
              <w:rPr>
                <w:b/>
                <w:sz w:val="19"/>
              </w:rPr>
            </w:pPr>
            <w:r>
              <w:rPr>
                <w:b/>
                <w:w w:val="105"/>
                <w:sz w:val="19"/>
              </w:rPr>
              <w:t>VIC 17-18</w:t>
            </w:r>
          </w:p>
        </w:tc>
        <w:tc>
          <w:tcPr>
            <w:tcW w:w="10132" w:type="dxa"/>
            <w:tcBorders>
              <w:top w:val="single" w:sz="18" w:space="0" w:color="A5A5A5"/>
            </w:tcBorders>
            <w:shd w:val="clear" w:color="auto" w:fill="F2F2F2" w:themeFill="background1" w:themeFillShade="F2"/>
          </w:tcPr>
          <w:p w:rsidR="00EA1F74" w:rsidRDefault="00FC1CE8">
            <w:pPr>
              <w:pStyle w:val="TableParagraph"/>
              <w:spacing w:before="3" w:line="252" w:lineRule="auto"/>
              <w:ind w:left="105"/>
              <w:rPr>
                <w:sz w:val="19"/>
              </w:rPr>
            </w:pPr>
            <w:r>
              <w:rPr>
                <w:b/>
                <w:w w:val="105"/>
                <w:sz w:val="19"/>
              </w:rPr>
              <w:t xml:space="preserve">Definition of ‘reportable death’ to state coroner: </w:t>
            </w:r>
            <w:r>
              <w:rPr>
                <w:w w:val="105"/>
                <w:sz w:val="19"/>
              </w:rPr>
              <w:t>Relies on definition of ‘reportable death’ in the Victoria Coroners Act 2008</w:t>
            </w:r>
          </w:p>
          <w:p w:rsidR="00EA1F74" w:rsidRDefault="00FC1CE8">
            <w:pPr>
              <w:pStyle w:val="TableParagraph"/>
              <w:spacing w:before="60" w:line="252" w:lineRule="auto"/>
              <w:ind w:left="105" w:right="190"/>
              <w:rPr>
                <w:sz w:val="19"/>
              </w:rPr>
            </w:pPr>
            <w:r>
              <w:rPr>
                <w:w w:val="105"/>
                <w:sz w:val="19"/>
              </w:rPr>
              <w:t xml:space="preserve">“Under the </w:t>
            </w:r>
            <w:r>
              <w:rPr>
                <w:i/>
                <w:w w:val="105"/>
                <w:sz w:val="19"/>
              </w:rPr>
              <w:t xml:space="preserve">Coroners Act 2008 </w:t>
            </w:r>
            <w:r>
              <w:rPr>
                <w:w w:val="105"/>
                <w:sz w:val="19"/>
              </w:rPr>
              <w:t>(Coroners Act), the death of a person in receipt of disability services is a ‘reportable death’, and must be reported to the Coroner if the body is in Victoria, or the death occurred in Victoria, or the cause of death occurred in Victoria, or the person ordinarily resided in Victoria at the time of death, and it meets one of the following criteria:</w:t>
            </w:r>
          </w:p>
          <w:p w:rsidR="00EA1F74" w:rsidRDefault="00FC1CE8">
            <w:pPr>
              <w:pStyle w:val="TableParagraph"/>
              <w:numPr>
                <w:ilvl w:val="0"/>
                <w:numId w:val="110"/>
              </w:numPr>
              <w:tabs>
                <w:tab w:val="left" w:pos="462"/>
                <w:tab w:val="left" w:pos="463"/>
              </w:tabs>
              <w:spacing w:before="61" w:line="252" w:lineRule="auto"/>
              <w:ind w:right="797"/>
              <w:rPr>
                <w:sz w:val="19"/>
              </w:rPr>
            </w:pPr>
            <w:r>
              <w:rPr>
                <w:w w:val="105"/>
                <w:sz w:val="19"/>
              </w:rPr>
              <w:t>the death appeared unexpected, unnatural or violent or to have resulted directly or indirectly from an accident or injury</w:t>
            </w:r>
          </w:p>
          <w:p w:rsidR="00EA1F74" w:rsidRDefault="00FC1CE8">
            <w:pPr>
              <w:pStyle w:val="TableParagraph"/>
              <w:numPr>
                <w:ilvl w:val="0"/>
                <w:numId w:val="110"/>
              </w:numPr>
              <w:tabs>
                <w:tab w:val="left" w:pos="462"/>
                <w:tab w:val="left" w:pos="463"/>
              </w:tabs>
              <w:spacing w:before="2" w:line="252" w:lineRule="auto"/>
              <w:ind w:right="209"/>
              <w:rPr>
                <w:sz w:val="19"/>
              </w:rPr>
            </w:pPr>
            <w:r>
              <w:rPr>
                <w:w w:val="105"/>
                <w:sz w:val="19"/>
              </w:rPr>
              <w:t>the death occurred during a medical procedure or following a medical procedure where the death is or may be causally related to the medical procedure and a registered medical practitioner would not, immediately before the procedure was undertaken, have reasonably expected the</w:t>
            </w:r>
            <w:r>
              <w:rPr>
                <w:spacing w:val="5"/>
                <w:w w:val="105"/>
                <w:sz w:val="19"/>
              </w:rPr>
              <w:t xml:space="preserve"> </w:t>
            </w:r>
            <w:r>
              <w:rPr>
                <w:w w:val="105"/>
                <w:sz w:val="19"/>
              </w:rPr>
              <w:t>death</w:t>
            </w:r>
          </w:p>
          <w:p w:rsidR="00EA1F74" w:rsidRDefault="00FC1CE8">
            <w:pPr>
              <w:pStyle w:val="TableParagraph"/>
              <w:numPr>
                <w:ilvl w:val="0"/>
                <w:numId w:val="110"/>
              </w:numPr>
              <w:tabs>
                <w:tab w:val="left" w:pos="462"/>
                <w:tab w:val="left" w:pos="463"/>
              </w:tabs>
              <w:spacing w:before="3" w:line="252" w:lineRule="auto"/>
              <w:ind w:right="269"/>
              <w:rPr>
                <w:sz w:val="19"/>
              </w:rPr>
            </w:pPr>
            <w:r>
              <w:rPr>
                <w:w w:val="105"/>
                <w:sz w:val="19"/>
              </w:rPr>
              <w:t>the deceased person was immediately before their death, placed in custody or care. A person placed in custody or care includes a person who was under the control, care or custody of the Secretary of DHHS. This includes people in receipt of disability accommodation services administered by DHHS under the Act. In these cases, the death must be reported to the Coroner, regardless of the circumstances of the</w:t>
            </w:r>
            <w:r>
              <w:rPr>
                <w:spacing w:val="-24"/>
                <w:w w:val="105"/>
                <w:sz w:val="19"/>
              </w:rPr>
              <w:t xml:space="preserve"> </w:t>
            </w:r>
            <w:r>
              <w:rPr>
                <w:w w:val="105"/>
                <w:sz w:val="19"/>
              </w:rPr>
              <w:t>death</w:t>
            </w:r>
          </w:p>
          <w:p w:rsidR="00EA1F74" w:rsidRDefault="00FC1CE8">
            <w:pPr>
              <w:pStyle w:val="TableParagraph"/>
              <w:numPr>
                <w:ilvl w:val="0"/>
                <w:numId w:val="110"/>
              </w:numPr>
              <w:tabs>
                <w:tab w:val="left" w:pos="462"/>
                <w:tab w:val="left" w:pos="463"/>
              </w:tabs>
              <w:spacing w:before="4" w:line="252" w:lineRule="auto"/>
              <w:ind w:right="441"/>
              <w:rPr>
                <w:sz w:val="19"/>
              </w:rPr>
            </w:pPr>
            <w:r>
              <w:rPr>
                <w:w w:val="105"/>
                <w:sz w:val="19"/>
              </w:rPr>
              <w:t xml:space="preserve">the deceased person who immediately before their death was a patient within the meaning of the </w:t>
            </w:r>
            <w:r>
              <w:rPr>
                <w:i/>
                <w:w w:val="105"/>
                <w:sz w:val="19"/>
              </w:rPr>
              <w:t>Mental Health Act 2014</w:t>
            </w:r>
            <w:r>
              <w:rPr>
                <w:i/>
                <w:spacing w:val="3"/>
                <w:w w:val="105"/>
                <w:sz w:val="19"/>
              </w:rPr>
              <w:t xml:space="preserve"> </w:t>
            </w:r>
            <w:r>
              <w:rPr>
                <w:w w:val="105"/>
                <w:sz w:val="19"/>
              </w:rPr>
              <w:t>59</w:t>
            </w:r>
          </w:p>
          <w:p w:rsidR="00EA1F74" w:rsidRDefault="00FC1CE8">
            <w:pPr>
              <w:pStyle w:val="TableParagraph"/>
              <w:numPr>
                <w:ilvl w:val="0"/>
                <w:numId w:val="110"/>
              </w:numPr>
              <w:tabs>
                <w:tab w:val="left" w:pos="462"/>
                <w:tab w:val="left" w:pos="463"/>
              </w:tabs>
              <w:spacing w:before="2" w:line="247" w:lineRule="auto"/>
              <w:ind w:right="308"/>
              <w:rPr>
                <w:sz w:val="19"/>
              </w:rPr>
            </w:pPr>
            <w:r>
              <w:rPr>
                <w:w w:val="105"/>
                <w:sz w:val="19"/>
              </w:rPr>
              <w:t>the deceased person was under the control, care or custody of the Secretary of the Department of Justice or a police officer</w:t>
            </w:r>
            <w:r>
              <w:rPr>
                <w:spacing w:val="3"/>
                <w:w w:val="105"/>
                <w:sz w:val="19"/>
              </w:rPr>
              <w:t xml:space="preserve"> </w:t>
            </w:r>
            <w:r>
              <w:rPr>
                <w:w w:val="105"/>
                <w:sz w:val="19"/>
              </w:rPr>
              <w:t>60</w:t>
            </w:r>
          </w:p>
          <w:p w:rsidR="00EA1F74" w:rsidRDefault="00FC1CE8">
            <w:pPr>
              <w:pStyle w:val="TableParagraph"/>
              <w:numPr>
                <w:ilvl w:val="0"/>
                <w:numId w:val="110"/>
              </w:numPr>
              <w:tabs>
                <w:tab w:val="left" w:pos="462"/>
                <w:tab w:val="left" w:pos="463"/>
              </w:tabs>
              <w:spacing w:before="6" w:line="252" w:lineRule="auto"/>
              <w:ind w:right="277"/>
              <w:rPr>
                <w:sz w:val="19"/>
              </w:rPr>
            </w:pPr>
            <w:r>
              <w:rPr>
                <w:w w:val="105"/>
                <w:sz w:val="19"/>
              </w:rPr>
              <w:t xml:space="preserve">the deceased person was subject to a non-custodial supervision order under ss. 26 or 38ZH of the </w:t>
            </w:r>
            <w:r>
              <w:rPr>
                <w:i/>
                <w:w w:val="105"/>
                <w:sz w:val="19"/>
              </w:rPr>
              <w:t>Crimes (Mental Impairment and Unfitness to be Tried) Act 1997</w:t>
            </w:r>
            <w:r>
              <w:rPr>
                <w:i/>
                <w:spacing w:val="4"/>
                <w:w w:val="105"/>
                <w:sz w:val="19"/>
              </w:rPr>
              <w:t xml:space="preserve"> </w:t>
            </w:r>
            <w:r>
              <w:rPr>
                <w:w w:val="105"/>
                <w:sz w:val="19"/>
              </w:rPr>
              <w:t>61</w:t>
            </w:r>
          </w:p>
          <w:p w:rsidR="00EA1F74" w:rsidRDefault="00FC1CE8">
            <w:pPr>
              <w:pStyle w:val="TableParagraph"/>
              <w:numPr>
                <w:ilvl w:val="0"/>
                <w:numId w:val="110"/>
              </w:numPr>
              <w:tabs>
                <w:tab w:val="left" w:pos="462"/>
                <w:tab w:val="left" w:pos="463"/>
              </w:tabs>
              <w:spacing w:before="2"/>
              <w:ind w:hanging="358"/>
              <w:rPr>
                <w:sz w:val="19"/>
              </w:rPr>
            </w:pPr>
            <w:r>
              <w:rPr>
                <w:w w:val="105"/>
                <w:sz w:val="19"/>
              </w:rPr>
              <w:t>the identity of the deceased person is unknown</w:t>
            </w:r>
            <w:r>
              <w:rPr>
                <w:spacing w:val="7"/>
                <w:w w:val="105"/>
                <w:sz w:val="19"/>
              </w:rPr>
              <w:t xml:space="preserve"> </w:t>
            </w:r>
            <w:r>
              <w:rPr>
                <w:w w:val="105"/>
                <w:sz w:val="19"/>
              </w:rPr>
              <w:t>62</w:t>
            </w:r>
          </w:p>
          <w:p w:rsidR="00EA1F74" w:rsidRDefault="00FC1CE8">
            <w:pPr>
              <w:pStyle w:val="TableParagraph"/>
              <w:numPr>
                <w:ilvl w:val="0"/>
                <w:numId w:val="110"/>
              </w:numPr>
              <w:tabs>
                <w:tab w:val="left" w:pos="462"/>
                <w:tab w:val="left" w:pos="463"/>
              </w:tabs>
              <w:spacing w:before="12" w:line="252" w:lineRule="auto"/>
              <w:ind w:right="219"/>
              <w:rPr>
                <w:sz w:val="19"/>
              </w:rPr>
            </w:pPr>
            <w:r>
              <w:rPr>
                <w:w w:val="105"/>
                <w:sz w:val="19"/>
              </w:rPr>
              <w:t xml:space="preserve">if the death occurs in Victoria and a death notice under s. 37(1) of the </w:t>
            </w:r>
            <w:r>
              <w:rPr>
                <w:i/>
                <w:w w:val="105"/>
                <w:sz w:val="19"/>
              </w:rPr>
              <w:t xml:space="preserve">Births, Deaths and Marriages Registration Act 1996 </w:t>
            </w:r>
            <w:r>
              <w:rPr>
                <w:w w:val="105"/>
                <w:sz w:val="19"/>
              </w:rPr>
              <w:t>has not been signed or is not likely to be signed by a doctor who was responsible for the person’s medical care immediately before their death, or who examined the body of the person after their death</w:t>
            </w:r>
          </w:p>
          <w:p w:rsidR="00EA1F74" w:rsidRDefault="00FC1CE8">
            <w:pPr>
              <w:pStyle w:val="TableParagraph"/>
              <w:numPr>
                <w:ilvl w:val="0"/>
                <w:numId w:val="110"/>
              </w:numPr>
              <w:tabs>
                <w:tab w:val="left" w:pos="462"/>
                <w:tab w:val="left" w:pos="463"/>
              </w:tabs>
              <w:spacing w:before="4" w:line="206" w:lineRule="exact"/>
              <w:ind w:hanging="358"/>
              <w:rPr>
                <w:sz w:val="19"/>
              </w:rPr>
            </w:pPr>
            <w:r>
              <w:rPr>
                <w:w w:val="105"/>
                <w:sz w:val="19"/>
              </w:rPr>
              <w:t>the death occurs outside Victoria and the cause of death is not certified by a person who is authorised</w:t>
            </w:r>
            <w:r>
              <w:rPr>
                <w:spacing w:val="-17"/>
                <w:w w:val="105"/>
                <w:sz w:val="19"/>
              </w:rPr>
              <w:t xml:space="preserve"> </w:t>
            </w:r>
            <w:r>
              <w:rPr>
                <w:w w:val="105"/>
                <w:sz w:val="19"/>
              </w:rPr>
              <w:t>to</w:t>
            </w:r>
          </w:p>
        </w:tc>
      </w:tr>
    </w:tbl>
    <w:p w:rsidR="00EA1F74" w:rsidRDefault="00EA1F74">
      <w:pPr>
        <w:spacing w:line="206" w:lineRule="exact"/>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10132"/>
      </w:tblGrid>
      <w:tr w:rsidR="00EA1F74" w:rsidTr="00B0036C">
        <w:trPr>
          <w:trHeight w:val="2831"/>
        </w:trPr>
        <w:tc>
          <w:tcPr>
            <w:tcW w:w="926" w:type="dxa"/>
            <w:shd w:val="clear" w:color="auto" w:fill="F2F2F2" w:themeFill="background1" w:themeFillShade="F2"/>
          </w:tcPr>
          <w:p w:rsidR="00EA1F74" w:rsidRDefault="00EA1F74">
            <w:pPr>
              <w:pStyle w:val="TableParagraph"/>
              <w:rPr>
                <w:rFonts w:ascii="Times New Roman"/>
                <w:sz w:val="18"/>
              </w:rPr>
            </w:pPr>
          </w:p>
        </w:tc>
        <w:tc>
          <w:tcPr>
            <w:tcW w:w="10132" w:type="dxa"/>
            <w:shd w:val="clear" w:color="auto" w:fill="F2F2F2" w:themeFill="background1" w:themeFillShade="F2"/>
          </w:tcPr>
          <w:p w:rsidR="00EA1F74" w:rsidRDefault="00FC1CE8">
            <w:pPr>
              <w:pStyle w:val="TableParagraph"/>
              <w:spacing w:before="3"/>
              <w:ind w:left="462"/>
              <w:rPr>
                <w:sz w:val="19"/>
              </w:rPr>
            </w:pPr>
            <w:r>
              <w:rPr>
                <w:w w:val="105"/>
                <w:sz w:val="19"/>
              </w:rPr>
              <w:t>certify the death and the cause of death</w:t>
            </w:r>
          </w:p>
          <w:p w:rsidR="00EA1F74" w:rsidRDefault="00FC1CE8">
            <w:pPr>
              <w:pStyle w:val="TableParagraph"/>
              <w:numPr>
                <w:ilvl w:val="0"/>
                <w:numId w:val="109"/>
              </w:numPr>
              <w:tabs>
                <w:tab w:val="left" w:pos="462"/>
                <w:tab w:val="left" w:pos="463"/>
              </w:tabs>
              <w:spacing w:before="12"/>
              <w:ind w:hanging="358"/>
              <w:rPr>
                <w:sz w:val="19"/>
              </w:rPr>
            </w:pPr>
            <w:r>
              <w:rPr>
                <w:w w:val="105"/>
                <w:sz w:val="19"/>
              </w:rPr>
              <w:t>the death is of a prescribed class of</w:t>
            </w:r>
            <w:r>
              <w:rPr>
                <w:spacing w:val="7"/>
                <w:w w:val="105"/>
                <w:sz w:val="19"/>
              </w:rPr>
              <w:t xml:space="preserve"> </w:t>
            </w:r>
            <w:r>
              <w:rPr>
                <w:w w:val="105"/>
                <w:sz w:val="19"/>
              </w:rPr>
              <w:t>person</w:t>
            </w:r>
          </w:p>
          <w:p w:rsidR="00EA1F74" w:rsidRDefault="00FC1CE8">
            <w:pPr>
              <w:pStyle w:val="TableParagraph"/>
              <w:numPr>
                <w:ilvl w:val="0"/>
                <w:numId w:val="109"/>
              </w:numPr>
              <w:tabs>
                <w:tab w:val="left" w:pos="462"/>
                <w:tab w:val="left" w:pos="463"/>
              </w:tabs>
              <w:spacing w:before="12"/>
              <w:ind w:hanging="358"/>
              <w:rPr>
                <w:sz w:val="19"/>
              </w:rPr>
            </w:pPr>
            <w:r>
              <w:rPr>
                <w:w w:val="105"/>
                <w:sz w:val="19"/>
              </w:rPr>
              <w:t>the death occurs in prescribed</w:t>
            </w:r>
            <w:r>
              <w:rPr>
                <w:spacing w:val="-16"/>
                <w:w w:val="105"/>
                <w:sz w:val="19"/>
              </w:rPr>
              <w:t xml:space="preserve"> </w:t>
            </w:r>
            <w:r>
              <w:rPr>
                <w:w w:val="105"/>
                <w:sz w:val="19"/>
              </w:rPr>
              <w:t>circumstances”</w:t>
            </w:r>
          </w:p>
          <w:p w:rsidR="00EA1F74" w:rsidRDefault="00FC1CE8">
            <w:pPr>
              <w:pStyle w:val="TableParagraph"/>
              <w:spacing w:before="75" w:line="247" w:lineRule="auto"/>
              <w:ind w:left="105" w:right="190"/>
              <w:rPr>
                <w:b/>
                <w:sz w:val="19"/>
              </w:rPr>
            </w:pPr>
            <w:r>
              <w:rPr>
                <w:b/>
                <w:w w:val="105"/>
                <w:sz w:val="19"/>
              </w:rPr>
              <w:t>Of note, deaths of people with disability receiving non-government funded disability care are not included under this definition of ‘reportable’</w:t>
            </w:r>
            <w:r>
              <w:rPr>
                <w:b/>
                <w:spacing w:val="4"/>
                <w:w w:val="105"/>
                <w:sz w:val="19"/>
              </w:rPr>
              <w:t xml:space="preserve"> </w:t>
            </w:r>
            <w:r>
              <w:rPr>
                <w:b/>
                <w:w w:val="105"/>
                <w:sz w:val="19"/>
              </w:rPr>
              <w:t>deaths</w:t>
            </w:r>
          </w:p>
          <w:p w:rsidR="00EA1F74" w:rsidRDefault="00EA1F74">
            <w:pPr>
              <w:pStyle w:val="TableParagraph"/>
              <w:spacing w:before="11"/>
              <w:rPr>
                <w:sz w:val="30"/>
              </w:rPr>
            </w:pPr>
          </w:p>
          <w:p w:rsidR="00EA1F74" w:rsidRDefault="00FC1CE8">
            <w:pPr>
              <w:pStyle w:val="TableParagraph"/>
              <w:spacing w:line="252" w:lineRule="auto"/>
              <w:ind w:left="105" w:right="190"/>
              <w:rPr>
                <w:sz w:val="19"/>
              </w:rPr>
            </w:pPr>
            <w:r>
              <w:rPr>
                <w:b/>
                <w:w w:val="105"/>
                <w:sz w:val="19"/>
              </w:rPr>
              <w:t xml:space="preserve">Definition of reportable death to the VIC Disability Services Commissioner: </w:t>
            </w:r>
            <w:r>
              <w:rPr>
                <w:w w:val="105"/>
                <w:sz w:val="19"/>
              </w:rPr>
              <w:t xml:space="preserve">In September 2017, the </w:t>
            </w:r>
            <w:r>
              <w:rPr>
                <w:i/>
                <w:w w:val="105"/>
                <w:sz w:val="19"/>
              </w:rPr>
              <w:t xml:space="preserve">“Disability Amendment Bill 2017” </w:t>
            </w:r>
            <w:r>
              <w:rPr>
                <w:w w:val="105"/>
                <w:sz w:val="19"/>
              </w:rPr>
              <w:t>was passed, making it mandatory for the state coroner and DHHS to report both expected and unexpected deaths of people receiving disability services at the time of death to the Disability Services Commissioner</w:t>
            </w:r>
          </w:p>
        </w:tc>
      </w:tr>
      <w:tr w:rsidR="00EA1F74">
        <w:trPr>
          <w:trHeight w:val="580"/>
        </w:trPr>
        <w:tc>
          <w:tcPr>
            <w:tcW w:w="926"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0"/>
              <w:ind w:left="110"/>
              <w:rPr>
                <w:b/>
                <w:sz w:val="19"/>
              </w:rPr>
            </w:pPr>
            <w:r>
              <w:rPr>
                <w:b/>
                <w:w w:val="105"/>
                <w:sz w:val="19"/>
              </w:rPr>
              <w:t>07-16</w:t>
            </w:r>
          </w:p>
        </w:tc>
        <w:tc>
          <w:tcPr>
            <w:tcW w:w="10132" w:type="dxa"/>
          </w:tcPr>
          <w:p w:rsidR="00EA1F74" w:rsidRDefault="00FC1CE8">
            <w:pPr>
              <w:pStyle w:val="TableParagraph"/>
              <w:spacing w:before="3"/>
              <w:ind w:left="105"/>
              <w:rPr>
                <w:sz w:val="19"/>
              </w:rPr>
            </w:pPr>
            <w:r>
              <w:rPr>
                <w:w w:val="105"/>
                <w:sz w:val="19"/>
              </w:rPr>
              <w:t xml:space="preserve">As Above (minus the </w:t>
            </w:r>
            <w:r>
              <w:rPr>
                <w:i/>
                <w:w w:val="105"/>
                <w:sz w:val="19"/>
              </w:rPr>
              <w:t xml:space="preserve">Disability Amendment Bill 2017 </w:t>
            </w:r>
            <w:r>
              <w:rPr>
                <w:w w:val="105"/>
                <w:sz w:val="19"/>
              </w:rPr>
              <w:t>that was enacted after this report’s publication).</w:t>
            </w:r>
          </w:p>
        </w:tc>
      </w:tr>
      <w:tr w:rsidR="00EA1F74" w:rsidTr="00B0036C">
        <w:trPr>
          <w:trHeight w:val="5960"/>
        </w:trPr>
        <w:tc>
          <w:tcPr>
            <w:tcW w:w="926" w:type="dxa"/>
            <w:shd w:val="clear" w:color="auto" w:fill="F2F2F2" w:themeFill="background1" w:themeFillShade="F2"/>
          </w:tcPr>
          <w:p w:rsidR="00EA1F74" w:rsidRDefault="00FC1CE8">
            <w:pPr>
              <w:pStyle w:val="TableParagraph"/>
              <w:spacing w:before="3" w:line="316" w:lineRule="auto"/>
              <w:ind w:left="110" w:right="282"/>
              <w:rPr>
                <w:b/>
                <w:sz w:val="19"/>
              </w:rPr>
            </w:pPr>
            <w:r>
              <w:rPr>
                <w:b/>
                <w:w w:val="105"/>
                <w:sz w:val="19"/>
              </w:rPr>
              <w:t>QLD 09-15</w:t>
            </w:r>
          </w:p>
        </w:tc>
        <w:tc>
          <w:tcPr>
            <w:tcW w:w="10132" w:type="dxa"/>
            <w:shd w:val="clear" w:color="auto" w:fill="F2F2F2" w:themeFill="background1" w:themeFillShade="F2"/>
          </w:tcPr>
          <w:p w:rsidR="00EA1F74" w:rsidRDefault="00FC1CE8">
            <w:pPr>
              <w:pStyle w:val="TableParagraph"/>
              <w:spacing w:before="3" w:line="252" w:lineRule="auto"/>
              <w:ind w:left="105" w:firstLine="55"/>
              <w:rPr>
                <w:sz w:val="19"/>
              </w:rPr>
            </w:pPr>
            <w:r>
              <w:rPr>
                <w:i/>
                <w:w w:val="105"/>
                <w:sz w:val="19"/>
              </w:rPr>
              <w:t xml:space="preserve">The Coroner’s Act 2003 (Qld) </w:t>
            </w:r>
            <w:r>
              <w:rPr>
                <w:w w:val="105"/>
                <w:sz w:val="19"/>
              </w:rPr>
              <w:t>provides the legislative framework for reporting, recording, investigating, and for inquiries into deaths in care in Queensland:</w:t>
            </w:r>
          </w:p>
          <w:p w:rsidR="00EA1F74" w:rsidRDefault="00FC1CE8">
            <w:pPr>
              <w:pStyle w:val="TableParagraph"/>
              <w:numPr>
                <w:ilvl w:val="0"/>
                <w:numId w:val="108"/>
              </w:numPr>
              <w:tabs>
                <w:tab w:val="left" w:pos="465"/>
                <w:tab w:val="left" w:pos="466"/>
              </w:tabs>
              <w:spacing w:before="62" w:line="249" w:lineRule="auto"/>
              <w:ind w:right="418"/>
              <w:rPr>
                <w:sz w:val="19"/>
              </w:rPr>
            </w:pPr>
            <w:r>
              <w:rPr>
                <w:w w:val="105"/>
                <w:sz w:val="19"/>
              </w:rPr>
              <w:t>A ‘death in care’ includes the death of people with disability, mental illness, or children who are in certain types of care</w:t>
            </w:r>
            <w:r>
              <w:rPr>
                <w:spacing w:val="2"/>
                <w:w w:val="105"/>
                <w:sz w:val="19"/>
              </w:rPr>
              <w:t xml:space="preserve"> </w:t>
            </w:r>
            <w:r>
              <w:rPr>
                <w:w w:val="105"/>
                <w:sz w:val="19"/>
              </w:rPr>
              <w:t>facilities/arrangements.</w:t>
            </w:r>
          </w:p>
          <w:p w:rsidR="00EA1F74" w:rsidRDefault="00FC1CE8">
            <w:pPr>
              <w:pStyle w:val="TableParagraph"/>
              <w:numPr>
                <w:ilvl w:val="0"/>
                <w:numId w:val="108"/>
              </w:numPr>
              <w:tabs>
                <w:tab w:val="left" w:pos="465"/>
                <w:tab w:val="left" w:pos="466"/>
              </w:tabs>
              <w:spacing w:before="6" w:line="252" w:lineRule="auto"/>
              <w:ind w:right="175"/>
              <w:rPr>
                <w:sz w:val="19"/>
              </w:rPr>
            </w:pPr>
            <w:r>
              <w:rPr>
                <w:w w:val="105"/>
                <w:sz w:val="19"/>
              </w:rPr>
              <w:t>Deaths in care must be reported to a Coroner or a police officer by the relevant service provider, even if the service provider may believe that someone else (for example, a doctor or an ambulance officer) has reported the</w:t>
            </w:r>
            <w:r>
              <w:rPr>
                <w:spacing w:val="2"/>
                <w:w w:val="105"/>
                <w:sz w:val="19"/>
              </w:rPr>
              <w:t xml:space="preserve"> </w:t>
            </w:r>
            <w:r>
              <w:rPr>
                <w:w w:val="105"/>
                <w:sz w:val="19"/>
              </w:rPr>
              <w:t>death.</w:t>
            </w:r>
          </w:p>
          <w:p w:rsidR="00EA1F74" w:rsidRDefault="00EA1F74">
            <w:pPr>
              <w:pStyle w:val="TableParagraph"/>
              <w:spacing w:before="1"/>
              <w:rPr>
                <w:sz w:val="25"/>
              </w:rPr>
            </w:pPr>
          </w:p>
          <w:p w:rsidR="00EA1F74" w:rsidRDefault="00FC1CE8">
            <w:pPr>
              <w:pStyle w:val="TableParagraph"/>
              <w:spacing w:line="252" w:lineRule="auto"/>
              <w:ind w:left="105" w:right="190"/>
              <w:rPr>
                <w:sz w:val="19"/>
              </w:rPr>
            </w:pPr>
            <w:r>
              <w:rPr>
                <w:w w:val="105"/>
                <w:sz w:val="19"/>
              </w:rPr>
              <w:t xml:space="preserve">For the death of a person with disability to be considered a death in care, the person must have had a disability as defined in the </w:t>
            </w:r>
            <w:r>
              <w:rPr>
                <w:i/>
                <w:w w:val="105"/>
                <w:sz w:val="19"/>
              </w:rPr>
              <w:t xml:space="preserve">Disability Services Act 2006 </w:t>
            </w:r>
            <w:r>
              <w:rPr>
                <w:w w:val="105"/>
                <w:sz w:val="19"/>
              </w:rPr>
              <w:t>and have been:</w:t>
            </w:r>
          </w:p>
          <w:p w:rsidR="00EA1F74" w:rsidRDefault="00FC1CE8">
            <w:pPr>
              <w:pStyle w:val="TableParagraph"/>
              <w:numPr>
                <w:ilvl w:val="0"/>
                <w:numId w:val="108"/>
              </w:numPr>
              <w:tabs>
                <w:tab w:val="left" w:pos="465"/>
                <w:tab w:val="left" w:pos="466"/>
              </w:tabs>
              <w:spacing w:before="61" w:line="252" w:lineRule="auto"/>
              <w:ind w:right="330"/>
              <w:rPr>
                <w:sz w:val="19"/>
              </w:rPr>
            </w:pPr>
            <w:r>
              <w:rPr>
                <w:w w:val="105"/>
                <w:sz w:val="19"/>
              </w:rPr>
              <w:t>living in a level 3 accredited residential service; or in receipt of disability accommodation services by an agency funded by DCCSDS. These include ASRS and private homes or rental homes where one or more people with a disability live with support from a non-government organisation funded by</w:t>
            </w:r>
            <w:r>
              <w:rPr>
                <w:spacing w:val="-8"/>
                <w:w w:val="105"/>
                <w:sz w:val="19"/>
              </w:rPr>
              <w:t xml:space="preserve"> </w:t>
            </w:r>
            <w:r>
              <w:rPr>
                <w:w w:val="105"/>
                <w:sz w:val="19"/>
              </w:rPr>
              <w:t>DCCSDS;</w:t>
            </w:r>
          </w:p>
          <w:p w:rsidR="00EA1F74" w:rsidRDefault="00FC1CE8">
            <w:pPr>
              <w:pStyle w:val="TableParagraph"/>
              <w:numPr>
                <w:ilvl w:val="0"/>
                <w:numId w:val="108"/>
              </w:numPr>
              <w:tabs>
                <w:tab w:val="left" w:pos="465"/>
                <w:tab w:val="left" w:pos="466"/>
              </w:tabs>
              <w:spacing w:before="2" w:line="249" w:lineRule="auto"/>
              <w:ind w:right="352"/>
              <w:rPr>
                <w:sz w:val="19"/>
              </w:rPr>
            </w:pPr>
            <w:r>
              <w:rPr>
                <w:w w:val="105"/>
                <w:sz w:val="19"/>
              </w:rPr>
              <w:t>living in a residential service (other than a private dwelling or aged care facility) wholly or partly funded by the Department of Health (such as long-stay health care facilities including Halwyn Centre or the Jacana Centre);</w:t>
            </w:r>
          </w:p>
          <w:p w:rsidR="00EA1F74" w:rsidRDefault="00FC1CE8">
            <w:pPr>
              <w:pStyle w:val="TableParagraph"/>
              <w:numPr>
                <w:ilvl w:val="0"/>
                <w:numId w:val="108"/>
              </w:numPr>
              <w:tabs>
                <w:tab w:val="left" w:pos="465"/>
                <w:tab w:val="left" w:pos="466"/>
              </w:tabs>
              <w:spacing w:before="5"/>
              <w:ind w:hanging="361"/>
              <w:rPr>
                <w:sz w:val="19"/>
              </w:rPr>
            </w:pPr>
            <w:r>
              <w:rPr>
                <w:w w:val="105"/>
                <w:sz w:val="19"/>
              </w:rPr>
              <w:t>a forensic disability client detained to the Forensic Disability</w:t>
            </w:r>
            <w:r>
              <w:rPr>
                <w:spacing w:val="6"/>
                <w:w w:val="105"/>
                <w:sz w:val="19"/>
              </w:rPr>
              <w:t xml:space="preserve"> </w:t>
            </w:r>
            <w:r>
              <w:rPr>
                <w:w w:val="105"/>
                <w:sz w:val="19"/>
              </w:rPr>
              <w:t>Service;</w:t>
            </w:r>
          </w:p>
          <w:p w:rsidR="00EA1F74" w:rsidRDefault="00FC1CE8">
            <w:pPr>
              <w:pStyle w:val="TableParagraph"/>
              <w:numPr>
                <w:ilvl w:val="0"/>
                <w:numId w:val="108"/>
              </w:numPr>
              <w:tabs>
                <w:tab w:val="left" w:pos="465"/>
                <w:tab w:val="left" w:pos="466"/>
              </w:tabs>
              <w:spacing w:before="12" w:line="252" w:lineRule="auto"/>
              <w:ind w:right="238"/>
              <w:rPr>
                <w:sz w:val="19"/>
              </w:rPr>
            </w:pPr>
            <w:r>
              <w:rPr>
                <w:w w:val="105"/>
                <w:sz w:val="19"/>
              </w:rPr>
              <w:t>was detained in an authorised mental health service or certain other criteria under the Mental Health Act 2000 (Qld); or was a person under guardianship under certain provisions of the Adoption Act 2009 (Qld) or Child Protection Act 1999</w:t>
            </w:r>
            <w:r>
              <w:rPr>
                <w:spacing w:val="3"/>
                <w:w w:val="105"/>
                <w:sz w:val="19"/>
              </w:rPr>
              <w:t xml:space="preserve"> </w:t>
            </w:r>
            <w:r>
              <w:rPr>
                <w:w w:val="105"/>
                <w:sz w:val="19"/>
              </w:rPr>
              <w:t>(Qld).</w:t>
            </w:r>
          </w:p>
          <w:p w:rsidR="00EA1F74" w:rsidRDefault="00EA1F74">
            <w:pPr>
              <w:pStyle w:val="TableParagraph"/>
              <w:spacing w:before="1"/>
              <w:rPr>
                <w:sz w:val="25"/>
              </w:rPr>
            </w:pPr>
          </w:p>
          <w:p w:rsidR="00EA1F74" w:rsidRDefault="00FC1CE8">
            <w:pPr>
              <w:pStyle w:val="TableParagraph"/>
              <w:spacing w:line="252" w:lineRule="auto"/>
              <w:ind w:left="105"/>
              <w:rPr>
                <w:sz w:val="19"/>
              </w:rPr>
            </w:pPr>
            <w:r>
              <w:rPr>
                <w:w w:val="105"/>
                <w:sz w:val="19"/>
              </w:rPr>
              <w:t>A person’s death is still a death in care if the person died somewhere other than the care facility in which they ordinarily lived.”</w:t>
            </w:r>
          </w:p>
        </w:tc>
      </w:tr>
      <w:tr w:rsidR="00EA1F74">
        <w:trPr>
          <w:trHeight w:val="3776"/>
        </w:trPr>
        <w:tc>
          <w:tcPr>
            <w:tcW w:w="926" w:type="dxa"/>
          </w:tcPr>
          <w:p w:rsidR="00EA1F74" w:rsidRDefault="00FC1CE8">
            <w:pPr>
              <w:pStyle w:val="TableParagraph"/>
              <w:spacing w:before="3" w:line="316" w:lineRule="auto"/>
              <w:ind w:left="110" w:right="282"/>
              <w:rPr>
                <w:b/>
                <w:sz w:val="19"/>
              </w:rPr>
            </w:pPr>
            <w:r>
              <w:rPr>
                <w:b/>
                <w:w w:val="105"/>
                <w:sz w:val="19"/>
              </w:rPr>
              <w:t>NSW 12-13</w:t>
            </w:r>
          </w:p>
        </w:tc>
        <w:tc>
          <w:tcPr>
            <w:tcW w:w="10132" w:type="dxa"/>
          </w:tcPr>
          <w:p w:rsidR="00EA1F74" w:rsidRDefault="00FC1CE8">
            <w:pPr>
              <w:pStyle w:val="TableParagraph"/>
              <w:spacing w:before="3" w:line="252" w:lineRule="auto"/>
              <w:ind w:left="105" w:right="190"/>
              <w:rPr>
                <w:sz w:val="19"/>
              </w:rPr>
            </w:pPr>
            <w:r>
              <w:rPr>
                <w:w w:val="105"/>
                <w:sz w:val="19"/>
              </w:rPr>
              <w:t>In NSW, all deaths of people with disability in residential care are coronial deaths, and are required to be reported to NSW Police and the State Coroner. They are also required to be notified to the NDIS Quality and Safeguards Commission or FACS:</w:t>
            </w:r>
          </w:p>
          <w:p w:rsidR="00EA1F74" w:rsidRDefault="00FC1CE8">
            <w:pPr>
              <w:pStyle w:val="TableParagraph"/>
              <w:numPr>
                <w:ilvl w:val="0"/>
                <w:numId w:val="107"/>
              </w:numPr>
              <w:tabs>
                <w:tab w:val="left" w:pos="465"/>
                <w:tab w:val="left" w:pos="466"/>
              </w:tabs>
              <w:spacing w:before="63" w:line="249" w:lineRule="auto"/>
              <w:ind w:right="753"/>
              <w:rPr>
                <w:sz w:val="19"/>
              </w:rPr>
            </w:pPr>
            <w:r>
              <w:rPr>
                <w:w w:val="105"/>
                <w:sz w:val="19"/>
              </w:rPr>
              <w:t>The deaths of people with disability who were living in residential care provided by a registered NDIS provider are required to be notified to the NDIS Quality and Safeguards</w:t>
            </w:r>
            <w:r>
              <w:rPr>
                <w:spacing w:val="1"/>
                <w:w w:val="105"/>
                <w:sz w:val="19"/>
              </w:rPr>
              <w:t xml:space="preserve"> </w:t>
            </w:r>
            <w:r>
              <w:rPr>
                <w:w w:val="105"/>
                <w:sz w:val="19"/>
              </w:rPr>
              <w:t>Commission.</w:t>
            </w:r>
          </w:p>
          <w:p w:rsidR="00EA1F74" w:rsidRDefault="00FC1CE8">
            <w:pPr>
              <w:pStyle w:val="TableParagraph"/>
              <w:numPr>
                <w:ilvl w:val="0"/>
                <w:numId w:val="107"/>
              </w:numPr>
              <w:tabs>
                <w:tab w:val="left" w:pos="465"/>
                <w:tab w:val="left" w:pos="466"/>
              </w:tabs>
              <w:spacing w:before="6" w:line="249" w:lineRule="auto"/>
              <w:ind w:right="507"/>
              <w:rPr>
                <w:sz w:val="19"/>
              </w:rPr>
            </w:pPr>
            <w:r>
              <w:rPr>
                <w:w w:val="105"/>
                <w:sz w:val="19"/>
              </w:rPr>
              <w:t>The deaths of people with disability who were living in residential care provided by FACS or an assisted boarding house are required to be reported to</w:t>
            </w:r>
            <w:r>
              <w:rPr>
                <w:spacing w:val="8"/>
                <w:w w:val="105"/>
                <w:sz w:val="19"/>
              </w:rPr>
              <w:t xml:space="preserve"> </w:t>
            </w:r>
            <w:r>
              <w:rPr>
                <w:w w:val="105"/>
                <w:sz w:val="19"/>
              </w:rPr>
              <w:t>FACS.</w:t>
            </w:r>
          </w:p>
          <w:p w:rsidR="00EA1F74" w:rsidRDefault="00EA1F74">
            <w:pPr>
              <w:pStyle w:val="TableParagraph"/>
              <w:spacing w:before="4"/>
              <w:rPr>
                <w:sz w:val="25"/>
              </w:rPr>
            </w:pPr>
          </w:p>
          <w:p w:rsidR="00EA1F74" w:rsidRDefault="00FC1CE8">
            <w:pPr>
              <w:pStyle w:val="TableParagraph"/>
              <w:spacing w:line="252" w:lineRule="auto"/>
              <w:ind w:left="105" w:right="133"/>
              <w:rPr>
                <w:sz w:val="19"/>
              </w:rPr>
            </w:pPr>
            <w:r>
              <w:rPr>
                <w:w w:val="105"/>
                <w:sz w:val="19"/>
              </w:rPr>
              <w:t>The definition of a death in residential care includes, “Persons with disability who, at the time of their death, were living in or temporarily absent from, residential care provided by a service provider or an assisted boarding house.”</w:t>
            </w:r>
          </w:p>
          <w:p w:rsidR="00EA1F74" w:rsidRDefault="00FC1CE8">
            <w:pPr>
              <w:pStyle w:val="TableParagraph"/>
              <w:spacing w:before="61"/>
              <w:ind w:left="105"/>
              <w:rPr>
                <w:sz w:val="19"/>
              </w:rPr>
            </w:pPr>
            <w:r>
              <w:rPr>
                <w:w w:val="105"/>
                <w:sz w:val="19"/>
              </w:rPr>
              <w:t xml:space="preserve">Ref: </w:t>
            </w:r>
            <w:r>
              <w:rPr>
                <w:color w:val="0000FF"/>
                <w:w w:val="105"/>
                <w:sz w:val="19"/>
                <w:u w:val="single" w:color="0000FF"/>
              </w:rPr>
              <w:t>https://</w:t>
            </w:r>
            <w:hyperlink r:id="rId18" w:tooltip="Reference link">
              <w:r>
                <w:rPr>
                  <w:color w:val="0000FF"/>
                  <w:w w:val="105"/>
                  <w:sz w:val="19"/>
                  <w:u w:val="single" w:color="0000FF"/>
                </w:rPr>
                <w:t>www.ombo.nsw.gov.au/what-we-do/our-work/community-services/reviewable-deaths</w:t>
              </w:r>
            </w:hyperlink>
          </w:p>
          <w:p w:rsidR="00EA1F74" w:rsidRDefault="00FC1CE8">
            <w:pPr>
              <w:pStyle w:val="TableParagraph"/>
              <w:spacing w:before="74" w:line="249" w:lineRule="auto"/>
              <w:ind w:left="105" w:right="190"/>
              <w:rPr>
                <w:sz w:val="19"/>
              </w:rPr>
            </w:pPr>
            <w:r>
              <w:rPr>
                <w:w w:val="105"/>
                <w:sz w:val="19"/>
              </w:rPr>
              <w:t>On 1 July 2013, the NDIS began in the Hunter region of NSW. For the purposes of this report, all of the functions of the Ombudsman’s office in NSW – including reviewable deaths functions – apply to the NDIS launch sites.</w:t>
            </w:r>
          </w:p>
        </w:tc>
      </w:tr>
    </w:tbl>
    <w:p w:rsidR="00EA1F74" w:rsidRDefault="00EA1F74">
      <w:pPr>
        <w:spacing w:line="249" w:lineRule="auto"/>
        <w:rPr>
          <w:sz w:val="19"/>
        </w:rPr>
        <w:sectPr w:rsidR="00EA1F74" w:rsidSect="00FA24E4">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10132"/>
      </w:tblGrid>
      <w:tr w:rsidR="00EA1F74">
        <w:trPr>
          <w:trHeight w:val="6440"/>
        </w:trPr>
        <w:tc>
          <w:tcPr>
            <w:tcW w:w="926" w:type="dxa"/>
          </w:tcPr>
          <w:p w:rsidR="00EA1F74" w:rsidRDefault="00EA1F74">
            <w:pPr>
              <w:pStyle w:val="TableParagraph"/>
              <w:rPr>
                <w:rFonts w:ascii="Times New Roman"/>
                <w:sz w:val="18"/>
              </w:rPr>
            </w:pPr>
          </w:p>
        </w:tc>
        <w:tc>
          <w:tcPr>
            <w:tcW w:w="10132" w:type="dxa"/>
          </w:tcPr>
          <w:p w:rsidR="00EA1F74" w:rsidRDefault="00EA1F74">
            <w:pPr>
              <w:pStyle w:val="TableParagraph"/>
            </w:pPr>
          </w:p>
          <w:p w:rsidR="00EA1F74" w:rsidRDefault="00EA1F74">
            <w:pPr>
              <w:pStyle w:val="TableParagraph"/>
              <w:spacing w:before="9"/>
              <w:rPr>
                <w:sz w:val="28"/>
              </w:rPr>
            </w:pPr>
          </w:p>
          <w:p w:rsidR="00EA1F74" w:rsidRDefault="00FC1CE8">
            <w:pPr>
              <w:pStyle w:val="TableParagraph"/>
              <w:ind w:left="105"/>
              <w:rPr>
                <w:sz w:val="19"/>
              </w:rPr>
            </w:pPr>
            <w:r>
              <w:rPr>
                <w:w w:val="105"/>
                <w:sz w:val="19"/>
              </w:rPr>
              <w:t>According to the NSW Coroners Act deaths are ‘reportable’ in the following circumstances:</w:t>
            </w:r>
          </w:p>
          <w:p w:rsidR="00EA1F74" w:rsidRDefault="00FC1CE8">
            <w:pPr>
              <w:pStyle w:val="TableParagraph"/>
              <w:numPr>
                <w:ilvl w:val="0"/>
                <w:numId w:val="106"/>
              </w:numPr>
              <w:tabs>
                <w:tab w:val="left" w:pos="465"/>
                <w:tab w:val="left" w:pos="466"/>
              </w:tabs>
              <w:spacing w:before="76" w:line="244" w:lineRule="auto"/>
              <w:ind w:right="739"/>
              <w:rPr>
                <w:sz w:val="19"/>
              </w:rPr>
            </w:pPr>
            <w:r>
              <w:rPr>
                <w:w w:val="105"/>
                <w:sz w:val="19"/>
              </w:rPr>
              <w:t>“The death was violent or unnatural (for example, homicide, suicide, drug, alcohol and poison related deaths)</w:t>
            </w:r>
          </w:p>
          <w:p w:rsidR="00EA1F74" w:rsidRDefault="00FC1CE8">
            <w:pPr>
              <w:pStyle w:val="TableParagraph"/>
              <w:numPr>
                <w:ilvl w:val="0"/>
                <w:numId w:val="106"/>
              </w:numPr>
              <w:tabs>
                <w:tab w:val="left" w:pos="465"/>
                <w:tab w:val="left" w:pos="466"/>
              </w:tabs>
              <w:spacing w:before="10"/>
              <w:ind w:hanging="361"/>
              <w:rPr>
                <w:sz w:val="19"/>
              </w:rPr>
            </w:pPr>
            <w:r>
              <w:rPr>
                <w:w w:val="105"/>
                <w:sz w:val="19"/>
              </w:rPr>
              <w:t>The death was sudden and the cause of it</w:t>
            </w:r>
            <w:r>
              <w:rPr>
                <w:spacing w:val="7"/>
                <w:w w:val="105"/>
                <w:sz w:val="19"/>
              </w:rPr>
              <w:t xml:space="preserve"> </w:t>
            </w:r>
            <w:r>
              <w:rPr>
                <w:w w:val="105"/>
                <w:sz w:val="19"/>
              </w:rPr>
              <w:t>unknown</w:t>
            </w:r>
          </w:p>
          <w:p w:rsidR="00EA1F74" w:rsidRDefault="00FC1CE8">
            <w:pPr>
              <w:pStyle w:val="TableParagraph"/>
              <w:numPr>
                <w:ilvl w:val="0"/>
                <w:numId w:val="106"/>
              </w:numPr>
              <w:tabs>
                <w:tab w:val="left" w:pos="465"/>
                <w:tab w:val="left" w:pos="466"/>
              </w:tabs>
              <w:spacing w:before="12" w:line="252" w:lineRule="auto"/>
              <w:ind w:right="497"/>
              <w:rPr>
                <w:sz w:val="19"/>
              </w:rPr>
            </w:pPr>
            <w:r>
              <w:rPr>
                <w:w w:val="105"/>
                <w:sz w:val="19"/>
              </w:rPr>
              <w:t>the death resulted, directly or indirectly, from an accident or injury, even if there is a prolonged interval between the incident and death (for example, drownings; deaths caused by a traumatic event such as a motor vehicle</w:t>
            </w:r>
            <w:r>
              <w:rPr>
                <w:spacing w:val="1"/>
                <w:w w:val="105"/>
                <w:sz w:val="19"/>
              </w:rPr>
              <w:t xml:space="preserve"> </w:t>
            </w:r>
            <w:r>
              <w:rPr>
                <w:w w:val="105"/>
                <w:sz w:val="19"/>
              </w:rPr>
              <w:t>accident)</w:t>
            </w:r>
          </w:p>
          <w:p w:rsidR="00EA1F74" w:rsidRDefault="00FC1CE8">
            <w:pPr>
              <w:pStyle w:val="TableParagraph"/>
              <w:numPr>
                <w:ilvl w:val="0"/>
                <w:numId w:val="106"/>
              </w:numPr>
              <w:tabs>
                <w:tab w:val="left" w:pos="465"/>
                <w:tab w:val="left" w:pos="466"/>
              </w:tabs>
              <w:spacing w:line="252" w:lineRule="auto"/>
              <w:ind w:right="230"/>
              <w:rPr>
                <w:sz w:val="19"/>
              </w:rPr>
            </w:pPr>
            <w:r>
              <w:rPr>
                <w:w w:val="105"/>
                <w:sz w:val="19"/>
              </w:rPr>
              <w:t>the death occurred during or following a health-related procedure where the death is or may be causally related to the procedure and a registered medical practitioner would not, immediately before the procedure was undertaken, have reasonably expected the</w:t>
            </w:r>
            <w:r>
              <w:rPr>
                <w:spacing w:val="5"/>
                <w:w w:val="105"/>
                <w:sz w:val="19"/>
              </w:rPr>
              <w:t xml:space="preserve"> </w:t>
            </w:r>
            <w:r>
              <w:rPr>
                <w:w w:val="105"/>
                <w:sz w:val="19"/>
              </w:rPr>
              <w:t>death</w:t>
            </w:r>
          </w:p>
          <w:p w:rsidR="00EA1F74" w:rsidRDefault="00FC1CE8">
            <w:pPr>
              <w:pStyle w:val="TableParagraph"/>
              <w:numPr>
                <w:ilvl w:val="0"/>
                <w:numId w:val="106"/>
              </w:numPr>
              <w:tabs>
                <w:tab w:val="left" w:pos="465"/>
                <w:tab w:val="left" w:pos="466"/>
              </w:tabs>
              <w:spacing w:line="249" w:lineRule="auto"/>
              <w:ind w:right="517"/>
              <w:rPr>
                <w:sz w:val="19"/>
              </w:rPr>
            </w:pPr>
            <w:r>
              <w:rPr>
                <w:w w:val="105"/>
                <w:sz w:val="19"/>
              </w:rPr>
              <w:t>a Medical Certificate of Cause of Death has not been signed and is not likely to be signed (for example, where an opinion about the probable cause of death cannot be</w:t>
            </w:r>
            <w:r>
              <w:rPr>
                <w:spacing w:val="5"/>
                <w:w w:val="105"/>
                <w:sz w:val="19"/>
              </w:rPr>
              <w:t xml:space="preserve"> </w:t>
            </w:r>
            <w:r>
              <w:rPr>
                <w:w w:val="105"/>
                <w:sz w:val="19"/>
              </w:rPr>
              <w:t>formed)</w:t>
            </w:r>
          </w:p>
          <w:p w:rsidR="00EA1F74" w:rsidRDefault="00FC1CE8">
            <w:pPr>
              <w:pStyle w:val="TableParagraph"/>
              <w:numPr>
                <w:ilvl w:val="0"/>
                <w:numId w:val="106"/>
              </w:numPr>
              <w:tabs>
                <w:tab w:val="left" w:pos="465"/>
                <w:tab w:val="left" w:pos="466"/>
              </w:tabs>
              <w:spacing w:before="6"/>
              <w:ind w:hanging="361"/>
              <w:rPr>
                <w:sz w:val="19"/>
              </w:rPr>
            </w:pPr>
            <w:r>
              <w:rPr>
                <w:w w:val="105"/>
                <w:sz w:val="19"/>
              </w:rPr>
              <w:t>the deceased had not been attended by a doctor in the last six</w:t>
            </w:r>
            <w:r>
              <w:rPr>
                <w:spacing w:val="7"/>
                <w:w w:val="105"/>
                <w:sz w:val="19"/>
              </w:rPr>
              <w:t xml:space="preserve"> </w:t>
            </w:r>
            <w:r>
              <w:rPr>
                <w:w w:val="105"/>
                <w:sz w:val="19"/>
              </w:rPr>
              <w:t>months</w:t>
            </w:r>
          </w:p>
          <w:p w:rsidR="00EA1F74" w:rsidRDefault="00FC1CE8">
            <w:pPr>
              <w:pStyle w:val="TableParagraph"/>
              <w:numPr>
                <w:ilvl w:val="0"/>
                <w:numId w:val="106"/>
              </w:numPr>
              <w:tabs>
                <w:tab w:val="left" w:pos="465"/>
                <w:tab w:val="left" w:pos="466"/>
              </w:tabs>
              <w:spacing w:before="7" w:line="249" w:lineRule="auto"/>
              <w:ind w:right="640"/>
              <w:rPr>
                <w:sz w:val="19"/>
              </w:rPr>
            </w:pPr>
            <w:r>
              <w:rPr>
                <w:w w:val="105"/>
                <w:sz w:val="19"/>
              </w:rPr>
              <w:t>the deceased was in, temporarily absent from or residing at a declared mental health facility within the meaning of the Mental Health Act 2007 for the purpose of receiving care, treatment or</w:t>
            </w:r>
            <w:r>
              <w:rPr>
                <w:spacing w:val="-18"/>
                <w:w w:val="105"/>
                <w:sz w:val="19"/>
              </w:rPr>
              <w:t xml:space="preserve"> </w:t>
            </w:r>
            <w:r>
              <w:rPr>
                <w:w w:val="105"/>
                <w:sz w:val="19"/>
              </w:rPr>
              <w:t>assistance</w:t>
            </w:r>
          </w:p>
          <w:p w:rsidR="00EA1F74" w:rsidRDefault="00FC1CE8">
            <w:pPr>
              <w:pStyle w:val="TableParagraph"/>
              <w:numPr>
                <w:ilvl w:val="0"/>
                <w:numId w:val="106"/>
              </w:numPr>
              <w:tabs>
                <w:tab w:val="left" w:pos="465"/>
                <w:tab w:val="left" w:pos="466"/>
              </w:tabs>
              <w:spacing w:before="6"/>
              <w:ind w:hanging="361"/>
              <w:rPr>
                <w:sz w:val="19"/>
              </w:rPr>
            </w:pPr>
            <w:r>
              <w:rPr>
                <w:w w:val="105"/>
                <w:sz w:val="19"/>
              </w:rPr>
              <w:t>the identity of the deceased in not</w:t>
            </w:r>
            <w:r>
              <w:rPr>
                <w:spacing w:val="6"/>
                <w:w w:val="105"/>
                <w:sz w:val="19"/>
              </w:rPr>
              <w:t xml:space="preserve"> </w:t>
            </w:r>
            <w:r>
              <w:rPr>
                <w:w w:val="105"/>
                <w:sz w:val="19"/>
              </w:rPr>
              <w:t>known</w:t>
            </w:r>
          </w:p>
          <w:p w:rsidR="00EA1F74" w:rsidRDefault="00FC1CE8">
            <w:pPr>
              <w:pStyle w:val="TableParagraph"/>
              <w:numPr>
                <w:ilvl w:val="0"/>
                <w:numId w:val="106"/>
              </w:numPr>
              <w:tabs>
                <w:tab w:val="left" w:pos="465"/>
                <w:tab w:val="left" w:pos="466"/>
              </w:tabs>
              <w:spacing w:before="12"/>
              <w:ind w:hanging="361"/>
              <w:rPr>
                <w:sz w:val="19"/>
              </w:rPr>
            </w:pPr>
            <w:r>
              <w:rPr>
                <w:w w:val="105"/>
                <w:sz w:val="19"/>
              </w:rPr>
              <w:t>the death occurred in</w:t>
            </w:r>
            <w:r>
              <w:rPr>
                <w:spacing w:val="4"/>
                <w:w w:val="105"/>
                <w:sz w:val="19"/>
              </w:rPr>
              <w:t xml:space="preserve"> </w:t>
            </w:r>
            <w:r>
              <w:rPr>
                <w:w w:val="105"/>
                <w:sz w:val="19"/>
              </w:rPr>
              <w:t>custody</w:t>
            </w:r>
          </w:p>
          <w:p w:rsidR="00EA1F74" w:rsidRDefault="00FC1CE8">
            <w:pPr>
              <w:pStyle w:val="TableParagraph"/>
              <w:numPr>
                <w:ilvl w:val="0"/>
                <w:numId w:val="106"/>
              </w:numPr>
              <w:tabs>
                <w:tab w:val="left" w:pos="465"/>
                <w:tab w:val="left" w:pos="466"/>
              </w:tabs>
              <w:spacing w:before="8"/>
              <w:ind w:hanging="361"/>
              <w:rPr>
                <w:sz w:val="19"/>
              </w:rPr>
            </w:pPr>
            <w:r>
              <w:rPr>
                <w:w w:val="105"/>
                <w:sz w:val="19"/>
              </w:rPr>
              <w:t>the death occurred as a result of, or in the course of, a police</w:t>
            </w:r>
            <w:r>
              <w:rPr>
                <w:spacing w:val="7"/>
                <w:w w:val="105"/>
                <w:sz w:val="19"/>
              </w:rPr>
              <w:t xml:space="preserve"> </w:t>
            </w:r>
            <w:r>
              <w:rPr>
                <w:w w:val="105"/>
                <w:sz w:val="19"/>
              </w:rPr>
              <w:t>operation</w:t>
            </w:r>
          </w:p>
          <w:p w:rsidR="00EA1F74" w:rsidRDefault="00FC1CE8">
            <w:pPr>
              <w:pStyle w:val="TableParagraph"/>
              <w:numPr>
                <w:ilvl w:val="0"/>
                <w:numId w:val="106"/>
              </w:numPr>
              <w:tabs>
                <w:tab w:val="left" w:pos="465"/>
                <w:tab w:val="left" w:pos="466"/>
              </w:tabs>
              <w:spacing w:before="12" w:line="249" w:lineRule="auto"/>
              <w:ind w:right="418"/>
              <w:rPr>
                <w:sz w:val="19"/>
              </w:rPr>
            </w:pPr>
            <w:r>
              <w:rPr>
                <w:w w:val="105"/>
                <w:sz w:val="19"/>
              </w:rPr>
              <w:t>the deceased was a child in care to whom a report has been made about them or a sibling in the 3 years preceding their death to the Department of Family and Community</w:t>
            </w:r>
            <w:r>
              <w:rPr>
                <w:spacing w:val="4"/>
                <w:w w:val="105"/>
                <w:sz w:val="19"/>
              </w:rPr>
              <w:t xml:space="preserve"> </w:t>
            </w:r>
            <w:r>
              <w:rPr>
                <w:w w:val="105"/>
                <w:sz w:val="19"/>
              </w:rPr>
              <w:t>Services;</w:t>
            </w:r>
          </w:p>
          <w:p w:rsidR="00EA1F74" w:rsidRDefault="00FC1CE8">
            <w:pPr>
              <w:pStyle w:val="TableParagraph"/>
              <w:numPr>
                <w:ilvl w:val="0"/>
                <w:numId w:val="106"/>
              </w:numPr>
              <w:tabs>
                <w:tab w:val="left" w:pos="465"/>
                <w:tab w:val="left" w:pos="466"/>
              </w:tabs>
              <w:spacing w:before="6" w:line="249" w:lineRule="auto"/>
              <w:ind w:right="330"/>
              <w:rPr>
                <w:sz w:val="19"/>
              </w:rPr>
            </w:pPr>
            <w:r>
              <w:rPr>
                <w:w w:val="105"/>
                <w:sz w:val="19"/>
              </w:rPr>
              <w:t>the deceased was living in, or temporarily absent from, an authorised residential centre for persons with a disability.”</w:t>
            </w:r>
          </w:p>
          <w:p w:rsidR="00EA1F74" w:rsidRDefault="00FC1CE8">
            <w:pPr>
              <w:pStyle w:val="TableParagraph"/>
              <w:spacing w:line="218" w:lineRule="exact"/>
              <w:ind w:left="105"/>
              <w:rPr>
                <w:sz w:val="19"/>
              </w:rPr>
            </w:pPr>
            <w:r>
              <w:rPr>
                <w:w w:val="105"/>
                <w:sz w:val="19"/>
              </w:rPr>
              <w:t xml:space="preserve">Reference: </w:t>
            </w:r>
            <w:hyperlink r:id="rId19" w:tooltip="Reference link">
              <w:r>
                <w:rPr>
                  <w:color w:val="0000FF"/>
                  <w:w w:val="105"/>
                  <w:sz w:val="19"/>
                  <w:u w:val="single" w:color="0000FF"/>
                </w:rPr>
                <w:t>http://www.coroners.justice.nsw.gov.au/Pages/coroner_role/coroners_role.aspx</w:t>
              </w:r>
            </w:hyperlink>
          </w:p>
        </w:tc>
      </w:tr>
      <w:tr w:rsidR="00EA1F74" w:rsidTr="00B0036C">
        <w:trPr>
          <w:trHeight w:val="580"/>
        </w:trPr>
        <w:tc>
          <w:tcPr>
            <w:tcW w:w="926" w:type="dxa"/>
            <w:shd w:val="clear" w:color="auto" w:fill="F2F2F2" w:themeFill="background1" w:themeFillShade="F2"/>
          </w:tcPr>
          <w:p w:rsidR="00EA1F74" w:rsidRDefault="00FC1CE8">
            <w:pPr>
              <w:pStyle w:val="TableParagraph"/>
              <w:spacing w:before="3"/>
              <w:ind w:left="110"/>
              <w:rPr>
                <w:b/>
                <w:sz w:val="19"/>
              </w:rPr>
            </w:pPr>
            <w:r>
              <w:rPr>
                <w:b/>
                <w:w w:val="105"/>
                <w:sz w:val="19"/>
              </w:rPr>
              <w:t>NSW</w:t>
            </w:r>
          </w:p>
          <w:p w:rsidR="00EA1F74" w:rsidRDefault="00FC1CE8">
            <w:pPr>
              <w:pStyle w:val="TableParagraph"/>
              <w:spacing w:before="75"/>
              <w:ind w:left="110"/>
              <w:rPr>
                <w:b/>
                <w:sz w:val="19"/>
              </w:rPr>
            </w:pPr>
            <w:r>
              <w:rPr>
                <w:b/>
                <w:w w:val="105"/>
                <w:sz w:val="19"/>
              </w:rPr>
              <w:t>14-17</w:t>
            </w:r>
          </w:p>
        </w:tc>
        <w:tc>
          <w:tcPr>
            <w:tcW w:w="10132" w:type="dxa"/>
            <w:shd w:val="clear" w:color="auto" w:fill="F2F2F2" w:themeFill="background1" w:themeFillShade="F2"/>
          </w:tcPr>
          <w:p w:rsidR="00EA1F74" w:rsidRDefault="00FC1CE8">
            <w:pPr>
              <w:pStyle w:val="TableParagraph"/>
              <w:spacing w:before="3"/>
              <w:ind w:left="105"/>
              <w:rPr>
                <w:sz w:val="19"/>
              </w:rPr>
            </w:pPr>
            <w:r>
              <w:rPr>
                <w:w w:val="105"/>
                <w:sz w:val="19"/>
              </w:rPr>
              <w:t>As Above</w:t>
            </w:r>
          </w:p>
        </w:tc>
      </w:tr>
    </w:tbl>
    <w:p w:rsidR="00EA1F74" w:rsidRDefault="00EA1F74" w:rsidP="00625DA1">
      <w:pPr>
        <w:pStyle w:val="BodyText"/>
      </w:pPr>
    </w:p>
    <w:p w:rsidR="00EA1F74" w:rsidRDefault="00EA1F74" w:rsidP="00625DA1">
      <w:pPr>
        <w:pStyle w:val="BodyText"/>
      </w:pPr>
    </w:p>
    <w:p w:rsidR="00EA1F74" w:rsidRDefault="00EA1F74" w:rsidP="00625DA1">
      <w:pPr>
        <w:pStyle w:val="BodyText"/>
      </w:pPr>
    </w:p>
    <w:p w:rsidR="00EA1F74" w:rsidRDefault="00FC1CE8">
      <w:pPr>
        <w:spacing w:before="93"/>
        <w:ind w:left="733"/>
        <w:rPr>
          <w:b/>
          <w:sz w:val="24"/>
        </w:rPr>
      </w:pPr>
      <w:bookmarkStart w:id="13" w:name="_TOC_250052"/>
      <w:bookmarkEnd w:id="13"/>
      <w:r>
        <w:rPr>
          <w:b/>
          <w:sz w:val="24"/>
        </w:rPr>
        <w:t>Investigative methodology</w:t>
      </w:r>
    </w:p>
    <w:p w:rsidR="00EA1F74" w:rsidRDefault="00FC1CE8" w:rsidP="00625DA1">
      <w:pPr>
        <w:pStyle w:val="BodyText"/>
      </w:pPr>
      <w:r>
        <w:t>Table 6 summarises the investigative powers of each team, and the investigative process used to identify and analyse in-scope deaths.</w:t>
      </w:r>
    </w:p>
    <w:p w:rsidR="00EA1F74" w:rsidRDefault="00FC1CE8" w:rsidP="00625DA1">
      <w:pPr>
        <w:pStyle w:val="BodyText"/>
      </w:pPr>
      <w:r>
        <w:t>Table 6: Investigative methodologies used</w:t>
      </w: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2760"/>
        <w:gridCol w:w="7373"/>
      </w:tblGrid>
      <w:tr w:rsidR="00EA1F74">
        <w:trPr>
          <w:trHeight w:val="579"/>
        </w:trPr>
        <w:tc>
          <w:tcPr>
            <w:tcW w:w="926" w:type="dxa"/>
            <w:tcBorders>
              <w:bottom w:val="single" w:sz="18" w:space="0" w:color="A5A5A5"/>
            </w:tcBorders>
          </w:tcPr>
          <w:p w:rsidR="00EA1F74" w:rsidRDefault="00FC1CE8">
            <w:pPr>
              <w:pStyle w:val="TableParagraph"/>
              <w:spacing w:before="3" w:line="252" w:lineRule="auto"/>
              <w:ind w:left="110" w:right="133"/>
              <w:rPr>
                <w:b/>
                <w:sz w:val="19"/>
              </w:rPr>
            </w:pPr>
            <w:r>
              <w:rPr>
                <w:b/>
                <w:w w:val="105"/>
                <w:sz w:val="19"/>
              </w:rPr>
              <w:t>Report ID</w:t>
            </w:r>
          </w:p>
        </w:tc>
        <w:tc>
          <w:tcPr>
            <w:tcW w:w="2760" w:type="dxa"/>
            <w:tcBorders>
              <w:bottom w:val="single" w:sz="18" w:space="0" w:color="A5A5A5"/>
            </w:tcBorders>
          </w:tcPr>
          <w:p w:rsidR="00EA1F74" w:rsidRDefault="00FC1CE8">
            <w:pPr>
              <w:pStyle w:val="TableParagraph"/>
              <w:spacing w:before="3"/>
              <w:ind w:left="105"/>
              <w:rPr>
                <w:b/>
                <w:sz w:val="19"/>
              </w:rPr>
            </w:pPr>
            <w:r>
              <w:rPr>
                <w:b/>
                <w:w w:val="105"/>
                <w:sz w:val="19"/>
              </w:rPr>
              <w:t>Investigative powers held</w:t>
            </w:r>
          </w:p>
        </w:tc>
        <w:tc>
          <w:tcPr>
            <w:tcW w:w="7373" w:type="dxa"/>
            <w:tcBorders>
              <w:bottom w:val="single" w:sz="18" w:space="0" w:color="A5A5A5"/>
            </w:tcBorders>
          </w:tcPr>
          <w:p w:rsidR="00EA1F74" w:rsidRDefault="00FC1CE8">
            <w:pPr>
              <w:pStyle w:val="TableParagraph"/>
              <w:spacing w:before="3"/>
              <w:ind w:left="110"/>
              <w:rPr>
                <w:b/>
                <w:sz w:val="19"/>
              </w:rPr>
            </w:pPr>
            <w:r>
              <w:rPr>
                <w:b/>
                <w:w w:val="105"/>
                <w:sz w:val="19"/>
              </w:rPr>
              <w:t>Methodology used to investigate deaths</w:t>
            </w:r>
          </w:p>
        </w:tc>
      </w:tr>
      <w:tr w:rsidR="00EA1F74" w:rsidTr="00B0036C">
        <w:trPr>
          <w:trHeight w:val="1094"/>
        </w:trPr>
        <w:tc>
          <w:tcPr>
            <w:tcW w:w="926" w:type="dxa"/>
            <w:tcBorders>
              <w:top w:val="single" w:sz="18" w:space="0" w:color="A5A5A5"/>
              <w:bottom w:val="nil"/>
            </w:tcBorders>
            <w:shd w:val="clear" w:color="auto" w:fill="F2F2F2" w:themeFill="background1" w:themeFillShade="F2"/>
          </w:tcPr>
          <w:p w:rsidR="00EA1F74" w:rsidRDefault="00FC1CE8">
            <w:pPr>
              <w:pStyle w:val="TableParagraph"/>
              <w:spacing w:before="8"/>
              <w:ind w:left="110"/>
              <w:rPr>
                <w:b/>
                <w:sz w:val="19"/>
              </w:rPr>
            </w:pPr>
            <w:r>
              <w:rPr>
                <w:b/>
                <w:w w:val="105"/>
                <w:sz w:val="19"/>
              </w:rPr>
              <w:t>VIC 17-</w:t>
            </w:r>
          </w:p>
          <w:p w:rsidR="00EA1F74" w:rsidRDefault="00FC1CE8">
            <w:pPr>
              <w:pStyle w:val="TableParagraph"/>
              <w:spacing w:before="12"/>
              <w:ind w:left="110"/>
              <w:rPr>
                <w:b/>
                <w:sz w:val="19"/>
              </w:rPr>
            </w:pPr>
            <w:r>
              <w:rPr>
                <w:b/>
                <w:w w:val="105"/>
                <w:sz w:val="19"/>
              </w:rPr>
              <w:t>18</w:t>
            </w:r>
          </w:p>
        </w:tc>
        <w:tc>
          <w:tcPr>
            <w:tcW w:w="2760" w:type="dxa"/>
            <w:tcBorders>
              <w:top w:val="single" w:sz="18" w:space="0" w:color="A5A5A5"/>
              <w:bottom w:val="nil"/>
            </w:tcBorders>
            <w:shd w:val="clear" w:color="auto" w:fill="F2F2F2" w:themeFill="background1" w:themeFillShade="F2"/>
          </w:tcPr>
          <w:p w:rsidR="00EA1F74" w:rsidRDefault="00FC1CE8">
            <w:pPr>
              <w:pStyle w:val="TableParagraph"/>
              <w:spacing w:before="8" w:line="252" w:lineRule="auto"/>
              <w:ind w:left="105" w:right="153"/>
              <w:rPr>
                <w:sz w:val="19"/>
              </w:rPr>
            </w:pPr>
            <w:r>
              <w:rPr>
                <w:w w:val="105"/>
                <w:sz w:val="19"/>
              </w:rPr>
              <w:t xml:space="preserve">2017 Amendments to the </w:t>
            </w:r>
            <w:r>
              <w:rPr>
                <w:i/>
                <w:w w:val="105"/>
                <w:sz w:val="19"/>
              </w:rPr>
              <w:t xml:space="preserve">Disability Act 2006 </w:t>
            </w:r>
            <w:r>
              <w:rPr>
                <w:w w:val="105"/>
                <w:sz w:val="19"/>
              </w:rPr>
              <w:t>gave the Disability Services Commissioner power to:</w:t>
            </w:r>
          </w:p>
        </w:tc>
        <w:tc>
          <w:tcPr>
            <w:tcW w:w="7373" w:type="dxa"/>
            <w:tcBorders>
              <w:top w:val="single" w:sz="18" w:space="0" w:color="A5A5A5"/>
              <w:bottom w:val="nil"/>
            </w:tcBorders>
            <w:shd w:val="clear" w:color="auto" w:fill="F2F2F2" w:themeFill="background1" w:themeFillShade="F2"/>
          </w:tcPr>
          <w:p w:rsidR="00EA1F74" w:rsidRDefault="00FC1CE8">
            <w:pPr>
              <w:pStyle w:val="TableParagraph"/>
              <w:spacing w:before="8" w:line="252" w:lineRule="auto"/>
              <w:ind w:left="110" w:right="348"/>
              <w:rPr>
                <w:sz w:val="19"/>
              </w:rPr>
            </w:pPr>
            <w:r>
              <w:rPr>
                <w:w w:val="105"/>
                <w:sz w:val="19"/>
              </w:rPr>
              <w:t>The Disability Services Commissioner established a systematic Death Review Team comprised of experts with a range of backgrounds including disability, government investigations, social work, legal, academic, medical and data analysis.</w:t>
            </w:r>
          </w:p>
        </w:tc>
      </w:tr>
      <w:tr w:rsidR="00EA1F74" w:rsidTr="00B0036C">
        <w:trPr>
          <w:trHeight w:val="1788"/>
        </w:trPr>
        <w:tc>
          <w:tcPr>
            <w:tcW w:w="926"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2760" w:type="dxa"/>
            <w:tcBorders>
              <w:top w:val="nil"/>
            </w:tcBorders>
            <w:shd w:val="clear" w:color="auto" w:fill="F2F2F2" w:themeFill="background1" w:themeFillShade="F2"/>
          </w:tcPr>
          <w:p w:rsidR="00EA1F74" w:rsidRDefault="00FC1CE8">
            <w:pPr>
              <w:pStyle w:val="TableParagraph"/>
              <w:numPr>
                <w:ilvl w:val="0"/>
                <w:numId w:val="105"/>
              </w:numPr>
              <w:tabs>
                <w:tab w:val="left" w:pos="462"/>
                <w:tab w:val="left" w:pos="463"/>
              </w:tabs>
              <w:spacing w:before="180" w:line="252" w:lineRule="auto"/>
              <w:ind w:right="120"/>
              <w:rPr>
                <w:sz w:val="19"/>
              </w:rPr>
            </w:pPr>
            <w:r>
              <w:rPr>
                <w:w w:val="105"/>
                <w:sz w:val="19"/>
              </w:rPr>
              <w:t>Initiate investigations into allegations of abuse or neglect in the provision of disability services</w:t>
            </w:r>
          </w:p>
          <w:p w:rsidR="00EA1F74" w:rsidRDefault="00FC1CE8">
            <w:pPr>
              <w:pStyle w:val="TableParagraph"/>
              <w:numPr>
                <w:ilvl w:val="0"/>
                <w:numId w:val="105"/>
              </w:numPr>
              <w:tabs>
                <w:tab w:val="left" w:pos="462"/>
                <w:tab w:val="left" w:pos="463"/>
              </w:tabs>
              <w:spacing w:before="5"/>
              <w:ind w:hanging="358"/>
              <w:rPr>
                <w:sz w:val="19"/>
              </w:rPr>
            </w:pPr>
            <w:r>
              <w:rPr>
                <w:w w:val="105"/>
                <w:sz w:val="19"/>
              </w:rPr>
              <w:t>Undertake</w:t>
            </w:r>
          </w:p>
          <w:p w:rsidR="00EA1F74" w:rsidRDefault="00FC1CE8">
            <w:pPr>
              <w:pStyle w:val="TableParagraph"/>
              <w:spacing w:before="12" w:line="206" w:lineRule="exact"/>
              <w:ind w:left="462"/>
              <w:rPr>
                <w:sz w:val="19"/>
              </w:rPr>
            </w:pPr>
            <w:r>
              <w:rPr>
                <w:w w:val="105"/>
                <w:sz w:val="19"/>
              </w:rPr>
              <w:t>investigations into</w:t>
            </w:r>
          </w:p>
        </w:tc>
        <w:tc>
          <w:tcPr>
            <w:tcW w:w="7373" w:type="dxa"/>
            <w:tcBorders>
              <w:top w:val="nil"/>
            </w:tcBorders>
            <w:shd w:val="clear" w:color="auto" w:fill="F2F2F2" w:themeFill="background1" w:themeFillShade="F2"/>
          </w:tcPr>
          <w:p w:rsidR="00EA1F74" w:rsidRDefault="00FC1CE8">
            <w:pPr>
              <w:pStyle w:val="TableParagraph"/>
              <w:spacing w:before="180" w:line="252" w:lineRule="auto"/>
              <w:ind w:left="110" w:right="314"/>
              <w:rPr>
                <w:sz w:val="19"/>
              </w:rPr>
            </w:pPr>
            <w:r>
              <w:rPr>
                <w:w w:val="105"/>
                <w:sz w:val="19"/>
              </w:rPr>
              <w:t>The team received death notifications of in-scope deaths from both DHHS and the State Coroner. If deaths were reported to state coroner, the state coroner sent the systematic review team records and information such as medical examiners reports, police reports, medical records, and coronial findings.</w:t>
            </w:r>
          </w:p>
          <w:p w:rsidR="00EA1F74" w:rsidRDefault="00EA1F74">
            <w:pPr>
              <w:pStyle w:val="TableParagraph"/>
              <w:spacing w:before="9"/>
              <w:rPr>
                <w:sz w:val="30"/>
              </w:rPr>
            </w:pPr>
          </w:p>
          <w:p w:rsidR="00EA1F74" w:rsidRDefault="00FC1CE8">
            <w:pPr>
              <w:pStyle w:val="TableParagraph"/>
              <w:spacing w:before="1"/>
              <w:ind w:left="110"/>
              <w:rPr>
                <w:sz w:val="19"/>
              </w:rPr>
            </w:pPr>
            <w:r>
              <w:rPr>
                <w:w w:val="105"/>
                <w:sz w:val="19"/>
              </w:rPr>
              <w:t>A phase-based investigation was then conducted:</w:t>
            </w:r>
          </w:p>
        </w:tc>
      </w:tr>
    </w:tbl>
    <w:p w:rsidR="00EA1F74" w:rsidRDefault="00EA1F74">
      <w:pPr>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2760"/>
        <w:gridCol w:w="7373"/>
      </w:tblGrid>
      <w:tr w:rsidR="00EA1F74" w:rsidTr="00B0036C">
        <w:trPr>
          <w:trHeight w:val="8859"/>
        </w:trPr>
        <w:tc>
          <w:tcPr>
            <w:tcW w:w="926" w:type="dxa"/>
            <w:shd w:val="clear" w:color="auto" w:fill="F2F2F2" w:themeFill="background1" w:themeFillShade="F2"/>
          </w:tcPr>
          <w:p w:rsidR="00EA1F74" w:rsidRDefault="00EA1F74">
            <w:pPr>
              <w:pStyle w:val="TableParagraph"/>
              <w:rPr>
                <w:rFonts w:ascii="Times New Roman"/>
                <w:sz w:val="18"/>
              </w:rPr>
            </w:pPr>
          </w:p>
        </w:tc>
        <w:tc>
          <w:tcPr>
            <w:tcW w:w="2760" w:type="dxa"/>
            <w:shd w:val="clear" w:color="auto" w:fill="F2F2F2" w:themeFill="background1" w:themeFillShade="F2"/>
          </w:tcPr>
          <w:p w:rsidR="00EA1F74" w:rsidRDefault="00FC1CE8">
            <w:pPr>
              <w:pStyle w:val="TableParagraph"/>
              <w:spacing w:before="3" w:line="252" w:lineRule="auto"/>
              <w:ind w:left="462" w:right="84"/>
              <w:rPr>
                <w:sz w:val="19"/>
              </w:rPr>
            </w:pPr>
            <w:r>
              <w:rPr>
                <w:w w:val="105"/>
                <w:sz w:val="19"/>
              </w:rPr>
              <w:t>matters referred by the Minister or the Secretary of DHHS</w:t>
            </w:r>
          </w:p>
          <w:p w:rsidR="00EA1F74" w:rsidRDefault="00FC1CE8">
            <w:pPr>
              <w:pStyle w:val="TableParagraph"/>
              <w:numPr>
                <w:ilvl w:val="0"/>
                <w:numId w:val="104"/>
              </w:numPr>
              <w:tabs>
                <w:tab w:val="left" w:pos="462"/>
                <w:tab w:val="left" w:pos="463"/>
              </w:tabs>
              <w:spacing w:before="3" w:line="252" w:lineRule="auto"/>
              <w:ind w:right="163"/>
              <w:rPr>
                <w:sz w:val="19"/>
              </w:rPr>
            </w:pPr>
            <w:r>
              <w:rPr>
                <w:w w:val="105"/>
                <w:sz w:val="19"/>
              </w:rPr>
              <w:t>Appoint authorised officers and undertake visits and inspections of premises on which a disability service provider is providing a service that is being investigated</w:t>
            </w:r>
          </w:p>
          <w:p w:rsidR="00EA1F74" w:rsidRDefault="00FC1CE8">
            <w:pPr>
              <w:pStyle w:val="TableParagraph"/>
              <w:numPr>
                <w:ilvl w:val="0"/>
                <w:numId w:val="104"/>
              </w:numPr>
              <w:tabs>
                <w:tab w:val="left" w:pos="462"/>
                <w:tab w:val="left" w:pos="463"/>
              </w:tabs>
              <w:spacing w:before="4" w:line="252" w:lineRule="auto"/>
              <w:ind w:right="186"/>
              <w:rPr>
                <w:sz w:val="19"/>
              </w:rPr>
            </w:pPr>
            <w:r>
              <w:rPr>
                <w:w w:val="105"/>
                <w:sz w:val="19"/>
              </w:rPr>
              <w:t>Issue a Notice to Take Action to a service provider where it has been identified that there are opportunities to improve the disability services, or to prevent abuse or neglect</w:t>
            </w:r>
          </w:p>
          <w:p w:rsidR="00EA1F74" w:rsidRDefault="00FC1CE8">
            <w:pPr>
              <w:pStyle w:val="TableParagraph"/>
              <w:numPr>
                <w:ilvl w:val="0"/>
                <w:numId w:val="104"/>
              </w:numPr>
              <w:tabs>
                <w:tab w:val="left" w:pos="462"/>
                <w:tab w:val="left" w:pos="463"/>
              </w:tabs>
              <w:spacing w:before="8" w:line="252" w:lineRule="auto"/>
              <w:ind w:right="220"/>
              <w:rPr>
                <w:sz w:val="19"/>
              </w:rPr>
            </w:pPr>
            <w:r>
              <w:rPr>
                <w:w w:val="105"/>
                <w:sz w:val="19"/>
              </w:rPr>
              <w:t>Receive reports from a service provider on actions it has taken to comply with a Notice to Take</w:t>
            </w:r>
            <w:r>
              <w:rPr>
                <w:spacing w:val="1"/>
                <w:w w:val="105"/>
                <w:sz w:val="19"/>
              </w:rPr>
              <w:t xml:space="preserve"> </w:t>
            </w:r>
            <w:r>
              <w:rPr>
                <w:w w:val="105"/>
                <w:sz w:val="19"/>
              </w:rPr>
              <w:t>Action</w:t>
            </w:r>
          </w:p>
          <w:p w:rsidR="00EA1F74" w:rsidRDefault="00FC1CE8">
            <w:pPr>
              <w:pStyle w:val="TableParagraph"/>
              <w:numPr>
                <w:ilvl w:val="0"/>
                <w:numId w:val="103"/>
              </w:numPr>
              <w:tabs>
                <w:tab w:val="left" w:pos="462"/>
                <w:tab w:val="left" w:pos="463"/>
              </w:tabs>
              <w:spacing w:before="1" w:line="249" w:lineRule="auto"/>
              <w:ind w:right="496"/>
              <w:rPr>
                <w:sz w:val="19"/>
              </w:rPr>
            </w:pPr>
            <w:r>
              <w:rPr>
                <w:w w:val="105"/>
                <w:sz w:val="19"/>
              </w:rPr>
              <w:t>Undertake follow-up investigations.</w:t>
            </w:r>
          </w:p>
        </w:tc>
        <w:tc>
          <w:tcPr>
            <w:tcW w:w="7373" w:type="dxa"/>
            <w:shd w:val="clear" w:color="auto" w:fill="F2F2F2" w:themeFill="background1" w:themeFillShade="F2"/>
          </w:tcPr>
          <w:p w:rsidR="00EA1F74" w:rsidRDefault="00FC1CE8">
            <w:pPr>
              <w:pStyle w:val="TableParagraph"/>
              <w:numPr>
                <w:ilvl w:val="0"/>
                <w:numId w:val="102"/>
              </w:numPr>
              <w:tabs>
                <w:tab w:val="left" w:pos="468"/>
              </w:tabs>
              <w:spacing w:before="3" w:line="252" w:lineRule="auto"/>
              <w:ind w:right="134"/>
              <w:rPr>
                <w:sz w:val="19"/>
              </w:rPr>
            </w:pPr>
            <w:r>
              <w:rPr>
                <w:w w:val="105"/>
                <w:sz w:val="19"/>
              </w:rPr>
              <w:t>written notice provided to the relevant service provider/s to advise of the establishment of investigation under s. 1281 of the Act. An information sheet is provided at this time to explain the process and approach to undertaking the</w:t>
            </w:r>
            <w:r>
              <w:rPr>
                <w:spacing w:val="1"/>
                <w:w w:val="105"/>
                <w:sz w:val="19"/>
              </w:rPr>
              <w:t xml:space="preserve"> </w:t>
            </w:r>
            <w:r>
              <w:rPr>
                <w:w w:val="105"/>
                <w:sz w:val="19"/>
              </w:rPr>
              <w:t>investigation.</w:t>
            </w:r>
          </w:p>
          <w:p w:rsidR="00EA1F74" w:rsidRDefault="00FC1CE8">
            <w:pPr>
              <w:pStyle w:val="TableParagraph"/>
              <w:numPr>
                <w:ilvl w:val="0"/>
                <w:numId w:val="102"/>
              </w:numPr>
              <w:tabs>
                <w:tab w:val="left" w:pos="468"/>
              </w:tabs>
              <w:spacing w:before="4" w:line="252" w:lineRule="auto"/>
              <w:ind w:right="133"/>
              <w:rPr>
                <w:sz w:val="19"/>
              </w:rPr>
            </w:pPr>
            <w:r>
              <w:rPr>
                <w:w w:val="105"/>
                <w:sz w:val="19"/>
              </w:rPr>
              <w:t>A questionnaire is also sent to the service provider to complete about the person who died: includes questions about demographics, health, wellbeing, disability service</w:t>
            </w:r>
            <w:r>
              <w:rPr>
                <w:spacing w:val="2"/>
                <w:w w:val="105"/>
                <w:sz w:val="19"/>
              </w:rPr>
              <w:t xml:space="preserve"> </w:t>
            </w:r>
            <w:r>
              <w:rPr>
                <w:w w:val="105"/>
                <w:sz w:val="19"/>
              </w:rPr>
              <w:t>provision.</w:t>
            </w:r>
          </w:p>
          <w:p w:rsidR="00EA1F74" w:rsidRDefault="00FC1CE8">
            <w:pPr>
              <w:pStyle w:val="TableParagraph"/>
              <w:numPr>
                <w:ilvl w:val="0"/>
                <w:numId w:val="102"/>
              </w:numPr>
              <w:tabs>
                <w:tab w:val="left" w:pos="468"/>
              </w:tabs>
              <w:spacing w:before="3" w:line="252" w:lineRule="auto"/>
              <w:ind w:right="261"/>
              <w:rPr>
                <w:sz w:val="19"/>
              </w:rPr>
            </w:pPr>
            <w:r>
              <w:rPr>
                <w:w w:val="105"/>
                <w:sz w:val="19"/>
              </w:rPr>
              <w:t>Documents for 3-12 months before person’s death are also requested from service provider. These documents</w:t>
            </w:r>
            <w:r>
              <w:rPr>
                <w:spacing w:val="3"/>
                <w:w w:val="105"/>
                <w:sz w:val="19"/>
              </w:rPr>
              <w:t xml:space="preserve"> </w:t>
            </w:r>
            <w:r>
              <w:rPr>
                <w:w w:val="105"/>
                <w:sz w:val="19"/>
              </w:rPr>
              <w:t>include:</w:t>
            </w:r>
          </w:p>
          <w:p w:rsidR="00EA1F74" w:rsidRDefault="00FC1CE8">
            <w:pPr>
              <w:pStyle w:val="TableParagraph"/>
              <w:numPr>
                <w:ilvl w:val="1"/>
                <w:numId w:val="102"/>
              </w:numPr>
              <w:tabs>
                <w:tab w:val="left" w:pos="921"/>
                <w:tab w:val="left" w:pos="922"/>
              </w:tabs>
              <w:spacing w:before="2" w:line="230" w:lineRule="exact"/>
              <w:ind w:hanging="358"/>
              <w:rPr>
                <w:sz w:val="19"/>
              </w:rPr>
            </w:pPr>
            <w:r>
              <w:rPr>
                <w:w w:val="105"/>
                <w:sz w:val="19"/>
              </w:rPr>
              <w:t>palliative care or treatment plans for expected</w:t>
            </w:r>
            <w:r>
              <w:rPr>
                <w:spacing w:val="1"/>
                <w:w w:val="105"/>
                <w:sz w:val="19"/>
              </w:rPr>
              <w:t xml:space="preserve"> </w:t>
            </w:r>
            <w:r>
              <w:rPr>
                <w:w w:val="105"/>
                <w:sz w:val="19"/>
              </w:rPr>
              <w:t>deaths</w:t>
            </w:r>
          </w:p>
          <w:p w:rsidR="00EA1F74" w:rsidRDefault="00FC1CE8">
            <w:pPr>
              <w:pStyle w:val="TableParagraph"/>
              <w:numPr>
                <w:ilvl w:val="1"/>
                <w:numId w:val="102"/>
              </w:numPr>
              <w:tabs>
                <w:tab w:val="left" w:pos="921"/>
                <w:tab w:val="left" w:pos="922"/>
              </w:tabs>
              <w:spacing w:line="228" w:lineRule="exact"/>
              <w:ind w:hanging="358"/>
              <w:rPr>
                <w:sz w:val="19"/>
              </w:rPr>
            </w:pPr>
            <w:r>
              <w:rPr>
                <w:w w:val="105"/>
                <w:sz w:val="19"/>
              </w:rPr>
              <w:t>non-critical client event logs</w:t>
            </w:r>
          </w:p>
          <w:p w:rsidR="00EA1F74" w:rsidRDefault="00FC1CE8">
            <w:pPr>
              <w:pStyle w:val="TableParagraph"/>
              <w:numPr>
                <w:ilvl w:val="1"/>
                <w:numId w:val="102"/>
              </w:numPr>
              <w:tabs>
                <w:tab w:val="left" w:pos="921"/>
                <w:tab w:val="left" w:pos="922"/>
              </w:tabs>
              <w:spacing w:line="230" w:lineRule="exact"/>
              <w:ind w:hanging="358"/>
              <w:rPr>
                <w:sz w:val="19"/>
              </w:rPr>
            </w:pPr>
            <w:r>
              <w:rPr>
                <w:w w:val="105"/>
                <w:sz w:val="19"/>
              </w:rPr>
              <w:t>communication, shift handover, staff meeting and daily case</w:t>
            </w:r>
            <w:r>
              <w:rPr>
                <w:spacing w:val="-7"/>
                <w:w w:val="105"/>
                <w:sz w:val="19"/>
              </w:rPr>
              <w:t xml:space="preserve"> </w:t>
            </w:r>
            <w:r>
              <w:rPr>
                <w:w w:val="105"/>
                <w:sz w:val="19"/>
              </w:rPr>
              <w:t>notes</w:t>
            </w:r>
          </w:p>
          <w:p w:rsidR="00EA1F74" w:rsidRDefault="00FC1CE8">
            <w:pPr>
              <w:pStyle w:val="TableParagraph"/>
              <w:numPr>
                <w:ilvl w:val="1"/>
                <w:numId w:val="102"/>
              </w:numPr>
              <w:tabs>
                <w:tab w:val="left" w:pos="921"/>
                <w:tab w:val="left" w:pos="922"/>
              </w:tabs>
              <w:spacing w:line="230" w:lineRule="exact"/>
              <w:ind w:hanging="358"/>
              <w:rPr>
                <w:sz w:val="19"/>
              </w:rPr>
            </w:pPr>
            <w:r>
              <w:rPr>
                <w:w w:val="105"/>
                <w:sz w:val="19"/>
              </w:rPr>
              <w:t>staff rosters</w:t>
            </w:r>
          </w:p>
          <w:p w:rsidR="00EA1F74" w:rsidRDefault="00FC1CE8">
            <w:pPr>
              <w:pStyle w:val="TableParagraph"/>
              <w:numPr>
                <w:ilvl w:val="1"/>
                <w:numId w:val="102"/>
              </w:numPr>
              <w:tabs>
                <w:tab w:val="left" w:pos="921"/>
                <w:tab w:val="left" w:pos="922"/>
              </w:tabs>
              <w:spacing w:before="1" w:line="235" w:lineRule="auto"/>
              <w:ind w:right="282"/>
              <w:rPr>
                <w:sz w:val="19"/>
              </w:rPr>
            </w:pPr>
            <w:r>
              <w:rPr>
                <w:w w:val="105"/>
                <w:sz w:val="19"/>
              </w:rPr>
              <w:t>plans including behaviour support, health and general person-centred plans</w:t>
            </w:r>
          </w:p>
          <w:p w:rsidR="00EA1F74" w:rsidRDefault="00FC1CE8">
            <w:pPr>
              <w:pStyle w:val="TableParagraph"/>
              <w:numPr>
                <w:ilvl w:val="1"/>
                <w:numId w:val="102"/>
              </w:numPr>
              <w:tabs>
                <w:tab w:val="left" w:pos="921"/>
                <w:tab w:val="left" w:pos="922"/>
              </w:tabs>
              <w:spacing w:before="13" w:line="233" w:lineRule="exact"/>
              <w:ind w:hanging="358"/>
              <w:rPr>
                <w:sz w:val="19"/>
              </w:rPr>
            </w:pPr>
            <w:r>
              <w:rPr>
                <w:w w:val="105"/>
                <w:sz w:val="19"/>
              </w:rPr>
              <w:t>client file</w:t>
            </w:r>
            <w:r>
              <w:rPr>
                <w:spacing w:val="1"/>
                <w:w w:val="105"/>
                <w:sz w:val="19"/>
              </w:rPr>
              <w:t xml:space="preserve"> </w:t>
            </w:r>
            <w:r>
              <w:rPr>
                <w:w w:val="105"/>
                <w:sz w:val="19"/>
              </w:rPr>
              <w:t>notes</w:t>
            </w:r>
          </w:p>
          <w:p w:rsidR="00EA1F74" w:rsidRDefault="00FC1CE8">
            <w:pPr>
              <w:pStyle w:val="TableParagraph"/>
              <w:numPr>
                <w:ilvl w:val="1"/>
                <w:numId w:val="102"/>
              </w:numPr>
              <w:tabs>
                <w:tab w:val="left" w:pos="921"/>
                <w:tab w:val="left" w:pos="922"/>
              </w:tabs>
              <w:spacing w:line="230" w:lineRule="exact"/>
              <w:ind w:hanging="358"/>
              <w:rPr>
                <w:sz w:val="19"/>
              </w:rPr>
            </w:pPr>
            <w:r>
              <w:rPr>
                <w:w w:val="105"/>
                <w:sz w:val="19"/>
              </w:rPr>
              <w:t>previous reviews or investigations as</w:t>
            </w:r>
            <w:r>
              <w:rPr>
                <w:spacing w:val="3"/>
                <w:w w:val="105"/>
                <w:sz w:val="19"/>
              </w:rPr>
              <w:t xml:space="preserve"> </w:t>
            </w:r>
            <w:r>
              <w:rPr>
                <w:w w:val="105"/>
                <w:sz w:val="19"/>
              </w:rPr>
              <w:t>relevant</w:t>
            </w:r>
          </w:p>
          <w:p w:rsidR="00EA1F74" w:rsidRDefault="00FC1CE8">
            <w:pPr>
              <w:pStyle w:val="TableParagraph"/>
              <w:numPr>
                <w:ilvl w:val="1"/>
                <w:numId w:val="102"/>
              </w:numPr>
              <w:tabs>
                <w:tab w:val="left" w:pos="921"/>
                <w:tab w:val="left" w:pos="922"/>
              </w:tabs>
              <w:spacing w:line="230" w:lineRule="exact"/>
              <w:ind w:hanging="358"/>
              <w:rPr>
                <w:sz w:val="19"/>
              </w:rPr>
            </w:pPr>
            <w:r>
              <w:rPr>
                <w:w w:val="105"/>
                <w:sz w:val="19"/>
              </w:rPr>
              <w:t>current health assessments at the time of the person’s</w:t>
            </w:r>
            <w:r>
              <w:rPr>
                <w:spacing w:val="-1"/>
                <w:w w:val="105"/>
                <w:sz w:val="19"/>
              </w:rPr>
              <w:t xml:space="preserve"> </w:t>
            </w:r>
            <w:r>
              <w:rPr>
                <w:w w:val="105"/>
                <w:sz w:val="19"/>
              </w:rPr>
              <w:t>death</w:t>
            </w:r>
          </w:p>
          <w:p w:rsidR="00EA1F74" w:rsidRDefault="00FC1CE8">
            <w:pPr>
              <w:pStyle w:val="TableParagraph"/>
              <w:numPr>
                <w:ilvl w:val="1"/>
                <w:numId w:val="102"/>
              </w:numPr>
              <w:tabs>
                <w:tab w:val="left" w:pos="921"/>
                <w:tab w:val="left" w:pos="922"/>
              </w:tabs>
              <w:spacing w:line="230" w:lineRule="exact"/>
              <w:ind w:hanging="358"/>
              <w:rPr>
                <w:sz w:val="19"/>
              </w:rPr>
            </w:pPr>
            <w:r>
              <w:rPr>
                <w:w w:val="105"/>
                <w:sz w:val="19"/>
              </w:rPr>
              <w:t>hospital discharge summaries as</w:t>
            </w:r>
            <w:r>
              <w:rPr>
                <w:spacing w:val="3"/>
                <w:w w:val="105"/>
                <w:sz w:val="19"/>
              </w:rPr>
              <w:t xml:space="preserve"> </w:t>
            </w:r>
            <w:r>
              <w:rPr>
                <w:w w:val="105"/>
                <w:sz w:val="19"/>
              </w:rPr>
              <w:t>relevant</w:t>
            </w:r>
          </w:p>
          <w:p w:rsidR="00EA1F74" w:rsidRDefault="00FC1CE8">
            <w:pPr>
              <w:pStyle w:val="TableParagraph"/>
              <w:numPr>
                <w:ilvl w:val="1"/>
                <w:numId w:val="102"/>
              </w:numPr>
              <w:tabs>
                <w:tab w:val="left" w:pos="921"/>
                <w:tab w:val="left" w:pos="922"/>
              </w:tabs>
              <w:spacing w:line="230" w:lineRule="exact"/>
              <w:ind w:hanging="358"/>
              <w:rPr>
                <w:sz w:val="19"/>
              </w:rPr>
            </w:pPr>
            <w:r>
              <w:rPr>
                <w:w w:val="105"/>
                <w:sz w:val="19"/>
              </w:rPr>
              <w:t>incident reports.</w:t>
            </w:r>
          </w:p>
          <w:p w:rsidR="00EA1F74" w:rsidRDefault="00FC1CE8">
            <w:pPr>
              <w:pStyle w:val="TableParagraph"/>
              <w:numPr>
                <w:ilvl w:val="0"/>
                <w:numId w:val="102"/>
              </w:numPr>
              <w:tabs>
                <w:tab w:val="left" w:pos="468"/>
              </w:tabs>
              <w:spacing w:line="247" w:lineRule="auto"/>
              <w:ind w:right="814"/>
              <w:rPr>
                <w:sz w:val="19"/>
              </w:rPr>
            </w:pPr>
            <w:r>
              <w:rPr>
                <w:w w:val="105"/>
                <w:sz w:val="19"/>
              </w:rPr>
              <w:t>Once all these documents are received by review team, they begin a ‘desktop review’ of all these</w:t>
            </w:r>
            <w:r>
              <w:rPr>
                <w:spacing w:val="1"/>
                <w:w w:val="105"/>
                <w:sz w:val="19"/>
              </w:rPr>
              <w:t xml:space="preserve"> </w:t>
            </w:r>
            <w:r>
              <w:rPr>
                <w:w w:val="105"/>
                <w:sz w:val="19"/>
              </w:rPr>
              <w:t>documents:</w:t>
            </w:r>
          </w:p>
          <w:p w:rsidR="00EA1F74" w:rsidRDefault="00FC1CE8">
            <w:pPr>
              <w:pStyle w:val="TableParagraph"/>
              <w:numPr>
                <w:ilvl w:val="1"/>
                <w:numId w:val="102"/>
              </w:numPr>
              <w:tabs>
                <w:tab w:val="left" w:pos="921"/>
                <w:tab w:val="left" w:pos="922"/>
              </w:tabs>
              <w:spacing w:before="3" w:line="247" w:lineRule="auto"/>
              <w:ind w:right="93"/>
              <w:rPr>
                <w:sz w:val="19"/>
              </w:rPr>
            </w:pPr>
            <w:r>
              <w:rPr>
                <w:w w:val="105"/>
                <w:sz w:val="19"/>
              </w:rPr>
              <w:t>If issues are identified that may place other people with disability at risk, such matters are quickly escalated with the service provider to rectify immediately. In cases where potential criminal conduct may have occurred, matters are referred to Victoria</w:t>
            </w:r>
            <w:r>
              <w:rPr>
                <w:spacing w:val="4"/>
                <w:w w:val="105"/>
                <w:sz w:val="19"/>
              </w:rPr>
              <w:t xml:space="preserve"> </w:t>
            </w:r>
            <w:r>
              <w:rPr>
                <w:w w:val="105"/>
                <w:sz w:val="19"/>
              </w:rPr>
              <w:t>Police.</w:t>
            </w:r>
          </w:p>
          <w:p w:rsidR="00EA1F74" w:rsidRDefault="00FC1CE8">
            <w:pPr>
              <w:pStyle w:val="TableParagraph"/>
              <w:numPr>
                <w:ilvl w:val="1"/>
                <w:numId w:val="102"/>
              </w:numPr>
              <w:tabs>
                <w:tab w:val="left" w:pos="921"/>
                <w:tab w:val="left" w:pos="922"/>
              </w:tabs>
              <w:spacing w:before="5" w:line="249" w:lineRule="auto"/>
              <w:ind w:right="172"/>
              <w:rPr>
                <w:sz w:val="19"/>
              </w:rPr>
            </w:pPr>
            <w:r>
              <w:rPr>
                <w:w w:val="105"/>
                <w:sz w:val="19"/>
              </w:rPr>
              <w:t>Where it is determined the investigation would benefit from additional enquiries, we use other methodologies. These include site visits, either through exercising Authorised Officer powers or by pre-arrangement with the service provider, and conducting interviews with family members, next of kin and staff from disability service</w:t>
            </w:r>
            <w:r>
              <w:rPr>
                <w:spacing w:val="-6"/>
                <w:w w:val="105"/>
                <w:sz w:val="19"/>
              </w:rPr>
              <w:t xml:space="preserve"> </w:t>
            </w:r>
            <w:r>
              <w:rPr>
                <w:w w:val="105"/>
                <w:sz w:val="19"/>
              </w:rPr>
              <w:t>providers.</w:t>
            </w:r>
          </w:p>
          <w:p w:rsidR="00EA1F74" w:rsidRDefault="00FC1CE8">
            <w:pPr>
              <w:pStyle w:val="TableParagraph"/>
              <w:numPr>
                <w:ilvl w:val="1"/>
                <w:numId w:val="102"/>
              </w:numPr>
              <w:tabs>
                <w:tab w:val="left" w:pos="921"/>
                <w:tab w:val="left" w:pos="922"/>
              </w:tabs>
              <w:spacing w:line="232" w:lineRule="exact"/>
              <w:ind w:hanging="358"/>
              <w:rPr>
                <w:sz w:val="19"/>
              </w:rPr>
            </w:pPr>
            <w:r>
              <w:rPr>
                <w:w w:val="105"/>
                <w:sz w:val="19"/>
              </w:rPr>
              <w:t>Investigative report provided to secretary of</w:t>
            </w:r>
            <w:r>
              <w:rPr>
                <w:spacing w:val="2"/>
                <w:w w:val="105"/>
                <w:sz w:val="19"/>
              </w:rPr>
              <w:t xml:space="preserve"> </w:t>
            </w:r>
            <w:r>
              <w:rPr>
                <w:w w:val="105"/>
                <w:sz w:val="19"/>
              </w:rPr>
              <w:t>DHHS.</w:t>
            </w:r>
          </w:p>
          <w:p w:rsidR="00EA1F74" w:rsidRDefault="00FC1CE8">
            <w:pPr>
              <w:pStyle w:val="TableParagraph"/>
              <w:numPr>
                <w:ilvl w:val="2"/>
                <w:numId w:val="102"/>
              </w:numPr>
              <w:tabs>
                <w:tab w:val="left" w:pos="1346"/>
                <w:tab w:val="left" w:pos="1347"/>
              </w:tabs>
              <w:spacing w:line="216" w:lineRule="exact"/>
              <w:ind w:hanging="358"/>
              <w:rPr>
                <w:sz w:val="19"/>
              </w:rPr>
            </w:pPr>
            <w:r>
              <w:rPr>
                <w:w w:val="105"/>
                <w:sz w:val="19"/>
              </w:rPr>
              <w:t>If necessary, Notice to Take Action issued to service</w:t>
            </w:r>
            <w:r>
              <w:rPr>
                <w:spacing w:val="-4"/>
                <w:w w:val="105"/>
                <w:sz w:val="19"/>
              </w:rPr>
              <w:t xml:space="preserve"> </w:t>
            </w:r>
            <w:r>
              <w:rPr>
                <w:w w:val="105"/>
                <w:sz w:val="19"/>
              </w:rPr>
              <w:t>provider.</w:t>
            </w:r>
          </w:p>
          <w:p w:rsidR="00EA1F74" w:rsidRDefault="00FC1CE8">
            <w:pPr>
              <w:pStyle w:val="TableParagraph"/>
              <w:numPr>
                <w:ilvl w:val="2"/>
                <w:numId w:val="102"/>
              </w:numPr>
              <w:tabs>
                <w:tab w:val="left" w:pos="1346"/>
                <w:tab w:val="left" w:pos="1347"/>
              </w:tabs>
              <w:spacing w:before="7" w:line="252" w:lineRule="auto"/>
              <w:ind w:right="123"/>
              <w:rPr>
                <w:sz w:val="19"/>
              </w:rPr>
            </w:pPr>
            <w:r>
              <w:rPr>
                <w:w w:val="105"/>
                <w:sz w:val="19"/>
              </w:rPr>
              <w:t>As needed, recommendations of a systemic nature provided to the secretary of</w:t>
            </w:r>
            <w:r>
              <w:rPr>
                <w:spacing w:val="1"/>
                <w:w w:val="105"/>
                <w:sz w:val="19"/>
              </w:rPr>
              <w:t xml:space="preserve"> </w:t>
            </w:r>
            <w:r>
              <w:rPr>
                <w:w w:val="105"/>
                <w:sz w:val="19"/>
              </w:rPr>
              <w:t>DHHS</w:t>
            </w:r>
          </w:p>
          <w:p w:rsidR="00EA1F74" w:rsidRDefault="00FC1CE8">
            <w:pPr>
              <w:pStyle w:val="TableParagraph"/>
              <w:numPr>
                <w:ilvl w:val="2"/>
                <w:numId w:val="102"/>
              </w:numPr>
              <w:tabs>
                <w:tab w:val="left" w:pos="1346"/>
                <w:tab w:val="left" w:pos="1347"/>
              </w:tabs>
              <w:spacing w:before="2" w:line="252" w:lineRule="auto"/>
              <w:ind w:right="280"/>
              <w:rPr>
                <w:sz w:val="19"/>
              </w:rPr>
            </w:pPr>
            <w:r>
              <w:rPr>
                <w:w w:val="105"/>
                <w:sz w:val="19"/>
              </w:rPr>
              <w:t>If relevant, general advice provided to disability service providers to prevent abuse or neglect within these services.</w:t>
            </w:r>
          </w:p>
        </w:tc>
      </w:tr>
      <w:tr w:rsidR="00EA1F74">
        <w:trPr>
          <w:trHeight w:val="2308"/>
        </w:trPr>
        <w:tc>
          <w:tcPr>
            <w:tcW w:w="926" w:type="dxa"/>
          </w:tcPr>
          <w:p w:rsidR="00EA1F74" w:rsidRDefault="00FC1CE8">
            <w:pPr>
              <w:pStyle w:val="TableParagraph"/>
              <w:spacing w:before="3"/>
              <w:ind w:left="110"/>
              <w:rPr>
                <w:b/>
                <w:sz w:val="19"/>
              </w:rPr>
            </w:pPr>
            <w:r>
              <w:rPr>
                <w:b/>
                <w:w w:val="105"/>
                <w:sz w:val="19"/>
              </w:rPr>
              <w:t>VIC 07-</w:t>
            </w:r>
          </w:p>
          <w:p w:rsidR="00EA1F74" w:rsidRDefault="00FC1CE8">
            <w:pPr>
              <w:pStyle w:val="TableParagraph"/>
              <w:spacing w:before="12"/>
              <w:ind w:left="110"/>
              <w:rPr>
                <w:b/>
                <w:sz w:val="19"/>
              </w:rPr>
            </w:pPr>
            <w:r>
              <w:rPr>
                <w:b/>
                <w:w w:val="105"/>
                <w:sz w:val="19"/>
              </w:rPr>
              <w:t>16</w:t>
            </w:r>
          </w:p>
        </w:tc>
        <w:tc>
          <w:tcPr>
            <w:tcW w:w="2760" w:type="dxa"/>
          </w:tcPr>
          <w:p w:rsidR="00EA1F74" w:rsidRDefault="00FC1CE8">
            <w:pPr>
              <w:pStyle w:val="TableParagraph"/>
              <w:spacing w:before="3"/>
              <w:ind w:left="105"/>
              <w:rPr>
                <w:sz w:val="19"/>
              </w:rPr>
            </w:pPr>
            <w:r>
              <w:rPr>
                <w:w w:val="105"/>
                <w:sz w:val="19"/>
              </w:rPr>
              <w:t>Parliament of Victoria</w:t>
            </w:r>
          </w:p>
          <w:p w:rsidR="00EA1F74" w:rsidRDefault="00FC1CE8">
            <w:pPr>
              <w:pStyle w:val="TableParagraph"/>
              <w:spacing w:before="75" w:line="252" w:lineRule="auto"/>
              <w:ind w:left="105" w:right="197"/>
              <w:rPr>
                <w:sz w:val="19"/>
              </w:rPr>
            </w:pPr>
            <w:r>
              <w:rPr>
                <w:w w:val="105"/>
                <w:sz w:val="19"/>
              </w:rPr>
              <w:t>Family and Community Development Committee had powers to make enquiries and view case reports pertaining to potentially in-scope deaths.</w:t>
            </w:r>
          </w:p>
        </w:tc>
        <w:tc>
          <w:tcPr>
            <w:tcW w:w="7373" w:type="dxa"/>
          </w:tcPr>
          <w:p w:rsidR="00EA1F74" w:rsidRDefault="00FC1CE8">
            <w:pPr>
              <w:pStyle w:val="TableParagraph"/>
              <w:spacing w:before="3" w:line="252" w:lineRule="auto"/>
              <w:ind w:left="110" w:right="125"/>
              <w:rPr>
                <w:sz w:val="19"/>
              </w:rPr>
            </w:pPr>
            <w:r>
              <w:rPr>
                <w:w w:val="105"/>
                <w:sz w:val="19"/>
              </w:rPr>
              <w:t>The committee requested the VIC state coroner’s office to retrospectively extract in-scope cases from the ‘National Coronial Information System’ (NCIS). All cases in the specified time period that occurred within a residential care facility that contained mention of the Victorian Disability Act were</w:t>
            </w:r>
            <w:r>
              <w:rPr>
                <w:spacing w:val="-2"/>
                <w:w w:val="105"/>
                <w:sz w:val="19"/>
              </w:rPr>
              <w:t xml:space="preserve"> </w:t>
            </w:r>
            <w:r>
              <w:rPr>
                <w:w w:val="105"/>
                <w:sz w:val="19"/>
              </w:rPr>
              <w:t>extracted.</w:t>
            </w:r>
          </w:p>
          <w:p w:rsidR="00EA1F74" w:rsidRDefault="00EA1F74">
            <w:pPr>
              <w:pStyle w:val="TableParagraph"/>
              <w:spacing w:before="10"/>
              <w:rPr>
                <w:sz w:val="30"/>
              </w:rPr>
            </w:pPr>
          </w:p>
          <w:p w:rsidR="00EA1F74" w:rsidRDefault="00FC1CE8">
            <w:pPr>
              <w:pStyle w:val="TableParagraph"/>
              <w:spacing w:line="252" w:lineRule="auto"/>
              <w:ind w:left="110" w:right="380"/>
              <w:rPr>
                <w:sz w:val="19"/>
              </w:rPr>
            </w:pPr>
            <w:r>
              <w:rPr>
                <w:w w:val="105"/>
                <w:sz w:val="19"/>
              </w:rPr>
              <w:t>For the purposes of the Inquiry, the committee then manually reviewed 200 of the 570 deaths extracted via review of case reports to determine cases of potential abuse or neglect.</w:t>
            </w:r>
          </w:p>
        </w:tc>
      </w:tr>
      <w:tr w:rsidR="00EA1F74" w:rsidTr="00B0036C">
        <w:trPr>
          <w:trHeight w:val="2024"/>
        </w:trPr>
        <w:tc>
          <w:tcPr>
            <w:tcW w:w="926" w:type="dxa"/>
            <w:shd w:val="clear" w:color="auto" w:fill="F2F2F2" w:themeFill="background1" w:themeFillShade="F2"/>
          </w:tcPr>
          <w:p w:rsidR="00EA1F74" w:rsidRDefault="00FC1CE8">
            <w:pPr>
              <w:pStyle w:val="TableParagraph"/>
              <w:spacing w:before="8" w:line="316" w:lineRule="auto"/>
              <w:ind w:left="110" w:right="282"/>
              <w:rPr>
                <w:b/>
                <w:sz w:val="19"/>
              </w:rPr>
            </w:pPr>
            <w:r>
              <w:rPr>
                <w:b/>
                <w:w w:val="105"/>
                <w:sz w:val="19"/>
              </w:rPr>
              <w:t>QLD 09-14</w:t>
            </w:r>
          </w:p>
        </w:tc>
        <w:tc>
          <w:tcPr>
            <w:tcW w:w="2760" w:type="dxa"/>
            <w:shd w:val="clear" w:color="auto" w:fill="F2F2F2" w:themeFill="background1" w:themeFillShade="F2"/>
          </w:tcPr>
          <w:p w:rsidR="00EA1F74" w:rsidRDefault="00FC1CE8">
            <w:pPr>
              <w:pStyle w:val="TableParagraph"/>
              <w:spacing w:before="8" w:line="252" w:lineRule="auto"/>
              <w:ind w:left="105" w:right="97"/>
              <w:rPr>
                <w:sz w:val="19"/>
              </w:rPr>
            </w:pPr>
            <w:r>
              <w:rPr>
                <w:w w:val="105"/>
                <w:sz w:val="19"/>
              </w:rPr>
              <w:t>The Public Advocate is empowered by section 210A of the Guardianship and Administration Act 2000 to: “request all information necessary to monitor and review the delivery of services and facilities to</w:t>
            </w:r>
          </w:p>
        </w:tc>
        <w:tc>
          <w:tcPr>
            <w:tcW w:w="7373" w:type="dxa"/>
            <w:shd w:val="clear" w:color="auto" w:fill="F2F2F2" w:themeFill="background1" w:themeFillShade="F2"/>
          </w:tcPr>
          <w:p w:rsidR="00EA1F74" w:rsidRDefault="00FC1CE8">
            <w:pPr>
              <w:pStyle w:val="TableParagraph"/>
              <w:spacing w:before="8" w:line="252" w:lineRule="auto"/>
              <w:ind w:left="110" w:right="259"/>
              <w:rPr>
                <w:sz w:val="19"/>
              </w:rPr>
            </w:pPr>
            <w:r>
              <w:rPr>
                <w:w w:val="105"/>
                <w:sz w:val="19"/>
              </w:rPr>
              <w:t>An advisory panel was established. The panel included heads of agencies holding statutory roles with functions relevant to monitoring the provision of supports and services including health services to adults with disability as well as medical practitioners with specific expertise in the health care of people with disability, including intellectual disability</w:t>
            </w:r>
          </w:p>
          <w:p w:rsidR="00EA1F74" w:rsidRDefault="00EA1F74">
            <w:pPr>
              <w:pStyle w:val="TableParagraph"/>
              <w:spacing w:before="6"/>
              <w:rPr>
                <w:sz w:val="30"/>
              </w:rPr>
            </w:pPr>
          </w:p>
          <w:p w:rsidR="00EA1F74" w:rsidRDefault="00FC1CE8">
            <w:pPr>
              <w:pStyle w:val="TableParagraph"/>
              <w:spacing w:line="252" w:lineRule="auto"/>
              <w:ind w:left="110" w:right="394"/>
              <w:rPr>
                <w:sz w:val="19"/>
              </w:rPr>
            </w:pPr>
            <w:r>
              <w:rPr>
                <w:w w:val="105"/>
                <w:sz w:val="19"/>
              </w:rPr>
              <w:t>In-scope death information was requested from the following government and non-government agencies:</w:t>
            </w:r>
          </w:p>
        </w:tc>
      </w:tr>
    </w:tbl>
    <w:p w:rsidR="00EA1F74" w:rsidRDefault="00EA1F74">
      <w:pPr>
        <w:spacing w:line="252" w:lineRule="auto"/>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2760"/>
        <w:gridCol w:w="7373"/>
      </w:tblGrid>
      <w:tr w:rsidR="00EA1F74" w:rsidTr="00B0036C">
        <w:trPr>
          <w:trHeight w:val="3259"/>
        </w:trPr>
        <w:tc>
          <w:tcPr>
            <w:tcW w:w="926" w:type="dxa"/>
            <w:vMerge w:val="restart"/>
            <w:shd w:val="clear" w:color="auto" w:fill="F2F2F2" w:themeFill="background1" w:themeFillShade="F2"/>
          </w:tcPr>
          <w:p w:rsidR="00EA1F74" w:rsidRDefault="00EA1F74">
            <w:pPr>
              <w:pStyle w:val="TableParagraph"/>
              <w:rPr>
                <w:rFonts w:ascii="Times New Roman"/>
                <w:sz w:val="18"/>
              </w:rPr>
            </w:pPr>
          </w:p>
        </w:tc>
        <w:tc>
          <w:tcPr>
            <w:tcW w:w="2760" w:type="dxa"/>
            <w:tcBorders>
              <w:bottom w:val="nil"/>
            </w:tcBorders>
            <w:shd w:val="clear" w:color="auto" w:fill="F2F2F2" w:themeFill="background1" w:themeFillShade="F2"/>
          </w:tcPr>
          <w:p w:rsidR="00EA1F74" w:rsidRDefault="00FC1CE8">
            <w:pPr>
              <w:pStyle w:val="TableParagraph"/>
              <w:spacing w:before="3" w:line="252" w:lineRule="auto"/>
              <w:ind w:left="105" w:right="141"/>
              <w:rPr>
                <w:sz w:val="19"/>
              </w:rPr>
            </w:pPr>
            <w:r>
              <w:rPr>
                <w:w w:val="105"/>
                <w:sz w:val="19"/>
              </w:rPr>
              <w:t>adults with impaired capacity for a matter, and about the policies and procedures in relation to the provision of services and facilities to the adults.”</w:t>
            </w:r>
          </w:p>
          <w:p w:rsidR="00EA1F74" w:rsidRDefault="00EA1F74">
            <w:pPr>
              <w:pStyle w:val="TableParagraph"/>
              <w:rPr>
                <w:sz w:val="31"/>
              </w:rPr>
            </w:pPr>
          </w:p>
          <w:p w:rsidR="00EA1F74" w:rsidRDefault="00FC1CE8">
            <w:pPr>
              <w:pStyle w:val="TableParagraph"/>
              <w:spacing w:line="252" w:lineRule="auto"/>
              <w:ind w:left="105" w:right="541"/>
              <w:rPr>
                <w:sz w:val="19"/>
              </w:rPr>
            </w:pPr>
            <w:r>
              <w:rPr>
                <w:w w:val="105"/>
                <w:sz w:val="19"/>
              </w:rPr>
              <w:t>With these powers they were able to request information from both government and non- government</w:t>
            </w:r>
            <w:r>
              <w:rPr>
                <w:spacing w:val="-3"/>
                <w:w w:val="105"/>
                <w:sz w:val="19"/>
              </w:rPr>
              <w:t xml:space="preserve"> </w:t>
            </w:r>
            <w:r>
              <w:rPr>
                <w:w w:val="105"/>
                <w:sz w:val="19"/>
              </w:rPr>
              <w:t>agencies.</w:t>
            </w:r>
          </w:p>
        </w:tc>
        <w:tc>
          <w:tcPr>
            <w:tcW w:w="7373" w:type="dxa"/>
            <w:tcBorders>
              <w:bottom w:val="nil"/>
            </w:tcBorders>
            <w:shd w:val="clear" w:color="auto" w:fill="F2F2F2" w:themeFill="background1" w:themeFillShade="F2"/>
          </w:tcPr>
          <w:p w:rsidR="00EA1F74" w:rsidRDefault="00FC1CE8">
            <w:pPr>
              <w:pStyle w:val="TableParagraph"/>
              <w:numPr>
                <w:ilvl w:val="0"/>
                <w:numId w:val="101"/>
              </w:numPr>
              <w:tabs>
                <w:tab w:val="left" w:pos="470"/>
                <w:tab w:val="left" w:pos="471"/>
              </w:tabs>
              <w:spacing w:before="5" w:line="249" w:lineRule="auto"/>
              <w:ind w:right="558"/>
              <w:rPr>
                <w:sz w:val="19"/>
              </w:rPr>
            </w:pPr>
            <w:r>
              <w:rPr>
                <w:w w:val="105"/>
                <w:sz w:val="19"/>
              </w:rPr>
              <w:t>The State Coroner: documents requested included coronial documents, police documents, other investigative documents related to the</w:t>
            </w:r>
            <w:r>
              <w:rPr>
                <w:spacing w:val="-15"/>
                <w:w w:val="105"/>
                <w:sz w:val="19"/>
              </w:rPr>
              <w:t xml:space="preserve"> </w:t>
            </w:r>
            <w:r>
              <w:rPr>
                <w:w w:val="105"/>
                <w:sz w:val="19"/>
              </w:rPr>
              <w:t>death</w:t>
            </w:r>
          </w:p>
          <w:p w:rsidR="00EA1F74" w:rsidRDefault="00FC1CE8">
            <w:pPr>
              <w:pStyle w:val="TableParagraph"/>
              <w:numPr>
                <w:ilvl w:val="0"/>
                <w:numId w:val="101"/>
              </w:numPr>
              <w:tabs>
                <w:tab w:val="left" w:pos="470"/>
                <w:tab w:val="left" w:pos="471"/>
              </w:tabs>
              <w:spacing w:before="6" w:line="252" w:lineRule="auto"/>
              <w:ind w:right="88"/>
              <w:rPr>
                <w:sz w:val="19"/>
              </w:rPr>
            </w:pPr>
            <w:r>
              <w:rPr>
                <w:w w:val="105"/>
                <w:sz w:val="19"/>
              </w:rPr>
              <w:t>The Department of Communities, Child Safety and Disability Services (DCCSDS): Once the review of the Coroner’s findings and investigation documents commenced, DCCSDS also provided the Public Advocate with more specific details about those people identified through the Coroner’s documentation as having been in receipt of DCCSDS funded or provided services, including details about their primary diagnosis, the disability service in which they resided, and any critical incident reports associated with their death.</w:t>
            </w:r>
          </w:p>
          <w:p w:rsidR="00EA1F74" w:rsidRDefault="00FC1CE8">
            <w:pPr>
              <w:pStyle w:val="TableParagraph"/>
              <w:numPr>
                <w:ilvl w:val="0"/>
                <w:numId w:val="101"/>
              </w:numPr>
              <w:tabs>
                <w:tab w:val="left" w:pos="470"/>
                <w:tab w:val="left" w:pos="471"/>
              </w:tabs>
              <w:spacing w:before="10" w:line="230" w:lineRule="exact"/>
              <w:ind w:right="147"/>
              <w:rPr>
                <w:sz w:val="19"/>
              </w:rPr>
            </w:pPr>
            <w:r>
              <w:rPr>
                <w:w w:val="105"/>
                <w:sz w:val="19"/>
              </w:rPr>
              <w:t>Queensland Health: documents requested included patient discharge summaries from six months prior to death, client files from 12 months before death, and any clinical incident report, root cause analysis or SAC1 reportable event review for the</w:t>
            </w:r>
            <w:r>
              <w:rPr>
                <w:spacing w:val="4"/>
                <w:w w:val="105"/>
                <w:sz w:val="19"/>
              </w:rPr>
              <w:t xml:space="preserve"> </w:t>
            </w:r>
            <w:r>
              <w:rPr>
                <w:w w:val="105"/>
                <w:sz w:val="19"/>
              </w:rPr>
              <w:t>person.</w:t>
            </w:r>
          </w:p>
        </w:tc>
      </w:tr>
      <w:tr w:rsidR="00EA1F74" w:rsidTr="00B0036C">
        <w:trPr>
          <w:trHeight w:val="1140"/>
        </w:trPr>
        <w:tc>
          <w:tcPr>
            <w:tcW w:w="926" w:type="dxa"/>
            <w:vMerge/>
            <w:tcBorders>
              <w:top w:val="nil"/>
            </w:tcBorders>
            <w:shd w:val="clear" w:color="auto" w:fill="F2F2F2" w:themeFill="background1" w:themeFillShade="F2"/>
          </w:tcPr>
          <w:p w:rsidR="00EA1F74" w:rsidRDefault="00EA1F74">
            <w:pPr>
              <w:rPr>
                <w:sz w:val="2"/>
                <w:szCs w:val="2"/>
              </w:rPr>
            </w:pPr>
          </w:p>
        </w:tc>
        <w:tc>
          <w:tcPr>
            <w:tcW w:w="27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373" w:type="dxa"/>
            <w:tcBorders>
              <w:top w:val="nil"/>
              <w:bottom w:val="nil"/>
            </w:tcBorders>
            <w:shd w:val="clear" w:color="auto" w:fill="F2F2F2" w:themeFill="background1" w:themeFillShade="F2"/>
          </w:tcPr>
          <w:p w:rsidR="00EA1F74" w:rsidRDefault="00FC1CE8">
            <w:pPr>
              <w:pStyle w:val="TableParagraph"/>
              <w:numPr>
                <w:ilvl w:val="0"/>
                <w:numId w:val="100"/>
              </w:numPr>
              <w:tabs>
                <w:tab w:val="left" w:pos="470"/>
                <w:tab w:val="left" w:pos="471"/>
              </w:tabs>
              <w:spacing w:line="249" w:lineRule="auto"/>
              <w:ind w:right="398"/>
              <w:rPr>
                <w:sz w:val="19"/>
              </w:rPr>
            </w:pPr>
            <w:r>
              <w:rPr>
                <w:w w:val="105"/>
                <w:sz w:val="19"/>
              </w:rPr>
              <w:t>Department of Housing and Public Works: Data requested included the number of deaths of people with disability in care in level three residential services between 2010 to 2013 as well as any reports or documents recording the thematic analysis of deaths in care or critical incidents</w:t>
            </w:r>
            <w:r>
              <w:rPr>
                <w:spacing w:val="-23"/>
                <w:w w:val="105"/>
                <w:sz w:val="19"/>
              </w:rPr>
              <w:t xml:space="preserve"> </w:t>
            </w:r>
            <w:r>
              <w:rPr>
                <w:w w:val="105"/>
                <w:sz w:val="19"/>
              </w:rPr>
              <w:t>with</w:t>
            </w:r>
          </w:p>
          <w:p w:rsidR="00EA1F74" w:rsidRDefault="00FC1CE8">
            <w:pPr>
              <w:pStyle w:val="TableParagraph"/>
              <w:spacing w:line="202" w:lineRule="exact"/>
              <w:ind w:left="470"/>
              <w:rPr>
                <w:sz w:val="19"/>
              </w:rPr>
            </w:pPr>
            <w:r>
              <w:rPr>
                <w:w w:val="105"/>
                <w:sz w:val="19"/>
              </w:rPr>
              <w:t>respect to people with disability in level 3 accredited residential services.</w:t>
            </w:r>
          </w:p>
        </w:tc>
      </w:tr>
      <w:tr w:rsidR="00EA1F74" w:rsidTr="00B0036C">
        <w:trPr>
          <w:trHeight w:val="455"/>
        </w:trPr>
        <w:tc>
          <w:tcPr>
            <w:tcW w:w="926" w:type="dxa"/>
            <w:vMerge/>
            <w:tcBorders>
              <w:top w:val="nil"/>
            </w:tcBorders>
            <w:shd w:val="clear" w:color="auto" w:fill="F2F2F2" w:themeFill="background1" w:themeFillShade="F2"/>
          </w:tcPr>
          <w:p w:rsidR="00EA1F74" w:rsidRDefault="00EA1F74">
            <w:pPr>
              <w:rPr>
                <w:sz w:val="2"/>
                <w:szCs w:val="2"/>
              </w:rPr>
            </w:pPr>
          </w:p>
        </w:tc>
        <w:tc>
          <w:tcPr>
            <w:tcW w:w="27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373" w:type="dxa"/>
            <w:tcBorders>
              <w:top w:val="nil"/>
              <w:bottom w:val="nil"/>
            </w:tcBorders>
            <w:shd w:val="clear" w:color="auto" w:fill="F2F2F2" w:themeFill="background1" w:themeFillShade="F2"/>
          </w:tcPr>
          <w:p w:rsidR="00EA1F74" w:rsidRDefault="00FC1CE8">
            <w:pPr>
              <w:pStyle w:val="TableParagraph"/>
              <w:numPr>
                <w:ilvl w:val="0"/>
                <w:numId w:val="99"/>
              </w:numPr>
              <w:tabs>
                <w:tab w:val="left" w:pos="470"/>
                <w:tab w:val="left" w:pos="471"/>
              </w:tabs>
              <w:spacing w:line="222" w:lineRule="exact"/>
              <w:ind w:hanging="361"/>
              <w:rPr>
                <w:sz w:val="19"/>
              </w:rPr>
            </w:pPr>
            <w:r>
              <w:rPr>
                <w:w w:val="105"/>
                <w:sz w:val="19"/>
              </w:rPr>
              <w:t>Non-government service providers were requested to provide copies</w:t>
            </w:r>
            <w:r>
              <w:rPr>
                <w:spacing w:val="-3"/>
                <w:w w:val="105"/>
                <w:sz w:val="19"/>
              </w:rPr>
              <w:t xml:space="preserve"> </w:t>
            </w:r>
            <w:r>
              <w:rPr>
                <w:w w:val="105"/>
                <w:sz w:val="19"/>
              </w:rPr>
              <w:t>of</w:t>
            </w:r>
          </w:p>
          <w:p w:rsidR="00EA1F74" w:rsidRDefault="00FC1CE8">
            <w:pPr>
              <w:pStyle w:val="TableParagraph"/>
              <w:spacing w:before="10" w:line="202" w:lineRule="exact"/>
              <w:ind w:left="470"/>
              <w:rPr>
                <w:sz w:val="19"/>
              </w:rPr>
            </w:pPr>
            <w:r>
              <w:rPr>
                <w:w w:val="105"/>
                <w:sz w:val="19"/>
              </w:rPr>
              <w:t>client files, usually restricted the 12 months before their death.</w:t>
            </w:r>
          </w:p>
        </w:tc>
      </w:tr>
      <w:tr w:rsidR="00EA1F74" w:rsidTr="00B0036C">
        <w:trPr>
          <w:trHeight w:val="817"/>
        </w:trPr>
        <w:tc>
          <w:tcPr>
            <w:tcW w:w="926" w:type="dxa"/>
            <w:vMerge/>
            <w:tcBorders>
              <w:top w:val="nil"/>
            </w:tcBorders>
            <w:shd w:val="clear" w:color="auto" w:fill="F2F2F2" w:themeFill="background1" w:themeFillShade="F2"/>
          </w:tcPr>
          <w:p w:rsidR="00EA1F74" w:rsidRDefault="00EA1F74">
            <w:pPr>
              <w:rPr>
                <w:sz w:val="2"/>
                <w:szCs w:val="2"/>
              </w:rPr>
            </w:pPr>
          </w:p>
        </w:tc>
        <w:tc>
          <w:tcPr>
            <w:tcW w:w="27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373" w:type="dxa"/>
            <w:tcBorders>
              <w:top w:val="nil"/>
              <w:bottom w:val="nil"/>
            </w:tcBorders>
            <w:shd w:val="clear" w:color="auto" w:fill="F2F2F2" w:themeFill="background1" w:themeFillShade="F2"/>
          </w:tcPr>
          <w:p w:rsidR="00EA1F74" w:rsidRDefault="00FC1CE8">
            <w:pPr>
              <w:pStyle w:val="TableParagraph"/>
              <w:numPr>
                <w:ilvl w:val="0"/>
                <w:numId w:val="98"/>
              </w:numPr>
              <w:tabs>
                <w:tab w:val="left" w:pos="470"/>
                <w:tab w:val="left" w:pos="471"/>
              </w:tabs>
              <w:spacing w:line="249" w:lineRule="auto"/>
              <w:ind w:right="499"/>
              <w:rPr>
                <w:sz w:val="19"/>
              </w:rPr>
            </w:pPr>
            <w:r>
              <w:rPr>
                <w:w w:val="105"/>
                <w:sz w:val="19"/>
              </w:rPr>
              <w:t>Office of the public guardian: Data were requested on the number and nature of deaths of people with disability in care that were brought to the attention of Community</w:t>
            </w:r>
            <w:r>
              <w:rPr>
                <w:spacing w:val="2"/>
                <w:w w:val="105"/>
                <w:sz w:val="19"/>
              </w:rPr>
              <w:t xml:space="preserve"> </w:t>
            </w:r>
            <w:r>
              <w:rPr>
                <w:w w:val="105"/>
                <w:sz w:val="19"/>
              </w:rPr>
              <w:t>Visitors.</w:t>
            </w:r>
          </w:p>
        </w:tc>
      </w:tr>
      <w:tr w:rsidR="00EA1F74" w:rsidTr="00B0036C">
        <w:trPr>
          <w:trHeight w:val="385"/>
        </w:trPr>
        <w:tc>
          <w:tcPr>
            <w:tcW w:w="926" w:type="dxa"/>
            <w:vMerge/>
            <w:tcBorders>
              <w:top w:val="nil"/>
            </w:tcBorders>
            <w:shd w:val="clear" w:color="auto" w:fill="F2F2F2" w:themeFill="background1" w:themeFillShade="F2"/>
          </w:tcPr>
          <w:p w:rsidR="00EA1F74" w:rsidRDefault="00EA1F74">
            <w:pPr>
              <w:rPr>
                <w:sz w:val="2"/>
                <w:szCs w:val="2"/>
              </w:rPr>
            </w:pPr>
          </w:p>
        </w:tc>
        <w:tc>
          <w:tcPr>
            <w:tcW w:w="27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373" w:type="dxa"/>
            <w:tcBorders>
              <w:top w:val="nil"/>
              <w:bottom w:val="nil"/>
            </w:tcBorders>
            <w:shd w:val="clear" w:color="auto" w:fill="F2F2F2" w:themeFill="background1" w:themeFillShade="F2"/>
          </w:tcPr>
          <w:p w:rsidR="00EA1F74" w:rsidRDefault="00FC1CE8">
            <w:pPr>
              <w:pStyle w:val="TableParagraph"/>
              <w:spacing w:before="139"/>
              <w:ind w:left="110"/>
              <w:rPr>
                <w:sz w:val="19"/>
              </w:rPr>
            </w:pPr>
            <w:r>
              <w:rPr>
                <w:w w:val="105"/>
                <w:sz w:val="19"/>
              </w:rPr>
              <w:t>Investigative steps:</w:t>
            </w:r>
          </w:p>
        </w:tc>
      </w:tr>
      <w:tr w:rsidR="00EA1F74" w:rsidTr="00B0036C">
        <w:trPr>
          <w:trHeight w:val="2655"/>
        </w:trPr>
        <w:tc>
          <w:tcPr>
            <w:tcW w:w="926" w:type="dxa"/>
            <w:vMerge/>
            <w:tcBorders>
              <w:top w:val="nil"/>
            </w:tcBorders>
            <w:shd w:val="clear" w:color="auto" w:fill="F2F2F2" w:themeFill="background1" w:themeFillShade="F2"/>
          </w:tcPr>
          <w:p w:rsidR="00EA1F74" w:rsidRDefault="00EA1F74">
            <w:pPr>
              <w:rPr>
                <w:sz w:val="2"/>
                <w:szCs w:val="2"/>
              </w:rPr>
            </w:pPr>
          </w:p>
        </w:tc>
        <w:tc>
          <w:tcPr>
            <w:tcW w:w="27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373" w:type="dxa"/>
            <w:tcBorders>
              <w:top w:val="nil"/>
              <w:bottom w:val="nil"/>
            </w:tcBorders>
            <w:shd w:val="clear" w:color="auto" w:fill="F2F2F2" w:themeFill="background1" w:themeFillShade="F2"/>
          </w:tcPr>
          <w:p w:rsidR="00EA1F74" w:rsidRDefault="00FC1CE8">
            <w:pPr>
              <w:pStyle w:val="TableParagraph"/>
              <w:numPr>
                <w:ilvl w:val="0"/>
                <w:numId w:val="97"/>
              </w:numPr>
              <w:tabs>
                <w:tab w:val="left" w:pos="468"/>
              </w:tabs>
              <w:spacing w:before="26"/>
              <w:ind w:hanging="358"/>
              <w:rPr>
                <w:sz w:val="19"/>
              </w:rPr>
            </w:pPr>
            <w:r>
              <w:rPr>
                <w:w w:val="105"/>
                <w:sz w:val="19"/>
              </w:rPr>
              <w:t>Standard demographic data extracted from each</w:t>
            </w:r>
            <w:r>
              <w:rPr>
                <w:spacing w:val="6"/>
                <w:w w:val="105"/>
                <w:sz w:val="19"/>
              </w:rPr>
              <w:t xml:space="preserve"> </w:t>
            </w:r>
            <w:r>
              <w:rPr>
                <w:w w:val="105"/>
                <w:sz w:val="19"/>
              </w:rPr>
              <w:t>file</w:t>
            </w:r>
          </w:p>
          <w:p w:rsidR="00EA1F74" w:rsidRDefault="00FC1CE8">
            <w:pPr>
              <w:pStyle w:val="TableParagraph"/>
              <w:numPr>
                <w:ilvl w:val="0"/>
                <w:numId w:val="97"/>
              </w:numPr>
              <w:tabs>
                <w:tab w:val="left" w:pos="468"/>
              </w:tabs>
              <w:spacing w:before="12" w:line="252" w:lineRule="auto"/>
              <w:ind w:right="1093"/>
              <w:rPr>
                <w:sz w:val="19"/>
              </w:rPr>
            </w:pPr>
            <w:r>
              <w:rPr>
                <w:w w:val="105"/>
                <w:sz w:val="19"/>
              </w:rPr>
              <w:t>Review panel examines demographic information, plus coroner’s investigative documents and any critical incident reports</w:t>
            </w:r>
            <w:r>
              <w:rPr>
                <w:spacing w:val="-24"/>
                <w:w w:val="105"/>
                <w:sz w:val="19"/>
              </w:rPr>
              <w:t xml:space="preserve"> </w:t>
            </w:r>
            <w:r>
              <w:rPr>
                <w:w w:val="105"/>
                <w:sz w:val="19"/>
              </w:rPr>
              <w:t>available</w:t>
            </w:r>
          </w:p>
          <w:p w:rsidR="00EA1F74" w:rsidRDefault="00FC1CE8">
            <w:pPr>
              <w:pStyle w:val="TableParagraph"/>
              <w:numPr>
                <w:ilvl w:val="0"/>
                <w:numId w:val="97"/>
              </w:numPr>
              <w:tabs>
                <w:tab w:val="left" w:pos="468"/>
              </w:tabs>
              <w:spacing w:before="2"/>
              <w:ind w:hanging="358"/>
              <w:rPr>
                <w:sz w:val="19"/>
              </w:rPr>
            </w:pPr>
            <w:r>
              <w:rPr>
                <w:w w:val="105"/>
                <w:sz w:val="19"/>
              </w:rPr>
              <w:t>Review panel analyses the sequence of events leading up to the death</w:t>
            </w:r>
            <w:r>
              <w:rPr>
                <w:spacing w:val="-12"/>
                <w:w w:val="105"/>
                <w:sz w:val="19"/>
              </w:rPr>
              <w:t xml:space="preserve"> </w:t>
            </w:r>
            <w:r>
              <w:rPr>
                <w:w w:val="105"/>
                <w:sz w:val="19"/>
              </w:rPr>
              <w:t>to:</w:t>
            </w:r>
          </w:p>
          <w:p w:rsidR="00EA1F74" w:rsidRDefault="00FC1CE8">
            <w:pPr>
              <w:pStyle w:val="TableParagraph"/>
              <w:numPr>
                <w:ilvl w:val="1"/>
                <w:numId w:val="97"/>
              </w:numPr>
              <w:tabs>
                <w:tab w:val="left" w:pos="921"/>
                <w:tab w:val="left" w:pos="922"/>
              </w:tabs>
              <w:spacing w:before="18" w:line="230" w:lineRule="auto"/>
              <w:ind w:right="328"/>
              <w:rPr>
                <w:sz w:val="19"/>
              </w:rPr>
            </w:pPr>
            <w:r>
              <w:rPr>
                <w:w w:val="105"/>
                <w:sz w:val="19"/>
              </w:rPr>
              <w:t>Determine if the death was an unexpected death; or either potentially treatable or potentially preventable and so potentially</w:t>
            </w:r>
            <w:r>
              <w:rPr>
                <w:spacing w:val="-8"/>
                <w:w w:val="105"/>
                <w:sz w:val="19"/>
              </w:rPr>
              <w:t xml:space="preserve"> </w:t>
            </w:r>
            <w:r>
              <w:rPr>
                <w:w w:val="105"/>
                <w:sz w:val="19"/>
              </w:rPr>
              <w:t>avoidable.</w:t>
            </w:r>
          </w:p>
          <w:p w:rsidR="00EA1F74" w:rsidRDefault="00FC1CE8">
            <w:pPr>
              <w:pStyle w:val="TableParagraph"/>
              <w:numPr>
                <w:ilvl w:val="1"/>
                <w:numId w:val="97"/>
              </w:numPr>
              <w:tabs>
                <w:tab w:val="left" w:pos="921"/>
                <w:tab w:val="left" w:pos="922"/>
              </w:tabs>
              <w:spacing w:before="17" w:line="235" w:lineRule="auto"/>
              <w:ind w:right="160"/>
              <w:rPr>
                <w:sz w:val="19"/>
              </w:rPr>
            </w:pPr>
            <w:r>
              <w:rPr>
                <w:w w:val="105"/>
                <w:sz w:val="19"/>
              </w:rPr>
              <w:t>Identify issues in the provision of health care or support provided to the person; and</w:t>
            </w:r>
          </w:p>
          <w:p w:rsidR="00EA1F74" w:rsidRDefault="00FC1CE8">
            <w:pPr>
              <w:pStyle w:val="TableParagraph"/>
              <w:numPr>
                <w:ilvl w:val="1"/>
                <w:numId w:val="97"/>
              </w:numPr>
              <w:tabs>
                <w:tab w:val="left" w:pos="921"/>
                <w:tab w:val="left" w:pos="922"/>
              </w:tabs>
              <w:spacing w:before="12" w:line="244" w:lineRule="auto"/>
              <w:ind w:right="149"/>
              <w:rPr>
                <w:sz w:val="19"/>
              </w:rPr>
            </w:pPr>
            <w:r>
              <w:rPr>
                <w:w w:val="105"/>
                <w:sz w:val="19"/>
              </w:rPr>
              <w:t>Identify whether the person had any risk factors or other characteristics that may have placed them at a greater likelihood of developing the conditions that led to</w:t>
            </w:r>
            <w:r>
              <w:rPr>
                <w:spacing w:val="3"/>
                <w:w w:val="105"/>
                <w:sz w:val="19"/>
              </w:rPr>
              <w:t xml:space="preserve"> </w:t>
            </w:r>
            <w:r>
              <w:rPr>
                <w:w w:val="105"/>
                <w:sz w:val="19"/>
              </w:rPr>
              <w:t>death.</w:t>
            </w:r>
          </w:p>
        </w:tc>
      </w:tr>
      <w:tr w:rsidR="00EA1F74" w:rsidTr="00B0036C">
        <w:trPr>
          <w:trHeight w:val="1833"/>
        </w:trPr>
        <w:tc>
          <w:tcPr>
            <w:tcW w:w="926" w:type="dxa"/>
            <w:vMerge/>
            <w:tcBorders>
              <w:top w:val="nil"/>
            </w:tcBorders>
            <w:shd w:val="clear" w:color="auto" w:fill="E8E8E8"/>
          </w:tcPr>
          <w:p w:rsidR="00EA1F74" w:rsidRDefault="00EA1F74">
            <w:pPr>
              <w:rPr>
                <w:sz w:val="2"/>
                <w:szCs w:val="2"/>
              </w:rPr>
            </w:pPr>
          </w:p>
        </w:tc>
        <w:tc>
          <w:tcPr>
            <w:tcW w:w="2760"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7373" w:type="dxa"/>
            <w:tcBorders>
              <w:top w:val="nil"/>
            </w:tcBorders>
            <w:shd w:val="clear" w:color="auto" w:fill="F2F2F2" w:themeFill="background1" w:themeFillShade="F2"/>
          </w:tcPr>
          <w:p w:rsidR="00EA1F74" w:rsidRDefault="00FC1CE8">
            <w:pPr>
              <w:pStyle w:val="TableParagraph"/>
              <w:spacing w:before="110" w:line="252" w:lineRule="auto"/>
              <w:ind w:left="110" w:right="291"/>
              <w:rPr>
                <w:sz w:val="19"/>
              </w:rPr>
            </w:pPr>
            <w:r>
              <w:rPr>
                <w:w w:val="105"/>
                <w:sz w:val="19"/>
              </w:rPr>
              <w:t>The panel then analysed demographic patterns and trends across deaths; identified issues in the provision of support and health care for people in the sample that may also impact people with disability more broadly; identified risk factors for people with disability whose deaths were considered avoidable; and made recommendations to improve the delivery of health care and support to people with disability to address the risk of avoidable deaths.</w:t>
            </w:r>
          </w:p>
        </w:tc>
      </w:tr>
      <w:tr w:rsidR="00EA1F74">
        <w:trPr>
          <w:trHeight w:val="2571"/>
        </w:trPr>
        <w:tc>
          <w:tcPr>
            <w:tcW w:w="926" w:type="dxa"/>
          </w:tcPr>
          <w:p w:rsidR="00EA1F74" w:rsidRDefault="00FC1CE8">
            <w:pPr>
              <w:pStyle w:val="TableParagraph"/>
              <w:spacing w:before="3" w:line="252" w:lineRule="auto"/>
              <w:ind w:left="110" w:right="282"/>
              <w:rPr>
                <w:b/>
                <w:sz w:val="19"/>
              </w:rPr>
            </w:pPr>
            <w:r>
              <w:rPr>
                <w:b/>
                <w:w w:val="105"/>
                <w:sz w:val="19"/>
              </w:rPr>
              <w:t>NSW 12-13</w:t>
            </w:r>
          </w:p>
        </w:tc>
        <w:tc>
          <w:tcPr>
            <w:tcW w:w="2760" w:type="dxa"/>
          </w:tcPr>
          <w:p w:rsidR="00EA1F74" w:rsidRDefault="00FC1CE8">
            <w:pPr>
              <w:pStyle w:val="TableParagraph"/>
              <w:spacing w:before="47" w:line="252" w:lineRule="auto"/>
              <w:ind w:left="105" w:right="297"/>
              <w:rPr>
                <w:sz w:val="19"/>
              </w:rPr>
            </w:pPr>
            <w:r>
              <w:rPr>
                <w:w w:val="105"/>
                <w:sz w:val="19"/>
              </w:rPr>
              <w:t>Under Part 6 of the Community Services (Complaints, Reviews and Monitoring) Act 1993 (CS CRAMA), the NSW</w:t>
            </w:r>
          </w:p>
          <w:p w:rsidR="00EA1F74" w:rsidRDefault="00FC1CE8">
            <w:pPr>
              <w:pStyle w:val="TableParagraph"/>
              <w:spacing w:line="252" w:lineRule="auto"/>
              <w:ind w:left="105" w:right="175"/>
              <w:rPr>
                <w:sz w:val="19"/>
              </w:rPr>
            </w:pPr>
            <w:r>
              <w:rPr>
                <w:w w:val="105"/>
                <w:sz w:val="19"/>
              </w:rPr>
              <w:t>Ombudsman has power to review the deaths of any person living in, or temporarily absent from, residential care provided by</w:t>
            </w:r>
          </w:p>
          <w:p w:rsidR="00EA1F74" w:rsidRDefault="00FC1CE8">
            <w:pPr>
              <w:pStyle w:val="TableParagraph"/>
              <w:spacing w:before="5" w:line="206" w:lineRule="exact"/>
              <w:ind w:left="105"/>
              <w:rPr>
                <w:sz w:val="19"/>
              </w:rPr>
            </w:pPr>
            <w:r>
              <w:rPr>
                <w:w w:val="105"/>
                <w:sz w:val="19"/>
              </w:rPr>
              <w:t>a service provider or an</w:t>
            </w:r>
          </w:p>
        </w:tc>
        <w:tc>
          <w:tcPr>
            <w:tcW w:w="7373" w:type="dxa"/>
          </w:tcPr>
          <w:p w:rsidR="00EA1F74" w:rsidRDefault="00FC1CE8">
            <w:pPr>
              <w:pStyle w:val="TableParagraph"/>
              <w:spacing w:before="3" w:line="252" w:lineRule="auto"/>
              <w:ind w:left="110" w:right="214"/>
              <w:rPr>
                <w:sz w:val="19"/>
              </w:rPr>
            </w:pPr>
            <w:r>
              <w:rPr>
                <w:w w:val="105"/>
                <w:sz w:val="19"/>
              </w:rPr>
              <w:t>A reviewable disability deaths expert advisory panel has been established. Where necessary, consultation is undertaken with this advisory panel. For example, in the 2012-13 calendar years, expert advice was sought in relation to the deaths of 55 people.</w:t>
            </w:r>
          </w:p>
          <w:p w:rsidR="00EA1F74" w:rsidRDefault="00EA1F74">
            <w:pPr>
              <w:pStyle w:val="TableParagraph"/>
              <w:spacing w:before="10"/>
              <w:rPr>
                <w:sz w:val="30"/>
              </w:rPr>
            </w:pPr>
          </w:p>
          <w:p w:rsidR="00EA1F74" w:rsidRDefault="00FC1CE8">
            <w:pPr>
              <w:pStyle w:val="TableParagraph"/>
              <w:spacing w:line="252" w:lineRule="auto"/>
              <w:ind w:left="110" w:right="103"/>
              <w:rPr>
                <w:sz w:val="19"/>
              </w:rPr>
            </w:pPr>
            <w:r>
              <w:rPr>
                <w:w w:val="105"/>
                <w:sz w:val="19"/>
              </w:rPr>
              <w:t>The NSW Ombudsman commences investigation once being notified of in-scope deaths by the following bodies:</w:t>
            </w:r>
          </w:p>
          <w:p w:rsidR="00EA1F74" w:rsidRDefault="00FC1CE8">
            <w:pPr>
              <w:pStyle w:val="TableParagraph"/>
              <w:spacing w:before="59" w:line="252" w:lineRule="auto"/>
              <w:ind w:left="467" w:right="103" w:hanging="357"/>
              <w:rPr>
                <w:sz w:val="19"/>
              </w:rPr>
            </w:pPr>
            <w:r>
              <w:rPr>
                <w:w w:val="105"/>
                <w:sz w:val="19"/>
              </w:rPr>
              <w:t>1)   The Registrar of Births, Deaths and Marriages must provide the  Ombudsman with a copy of death registration information relating to a child’s death not later than 30 days after receiving the</w:t>
            </w:r>
            <w:r>
              <w:rPr>
                <w:spacing w:val="1"/>
                <w:w w:val="105"/>
                <w:sz w:val="19"/>
              </w:rPr>
              <w:t xml:space="preserve"> </w:t>
            </w:r>
            <w:r>
              <w:rPr>
                <w:w w:val="105"/>
                <w:sz w:val="19"/>
              </w:rPr>
              <w:t>information</w:t>
            </w:r>
          </w:p>
        </w:tc>
      </w:tr>
    </w:tbl>
    <w:p w:rsidR="00EA1F74" w:rsidRDefault="00EA1F74">
      <w:pPr>
        <w:spacing w:line="252" w:lineRule="auto"/>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2760"/>
        <w:gridCol w:w="7373"/>
      </w:tblGrid>
      <w:tr w:rsidR="00EA1F74">
        <w:trPr>
          <w:trHeight w:val="9018"/>
        </w:trPr>
        <w:tc>
          <w:tcPr>
            <w:tcW w:w="926" w:type="dxa"/>
          </w:tcPr>
          <w:p w:rsidR="00EA1F74" w:rsidRDefault="00EA1F74">
            <w:pPr>
              <w:pStyle w:val="TableParagraph"/>
              <w:rPr>
                <w:rFonts w:ascii="Times New Roman"/>
                <w:sz w:val="18"/>
              </w:rPr>
            </w:pPr>
          </w:p>
        </w:tc>
        <w:tc>
          <w:tcPr>
            <w:tcW w:w="2760" w:type="dxa"/>
          </w:tcPr>
          <w:p w:rsidR="00EA1F74" w:rsidRDefault="00FC1CE8">
            <w:pPr>
              <w:pStyle w:val="TableParagraph"/>
              <w:spacing w:before="8"/>
              <w:ind w:left="105"/>
              <w:rPr>
                <w:sz w:val="19"/>
              </w:rPr>
            </w:pPr>
            <w:r>
              <w:rPr>
                <w:w w:val="105"/>
                <w:sz w:val="19"/>
              </w:rPr>
              <w:t>assisted boarding house.</w:t>
            </w:r>
          </w:p>
        </w:tc>
        <w:tc>
          <w:tcPr>
            <w:tcW w:w="7373" w:type="dxa"/>
          </w:tcPr>
          <w:p w:rsidR="00EA1F74" w:rsidRDefault="00FC1CE8">
            <w:pPr>
              <w:pStyle w:val="TableParagraph"/>
              <w:numPr>
                <w:ilvl w:val="0"/>
                <w:numId w:val="96"/>
              </w:numPr>
              <w:tabs>
                <w:tab w:val="left" w:pos="468"/>
              </w:tabs>
              <w:spacing w:before="3" w:line="252" w:lineRule="auto"/>
              <w:ind w:right="101"/>
              <w:rPr>
                <w:sz w:val="19"/>
              </w:rPr>
            </w:pPr>
            <w:r>
              <w:rPr>
                <w:w w:val="105"/>
                <w:sz w:val="19"/>
              </w:rPr>
              <w:t>The Chief Executive of Ageing, Disability and Home Care (ADHC) must provide the Ombudsman with copies of any notification received by the Chief Executive relating to a reviewable death not later than 30 days after receiving the notification,</w:t>
            </w:r>
            <w:r>
              <w:rPr>
                <w:spacing w:val="2"/>
                <w:w w:val="105"/>
                <w:sz w:val="19"/>
              </w:rPr>
              <w:t xml:space="preserve"> </w:t>
            </w:r>
            <w:r>
              <w:rPr>
                <w:w w:val="105"/>
                <w:sz w:val="19"/>
              </w:rPr>
              <w:t>and</w:t>
            </w:r>
          </w:p>
          <w:p w:rsidR="00EA1F74" w:rsidRDefault="00FC1CE8">
            <w:pPr>
              <w:pStyle w:val="TableParagraph"/>
              <w:numPr>
                <w:ilvl w:val="0"/>
                <w:numId w:val="96"/>
              </w:numPr>
              <w:tabs>
                <w:tab w:val="left" w:pos="468"/>
              </w:tabs>
              <w:spacing w:before="4" w:line="252" w:lineRule="auto"/>
              <w:ind w:right="517"/>
              <w:rPr>
                <w:sz w:val="19"/>
              </w:rPr>
            </w:pPr>
            <w:r>
              <w:rPr>
                <w:w w:val="105"/>
                <w:sz w:val="19"/>
              </w:rPr>
              <w:t>The State Coroner must notify the Ombudsman of any reviewable death notified to the State Coroner not later than 30 days after receiving the notification.</w:t>
            </w:r>
          </w:p>
          <w:p w:rsidR="00EA1F74" w:rsidRDefault="00EA1F74">
            <w:pPr>
              <w:pStyle w:val="TableParagraph"/>
              <w:spacing w:before="5"/>
              <w:rPr>
                <w:sz w:val="27"/>
              </w:rPr>
            </w:pPr>
          </w:p>
          <w:p w:rsidR="00EA1F74" w:rsidRDefault="00FC1CE8">
            <w:pPr>
              <w:pStyle w:val="TableParagraph"/>
              <w:ind w:left="110"/>
              <w:rPr>
                <w:b/>
                <w:sz w:val="19"/>
              </w:rPr>
            </w:pPr>
            <w:r>
              <w:rPr>
                <w:b/>
                <w:w w:val="105"/>
                <w:sz w:val="19"/>
              </w:rPr>
              <w:t>Investigative process typically involves:</w:t>
            </w:r>
          </w:p>
          <w:p w:rsidR="00EA1F74" w:rsidRDefault="00FC1CE8">
            <w:pPr>
              <w:pStyle w:val="TableParagraph"/>
              <w:numPr>
                <w:ilvl w:val="0"/>
                <w:numId w:val="95"/>
              </w:numPr>
              <w:tabs>
                <w:tab w:val="left" w:pos="468"/>
              </w:tabs>
              <w:spacing w:before="50" w:line="252" w:lineRule="auto"/>
              <w:ind w:right="103"/>
              <w:rPr>
                <w:sz w:val="19"/>
              </w:rPr>
            </w:pPr>
            <w:r>
              <w:rPr>
                <w:w w:val="105"/>
                <w:sz w:val="19"/>
              </w:rPr>
              <w:t>Analysis of the initial information provided by the disability accommodation service (Client Death Notification form, key support plans) and our internal information holdings (including previous deaths at that location/service; current and recent complaints and/or reportable incidents at that location/service; previous matters involving that person, etc.) to determine the level of review that will be undertaken. For example, if the person was 85 years of age, their death was due to causes that are consistent with the general population at that age, and there are no evident concerns, a ‘data only’ review will generally be conducted. Data only reviews involve capturing all relevant information for biennial reporting purposes, but not undertaking a further review. The majority of matters have a more detailed</w:t>
            </w:r>
            <w:r>
              <w:rPr>
                <w:spacing w:val="-3"/>
                <w:w w:val="105"/>
                <w:sz w:val="19"/>
              </w:rPr>
              <w:t xml:space="preserve"> </w:t>
            </w:r>
            <w:r>
              <w:rPr>
                <w:w w:val="105"/>
                <w:sz w:val="19"/>
              </w:rPr>
              <w:t>review.</w:t>
            </w:r>
          </w:p>
          <w:p w:rsidR="00EA1F74" w:rsidRDefault="00FC1CE8">
            <w:pPr>
              <w:pStyle w:val="TableParagraph"/>
              <w:numPr>
                <w:ilvl w:val="0"/>
                <w:numId w:val="95"/>
              </w:numPr>
              <w:tabs>
                <w:tab w:val="left" w:pos="468"/>
              </w:tabs>
              <w:spacing w:before="45" w:line="252" w:lineRule="auto"/>
              <w:ind w:right="161"/>
              <w:rPr>
                <w:sz w:val="19"/>
              </w:rPr>
            </w:pPr>
            <w:r>
              <w:rPr>
                <w:w w:val="105"/>
                <w:sz w:val="19"/>
              </w:rPr>
              <w:t>For deaths requiring a more detailed review- relevant written records are obtained and reviewed– typically includes all records held by the disability accommodation provider about the person for at least the previous 12 months (as well as any internal review conducted by the provider following the person’s death); all records held by involved health services (LHDs) for the same time period or as relevant; all records held by the GP; Ambulance records for key events; and other services as needed (e.g.: the day program provider; FACS’ Boarding Houses Team; particular specialists, etc.). The Coroner’s office provides us with key records (as required under CS CRAMA), including the COD, PM report,</w:t>
            </w:r>
            <w:r>
              <w:rPr>
                <w:spacing w:val="4"/>
                <w:w w:val="105"/>
                <w:sz w:val="19"/>
              </w:rPr>
              <w:t xml:space="preserve"> </w:t>
            </w:r>
            <w:r>
              <w:rPr>
                <w:w w:val="105"/>
                <w:sz w:val="19"/>
              </w:rPr>
              <w:t>etc.</w:t>
            </w:r>
          </w:p>
          <w:p w:rsidR="00EA1F74" w:rsidRDefault="00FC1CE8">
            <w:pPr>
              <w:pStyle w:val="TableParagraph"/>
              <w:numPr>
                <w:ilvl w:val="0"/>
                <w:numId w:val="95"/>
              </w:numPr>
              <w:tabs>
                <w:tab w:val="left" w:pos="468"/>
              </w:tabs>
              <w:spacing w:before="43" w:line="254" w:lineRule="auto"/>
              <w:ind w:right="115"/>
              <w:rPr>
                <w:sz w:val="19"/>
              </w:rPr>
            </w:pPr>
            <w:r>
              <w:rPr>
                <w:w w:val="105"/>
                <w:sz w:val="19"/>
              </w:rPr>
              <w:t>Where issues are identified or clarifying information is needed, the investigative team writes to the relevant agency (typically the disability accommodation provider and/or LHD) seeking further information from them/ providing them with an opportunity to respond. Depending on the matter, there may be additional actions, including meetings with the agency; monitoring of agreed actions,</w:t>
            </w:r>
            <w:r>
              <w:rPr>
                <w:spacing w:val="2"/>
                <w:w w:val="105"/>
                <w:sz w:val="19"/>
              </w:rPr>
              <w:t xml:space="preserve"> </w:t>
            </w:r>
            <w:r>
              <w:rPr>
                <w:w w:val="105"/>
                <w:sz w:val="19"/>
              </w:rPr>
              <w:t>etc.</w:t>
            </w:r>
          </w:p>
          <w:p w:rsidR="00EA1F74" w:rsidRDefault="00FC1CE8">
            <w:pPr>
              <w:pStyle w:val="TableParagraph"/>
              <w:numPr>
                <w:ilvl w:val="0"/>
                <w:numId w:val="95"/>
              </w:numPr>
              <w:tabs>
                <w:tab w:val="left" w:pos="468"/>
              </w:tabs>
              <w:spacing w:before="32" w:line="259" w:lineRule="auto"/>
              <w:ind w:right="340"/>
              <w:rPr>
                <w:sz w:val="19"/>
              </w:rPr>
            </w:pPr>
            <w:r>
              <w:rPr>
                <w:w w:val="105"/>
                <w:sz w:val="19"/>
              </w:rPr>
              <w:t>All of the key data and other information go into the Death Review System (Resolve database), which is used for reporting and other</w:t>
            </w:r>
            <w:r>
              <w:rPr>
                <w:spacing w:val="-5"/>
                <w:w w:val="105"/>
                <w:sz w:val="19"/>
              </w:rPr>
              <w:t xml:space="preserve"> </w:t>
            </w:r>
            <w:r>
              <w:rPr>
                <w:w w:val="105"/>
                <w:sz w:val="19"/>
              </w:rPr>
              <w:t>purposes.</w:t>
            </w:r>
          </w:p>
        </w:tc>
      </w:tr>
      <w:tr w:rsidR="00EA1F74" w:rsidTr="00B0036C">
        <w:trPr>
          <w:trHeight w:val="522"/>
        </w:trPr>
        <w:tc>
          <w:tcPr>
            <w:tcW w:w="926" w:type="dxa"/>
            <w:shd w:val="clear" w:color="auto" w:fill="F2F2F2" w:themeFill="background1" w:themeFillShade="F2"/>
          </w:tcPr>
          <w:p w:rsidR="00EA1F74" w:rsidRDefault="00FC1CE8">
            <w:pPr>
              <w:pStyle w:val="TableParagraph"/>
              <w:spacing w:before="8" w:line="247" w:lineRule="auto"/>
              <w:ind w:left="110" w:right="282"/>
              <w:rPr>
                <w:b/>
                <w:sz w:val="19"/>
              </w:rPr>
            </w:pPr>
            <w:r>
              <w:rPr>
                <w:b/>
                <w:w w:val="105"/>
                <w:sz w:val="19"/>
              </w:rPr>
              <w:t>NSW 14-17</w:t>
            </w:r>
          </w:p>
        </w:tc>
        <w:tc>
          <w:tcPr>
            <w:tcW w:w="2760" w:type="dxa"/>
            <w:shd w:val="clear" w:color="auto" w:fill="F2F2F2" w:themeFill="background1" w:themeFillShade="F2"/>
          </w:tcPr>
          <w:p w:rsidR="00EA1F74" w:rsidRDefault="00EA1F74">
            <w:pPr>
              <w:pStyle w:val="TableParagraph"/>
              <w:rPr>
                <w:rFonts w:ascii="Times New Roman"/>
                <w:sz w:val="18"/>
              </w:rPr>
            </w:pPr>
          </w:p>
        </w:tc>
        <w:tc>
          <w:tcPr>
            <w:tcW w:w="7373" w:type="dxa"/>
            <w:shd w:val="clear" w:color="auto" w:fill="F2F2F2" w:themeFill="background1" w:themeFillShade="F2"/>
          </w:tcPr>
          <w:p w:rsidR="00EA1F74" w:rsidRDefault="00FC1CE8">
            <w:pPr>
              <w:pStyle w:val="TableParagraph"/>
              <w:spacing w:before="8"/>
              <w:ind w:left="110"/>
              <w:rPr>
                <w:sz w:val="19"/>
              </w:rPr>
            </w:pPr>
            <w:r>
              <w:rPr>
                <w:w w:val="105"/>
                <w:sz w:val="19"/>
              </w:rPr>
              <w:t>As above</w:t>
            </w:r>
          </w:p>
        </w:tc>
      </w:tr>
    </w:tbl>
    <w:p w:rsidR="00EA1F74" w:rsidRDefault="00EA1F74">
      <w:pPr>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1"/>
        </w:rPr>
      </w:pPr>
    </w:p>
    <w:p w:rsidR="00EA1F74" w:rsidRDefault="00FC1CE8">
      <w:pPr>
        <w:pStyle w:val="Heading2"/>
      </w:pPr>
      <w:bookmarkStart w:id="14" w:name="_TOC_250051"/>
      <w:bookmarkEnd w:id="14"/>
      <w:r>
        <w:t>Overview of deaths and characteristics of those who died</w:t>
      </w:r>
    </w:p>
    <w:p w:rsidR="00EA1F74" w:rsidRDefault="00EA1F74" w:rsidP="00625DA1">
      <w:pPr>
        <w:pStyle w:val="BodyText"/>
      </w:pPr>
    </w:p>
    <w:p w:rsidR="00EA1F74" w:rsidRDefault="00FC1CE8" w:rsidP="00625DA1">
      <w:pPr>
        <w:pStyle w:val="BodyText"/>
      </w:pPr>
      <w:r>
        <w:t>Across the five reports, the deaths of 901 people with disability were examined (see Table 7). The NSW Ombudsman report covering two biannual periods (2014-15 and 2016-17) had the largest sample size (n=494), while the VIC 07-16 report examined the deaths of seven individuals only. This section of the review summarises the characteristics of the people who died, including age, gender, cultural status, accommodation type, time and place of death, causes of disability, other mental and physical health problems, medication status, communication and mobility needs, capacity to consent, smoking, weight and physical activity status, date of last annual health exam, and vaccination status. No demographics were systematically provided for the in-scope deaths in the VIC 07-16 inquiry so this section is left blank. Table 7 summarises key demographic across reports.</w:t>
      </w:r>
    </w:p>
    <w:p w:rsidR="00EA1F74" w:rsidRDefault="00EA1F74" w:rsidP="00625DA1">
      <w:pPr>
        <w:pStyle w:val="BodyText"/>
      </w:pPr>
    </w:p>
    <w:p w:rsidR="00EA1F74" w:rsidRDefault="00EA1F74" w:rsidP="00625DA1">
      <w:pPr>
        <w:pStyle w:val="BodyText"/>
      </w:pPr>
    </w:p>
    <w:p w:rsidR="00EA1F74" w:rsidRDefault="00FC1CE8" w:rsidP="00FC44E3">
      <w:pPr>
        <w:pStyle w:val="Heading3"/>
      </w:pPr>
      <w:bookmarkStart w:id="15" w:name="_TOC_250050"/>
      <w:bookmarkEnd w:id="15"/>
      <w:r>
        <w:t>Gender</w:t>
      </w:r>
    </w:p>
    <w:p w:rsidR="00EA1F74" w:rsidRDefault="00FC1CE8" w:rsidP="00625DA1">
      <w:pPr>
        <w:pStyle w:val="BodyText"/>
      </w:pPr>
      <w:r>
        <w:t>Deaths of men were overrepresented across all reports.</w:t>
      </w:r>
    </w:p>
    <w:p w:rsidR="00EA1F74" w:rsidRDefault="00EA1F74" w:rsidP="00625DA1">
      <w:pPr>
        <w:pStyle w:val="BodyText"/>
      </w:pPr>
    </w:p>
    <w:p w:rsidR="00EA1F74" w:rsidRDefault="00EA1F74" w:rsidP="00625DA1">
      <w:pPr>
        <w:pStyle w:val="BodyText"/>
      </w:pPr>
    </w:p>
    <w:p w:rsidR="00EA1F74" w:rsidRDefault="00FC1CE8">
      <w:pPr>
        <w:pStyle w:val="Heading4"/>
        <w:spacing w:before="216"/>
      </w:pPr>
      <w:bookmarkStart w:id="16" w:name="_TOC_250049"/>
      <w:bookmarkEnd w:id="16"/>
      <w:r>
        <w:rPr>
          <w:color w:val="4472C4"/>
        </w:rPr>
        <w:t>Median age at death</w:t>
      </w:r>
    </w:p>
    <w:p w:rsidR="00EA1F74" w:rsidRDefault="00FC1CE8" w:rsidP="00625DA1">
      <w:pPr>
        <w:pStyle w:val="BodyText"/>
      </w:pPr>
      <w:r>
        <w:t>Across all samples, reported median age at death was substantially (20-36 years) lower than that of the general Australian population. A younger age at death was noted for people receiving disability services, compared to assisted boarding house residents, in the NSW samples (NSW 12-13 &amp; 14-17).</w:t>
      </w:r>
    </w:p>
    <w:p w:rsidR="00EA1F74" w:rsidRDefault="00EA1F74" w:rsidP="00625DA1">
      <w:pPr>
        <w:pStyle w:val="BodyText"/>
      </w:pPr>
    </w:p>
    <w:p w:rsidR="00EA1F74" w:rsidRDefault="00EA1F74" w:rsidP="00625DA1">
      <w:pPr>
        <w:pStyle w:val="BodyText"/>
      </w:pPr>
    </w:p>
    <w:p w:rsidR="00B60585" w:rsidRDefault="00B60585">
      <w:pPr>
        <w:rPr>
          <w:b/>
          <w:i/>
          <w:color w:val="4472C4"/>
          <w:sz w:val="24"/>
        </w:rPr>
      </w:pPr>
      <w:r>
        <w:rPr>
          <w:b/>
          <w:i/>
          <w:color w:val="4472C4"/>
          <w:sz w:val="24"/>
        </w:rPr>
        <w:br w:type="page"/>
      </w:r>
    </w:p>
    <w:p w:rsidR="00EA1F74" w:rsidRDefault="00FC1CE8">
      <w:pPr>
        <w:ind w:left="733"/>
        <w:rPr>
          <w:b/>
          <w:i/>
          <w:sz w:val="24"/>
        </w:rPr>
      </w:pPr>
      <w:r>
        <w:rPr>
          <w:b/>
          <w:i/>
          <w:color w:val="4472C4"/>
          <w:sz w:val="24"/>
        </w:rPr>
        <w:t>Median age at death by gender</w:t>
      </w:r>
    </w:p>
    <w:p w:rsidR="00EA1F74" w:rsidRDefault="00FC1CE8" w:rsidP="00625DA1">
      <w:pPr>
        <w:pStyle w:val="BodyText"/>
      </w:pPr>
      <w:r>
        <w:t>Of the two reports that discussed median age at death by gender, findings were inconsistent: The VIC 17-18 report found that women in their sample lived, on average, 2 years longer than men (54 years versus 52 years). However, this pattern was reversed in the QLD 09-14 report, where women in the sample lived, on average, 4 years less than men (49 versus 53 years). In both cases, the gender gap in median age of death appears somewhat less substantial than the five years reported in the general population (ABS, 2016).</w:t>
      </w:r>
    </w:p>
    <w:p w:rsidR="00EA1F74" w:rsidRDefault="00EA1F74">
      <w:pPr>
        <w:spacing w:line="360" w:lineRule="auto"/>
        <w:sectPr w:rsidR="00EA1F74" w:rsidSect="00FA5D6D">
          <w:pgSz w:w="11900" w:h="16840"/>
          <w:pgMar w:top="1600" w:right="260" w:bottom="1300" w:left="140" w:header="0" w:footer="567" w:gutter="0"/>
          <w:cols w:space="720"/>
          <w:docGrid w:linePitch="299"/>
        </w:sectPr>
      </w:pPr>
    </w:p>
    <w:p w:rsidR="00EA1F74" w:rsidRDefault="00EA1F74" w:rsidP="00625DA1">
      <w:pPr>
        <w:pStyle w:val="BodyText"/>
      </w:pPr>
    </w:p>
    <w:p w:rsidR="00EA1F74" w:rsidRDefault="00FC1CE8">
      <w:pPr>
        <w:pStyle w:val="Heading4"/>
        <w:spacing w:before="93"/>
      </w:pPr>
      <w:bookmarkStart w:id="17" w:name="_TOC_250048"/>
      <w:bookmarkEnd w:id="17"/>
      <w:r>
        <w:rPr>
          <w:color w:val="4472C4"/>
        </w:rPr>
        <w:t>Cultural status</w:t>
      </w:r>
    </w:p>
    <w:p w:rsidR="00EA1F74" w:rsidRDefault="00FC1CE8" w:rsidP="00625DA1">
      <w:pPr>
        <w:pStyle w:val="BodyText"/>
      </w:pPr>
      <w:r>
        <w:t xml:space="preserve">The proportion of deaths that involved people of Aboriginal or Torres Strait Islander Origin (ATSI) varied across reports from 0% in the VIC 17-18 sample, to 11% in the QLD 09-14 sample. The proportion of deaths of people with Culturally and Linguistically Diverse backgrounds varied from 5% (in the 2016-2017 Disability Services sample within the </w:t>
      </w:r>
      <w:r>
        <w:rPr>
          <w:spacing w:val="-5"/>
        </w:rPr>
        <w:t xml:space="preserve">NSW </w:t>
      </w:r>
      <w:r>
        <w:t>14-17 report) to 20% (in the 2016-2017 assisted boarding house sample within the NSW 14-17 report). Unfortunately, no report analysed cause of death, disability type or any other factor by cultural status, so we are unable to comment on any death trends or risk factors specific to these</w:t>
      </w:r>
      <w:r>
        <w:rPr>
          <w:spacing w:val="-2"/>
        </w:rPr>
        <w:t xml:space="preserve"> </w:t>
      </w:r>
      <w:r>
        <w:t>populations.</w:t>
      </w:r>
    </w:p>
    <w:p w:rsidR="00EA1F74" w:rsidRDefault="00FC1CE8" w:rsidP="00625DA1">
      <w:pPr>
        <w:pStyle w:val="BodyText"/>
      </w:pPr>
      <w:r>
        <w:t>Table 7: Cohort demographics</w:t>
      </w:r>
    </w:p>
    <w:tbl>
      <w:tblPr>
        <w:tblW w:w="0" w:type="auto"/>
        <w:tblInd w:w="34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710"/>
        <w:gridCol w:w="1416"/>
        <w:gridCol w:w="2270"/>
        <w:gridCol w:w="1982"/>
        <w:gridCol w:w="3542"/>
      </w:tblGrid>
      <w:tr w:rsidR="00EA1F74">
        <w:trPr>
          <w:trHeight w:val="579"/>
        </w:trPr>
        <w:tc>
          <w:tcPr>
            <w:tcW w:w="960" w:type="dxa"/>
            <w:tcBorders>
              <w:bottom w:val="single" w:sz="18" w:space="0" w:color="A5A5A5"/>
            </w:tcBorders>
          </w:tcPr>
          <w:p w:rsidR="00EA1F74" w:rsidRDefault="00FC1CE8">
            <w:pPr>
              <w:pStyle w:val="TableParagraph"/>
              <w:spacing w:before="3" w:line="252" w:lineRule="auto"/>
              <w:ind w:left="110" w:right="211"/>
              <w:rPr>
                <w:sz w:val="19"/>
              </w:rPr>
            </w:pPr>
            <w:r>
              <w:rPr>
                <w:w w:val="105"/>
                <w:sz w:val="19"/>
              </w:rPr>
              <w:t>Report ID</w:t>
            </w:r>
          </w:p>
        </w:tc>
        <w:tc>
          <w:tcPr>
            <w:tcW w:w="710" w:type="dxa"/>
            <w:tcBorders>
              <w:bottom w:val="single" w:sz="18" w:space="0" w:color="A5A5A5"/>
            </w:tcBorders>
          </w:tcPr>
          <w:p w:rsidR="00EA1F74" w:rsidRDefault="00FC1CE8">
            <w:pPr>
              <w:pStyle w:val="TableParagraph"/>
              <w:spacing w:before="3"/>
              <w:ind w:left="105"/>
              <w:rPr>
                <w:sz w:val="19"/>
              </w:rPr>
            </w:pPr>
            <w:r>
              <w:rPr>
                <w:w w:val="103"/>
                <w:sz w:val="19"/>
              </w:rPr>
              <w:t>N</w:t>
            </w:r>
          </w:p>
        </w:tc>
        <w:tc>
          <w:tcPr>
            <w:tcW w:w="1416" w:type="dxa"/>
            <w:tcBorders>
              <w:bottom w:val="single" w:sz="18" w:space="0" w:color="A5A5A5"/>
            </w:tcBorders>
          </w:tcPr>
          <w:p w:rsidR="00EA1F74" w:rsidRDefault="00FC1CE8">
            <w:pPr>
              <w:pStyle w:val="TableParagraph"/>
              <w:spacing w:before="3"/>
              <w:ind w:left="105"/>
              <w:rPr>
                <w:sz w:val="19"/>
              </w:rPr>
            </w:pPr>
            <w:r>
              <w:rPr>
                <w:w w:val="105"/>
                <w:sz w:val="19"/>
              </w:rPr>
              <w:t>Gender</w:t>
            </w:r>
          </w:p>
        </w:tc>
        <w:tc>
          <w:tcPr>
            <w:tcW w:w="2270" w:type="dxa"/>
            <w:tcBorders>
              <w:bottom w:val="single" w:sz="18" w:space="0" w:color="A5A5A5"/>
            </w:tcBorders>
          </w:tcPr>
          <w:p w:rsidR="00EA1F74" w:rsidRDefault="00FC1CE8">
            <w:pPr>
              <w:pStyle w:val="TableParagraph"/>
              <w:spacing w:before="3"/>
              <w:ind w:left="105"/>
              <w:rPr>
                <w:sz w:val="19"/>
              </w:rPr>
            </w:pPr>
            <w:r>
              <w:rPr>
                <w:w w:val="105"/>
                <w:sz w:val="19"/>
              </w:rPr>
              <w:t>Age at death</w:t>
            </w:r>
          </w:p>
        </w:tc>
        <w:tc>
          <w:tcPr>
            <w:tcW w:w="1982" w:type="dxa"/>
            <w:tcBorders>
              <w:bottom w:val="single" w:sz="18" w:space="0" w:color="A5A5A5"/>
            </w:tcBorders>
          </w:tcPr>
          <w:p w:rsidR="00EA1F74" w:rsidRDefault="00FC1CE8">
            <w:pPr>
              <w:pStyle w:val="TableParagraph"/>
              <w:spacing w:before="3"/>
              <w:ind w:left="105"/>
              <w:rPr>
                <w:sz w:val="19"/>
              </w:rPr>
            </w:pPr>
            <w:r>
              <w:rPr>
                <w:w w:val="105"/>
                <w:sz w:val="19"/>
              </w:rPr>
              <w:t>Cultural</w:t>
            </w:r>
          </w:p>
          <w:p w:rsidR="00EA1F74" w:rsidRDefault="00FC1CE8">
            <w:pPr>
              <w:pStyle w:val="TableParagraph"/>
              <w:spacing w:before="75"/>
              <w:ind w:left="105"/>
              <w:rPr>
                <w:sz w:val="19"/>
              </w:rPr>
            </w:pPr>
            <w:r>
              <w:rPr>
                <w:w w:val="105"/>
                <w:sz w:val="19"/>
              </w:rPr>
              <w:t>Status</w:t>
            </w:r>
          </w:p>
        </w:tc>
        <w:tc>
          <w:tcPr>
            <w:tcW w:w="3542" w:type="dxa"/>
            <w:tcBorders>
              <w:bottom w:val="single" w:sz="18" w:space="0" w:color="A5A5A5"/>
            </w:tcBorders>
          </w:tcPr>
          <w:p w:rsidR="00EA1F74" w:rsidRDefault="00FC1CE8">
            <w:pPr>
              <w:pStyle w:val="TableParagraph"/>
              <w:spacing w:before="3" w:line="252" w:lineRule="auto"/>
              <w:ind w:left="106" w:right="457"/>
              <w:rPr>
                <w:sz w:val="19"/>
              </w:rPr>
            </w:pPr>
            <w:r>
              <w:rPr>
                <w:w w:val="105"/>
                <w:sz w:val="19"/>
              </w:rPr>
              <w:t>Comparisons provided to state or national statistics where provided</w:t>
            </w:r>
          </w:p>
        </w:tc>
      </w:tr>
      <w:tr w:rsidR="00EA1F74" w:rsidTr="00B0036C">
        <w:trPr>
          <w:trHeight w:val="3070"/>
        </w:trPr>
        <w:tc>
          <w:tcPr>
            <w:tcW w:w="960" w:type="dxa"/>
            <w:tcBorders>
              <w:top w:val="single" w:sz="18" w:space="0" w:color="A5A5A5"/>
            </w:tcBorders>
            <w:shd w:val="clear" w:color="auto" w:fill="F2F2F2" w:themeFill="background1" w:themeFillShade="F2"/>
          </w:tcPr>
          <w:p w:rsidR="00EA1F74" w:rsidRDefault="00FC1CE8">
            <w:pPr>
              <w:pStyle w:val="TableParagraph"/>
              <w:spacing w:before="8" w:line="316" w:lineRule="auto"/>
              <w:ind w:left="110" w:right="316"/>
              <w:rPr>
                <w:b/>
                <w:sz w:val="19"/>
              </w:rPr>
            </w:pPr>
            <w:r>
              <w:rPr>
                <w:b/>
                <w:w w:val="105"/>
                <w:sz w:val="19"/>
              </w:rPr>
              <w:t>VIC 17-18</w:t>
            </w:r>
          </w:p>
        </w:tc>
        <w:tc>
          <w:tcPr>
            <w:tcW w:w="710" w:type="dxa"/>
            <w:tcBorders>
              <w:top w:val="single" w:sz="18" w:space="0" w:color="A5A5A5"/>
            </w:tcBorders>
            <w:shd w:val="clear" w:color="auto" w:fill="F2F2F2" w:themeFill="background1" w:themeFillShade="F2"/>
          </w:tcPr>
          <w:p w:rsidR="00EA1F74" w:rsidRDefault="00FC1CE8">
            <w:pPr>
              <w:pStyle w:val="TableParagraph"/>
              <w:spacing w:before="8"/>
              <w:ind w:left="105"/>
              <w:rPr>
                <w:sz w:val="19"/>
              </w:rPr>
            </w:pPr>
            <w:r>
              <w:rPr>
                <w:w w:val="105"/>
                <w:sz w:val="19"/>
              </w:rPr>
              <w:t>88</w:t>
            </w:r>
          </w:p>
        </w:tc>
        <w:tc>
          <w:tcPr>
            <w:tcW w:w="1416" w:type="dxa"/>
            <w:tcBorders>
              <w:top w:val="single" w:sz="18" w:space="0" w:color="A5A5A5"/>
            </w:tcBorders>
            <w:shd w:val="clear" w:color="auto" w:fill="F2F2F2" w:themeFill="background1" w:themeFillShade="F2"/>
          </w:tcPr>
          <w:p w:rsidR="00EA1F74" w:rsidRDefault="00FC1CE8">
            <w:pPr>
              <w:pStyle w:val="TableParagraph"/>
              <w:spacing w:before="8"/>
              <w:ind w:left="105"/>
              <w:rPr>
                <w:sz w:val="19"/>
              </w:rPr>
            </w:pPr>
            <w:r>
              <w:rPr>
                <w:w w:val="105"/>
                <w:sz w:val="19"/>
              </w:rPr>
              <w:t>Male: 59%</w:t>
            </w:r>
          </w:p>
          <w:p w:rsidR="00EA1F74" w:rsidRDefault="00EA1F74">
            <w:pPr>
              <w:pStyle w:val="TableParagraph"/>
              <w:spacing w:before="1"/>
              <w:rPr>
                <w:sz w:val="31"/>
              </w:rPr>
            </w:pPr>
          </w:p>
          <w:p w:rsidR="00EA1F74" w:rsidRDefault="00FC1CE8">
            <w:pPr>
              <w:pStyle w:val="TableParagraph"/>
              <w:spacing w:line="321" w:lineRule="auto"/>
              <w:ind w:left="105" w:right="550"/>
              <w:rPr>
                <w:sz w:val="19"/>
              </w:rPr>
            </w:pPr>
            <w:r>
              <w:rPr>
                <w:w w:val="105"/>
                <w:sz w:val="19"/>
              </w:rPr>
              <w:t>Female: 40%</w:t>
            </w:r>
          </w:p>
          <w:p w:rsidR="00EA1F74" w:rsidRDefault="00EA1F74">
            <w:pPr>
              <w:pStyle w:val="TableParagraph"/>
              <w:rPr>
                <w:sz w:val="25"/>
              </w:rPr>
            </w:pPr>
          </w:p>
          <w:p w:rsidR="00EA1F74" w:rsidRDefault="00FC1CE8">
            <w:pPr>
              <w:pStyle w:val="TableParagraph"/>
              <w:spacing w:line="252" w:lineRule="auto"/>
              <w:ind w:left="105" w:right="250"/>
              <w:rPr>
                <w:sz w:val="19"/>
              </w:rPr>
            </w:pPr>
            <w:r>
              <w:rPr>
                <w:w w:val="105"/>
                <w:sz w:val="19"/>
              </w:rPr>
              <w:t>Trans- gender: 1%</w:t>
            </w:r>
          </w:p>
        </w:tc>
        <w:tc>
          <w:tcPr>
            <w:tcW w:w="2270" w:type="dxa"/>
            <w:tcBorders>
              <w:top w:val="single" w:sz="18" w:space="0" w:color="A5A5A5"/>
            </w:tcBorders>
            <w:shd w:val="clear" w:color="auto" w:fill="F2F2F2" w:themeFill="background1" w:themeFillShade="F2"/>
          </w:tcPr>
          <w:p w:rsidR="00EA1F74" w:rsidRDefault="00FC1CE8">
            <w:pPr>
              <w:pStyle w:val="TableParagraph"/>
              <w:spacing w:before="8"/>
              <w:ind w:left="105"/>
              <w:rPr>
                <w:sz w:val="19"/>
              </w:rPr>
            </w:pPr>
            <w:r>
              <w:rPr>
                <w:i/>
                <w:w w:val="105"/>
                <w:sz w:val="19"/>
              </w:rPr>
              <w:t xml:space="preserve">Range: </w:t>
            </w:r>
            <w:r>
              <w:rPr>
                <w:w w:val="105"/>
                <w:sz w:val="19"/>
              </w:rPr>
              <w:t>10-78 yrs</w:t>
            </w:r>
          </w:p>
          <w:p w:rsidR="00EA1F74" w:rsidRDefault="00EA1F74">
            <w:pPr>
              <w:pStyle w:val="TableParagraph"/>
              <w:spacing w:before="1"/>
              <w:rPr>
                <w:sz w:val="31"/>
              </w:rPr>
            </w:pPr>
          </w:p>
          <w:p w:rsidR="00EA1F74" w:rsidRDefault="00FC1CE8">
            <w:pPr>
              <w:pStyle w:val="TableParagraph"/>
              <w:spacing w:line="252" w:lineRule="auto"/>
              <w:ind w:left="105" w:right="428"/>
              <w:rPr>
                <w:sz w:val="19"/>
              </w:rPr>
            </w:pPr>
            <w:r>
              <w:rPr>
                <w:i/>
                <w:w w:val="105"/>
                <w:sz w:val="19"/>
              </w:rPr>
              <w:t xml:space="preserve">Median age </w:t>
            </w:r>
            <w:r>
              <w:rPr>
                <w:w w:val="105"/>
                <w:sz w:val="19"/>
              </w:rPr>
              <w:t>(whole sample): not stated</w:t>
            </w:r>
          </w:p>
          <w:p w:rsidR="00EA1F74" w:rsidRDefault="00EA1F74">
            <w:pPr>
              <w:pStyle w:val="TableParagraph"/>
              <w:spacing w:before="7"/>
              <w:rPr>
                <w:sz w:val="30"/>
              </w:rPr>
            </w:pPr>
          </w:p>
          <w:p w:rsidR="00EA1F74" w:rsidRDefault="00FC1CE8">
            <w:pPr>
              <w:pStyle w:val="TableParagraph"/>
              <w:spacing w:line="252" w:lineRule="auto"/>
              <w:ind w:left="105" w:right="749"/>
              <w:rPr>
                <w:sz w:val="19"/>
              </w:rPr>
            </w:pPr>
            <w:r>
              <w:rPr>
                <w:i/>
                <w:w w:val="105"/>
                <w:sz w:val="19"/>
              </w:rPr>
              <w:t xml:space="preserve">Median age </w:t>
            </w:r>
            <w:r>
              <w:rPr>
                <w:w w:val="105"/>
                <w:sz w:val="19"/>
              </w:rPr>
              <w:t>(by gender):</w:t>
            </w:r>
          </w:p>
          <w:p w:rsidR="00EA1F74" w:rsidRDefault="00FC1CE8">
            <w:pPr>
              <w:pStyle w:val="TableParagraph"/>
              <w:spacing w:before="60" w:line="321" w:lineRule="auto"/>
              <w:ind w:left="105" w:right="386"/>
              <w:rPr>
                <w:sz w:val="19"/>
              </w:rPr>
            </w:pPr>
            <w:r>
              <w:rPr>
                <w:w w:val="105"/>
                <w:sz w:val="19"/>
              </w:rPr>
              <w:t>52 years for men 54 years for</w:t>
            </w:r>
            <w:r>
              <w:rPr>
                <w:spacing w:val="-5"/>
                <w:w w:val="105"/>
                <w:sz w:val="19"/>
              </w:rPr>
              <w:t xml:space="preserve"> </w:t>
            </w:r>
            <w:r>
              <w:rPr>
                <w:w w:val="105"/>
                <w:sz w:val="19"/>
              </w:rPr>
              <w:t>women</w:t>
            </w:r>
          </w:p>
        </w:tc>
        <w:tc>
          <w:tcPr>
            <w:tcW w:w="1982" w:type="dxa"/>
            <w:tcBorders>
              <w:top w:val="single" w:sz="18" w:space="0" w:color="A5A5A5"/>
            </w:tcBorders>
            <w:shd w:val="clear" w:color="auto" w:fill="F2F2F2" w:themeFill="background1" w:themeFillShade="F2"/>
          </w:tcPr>
          <w:p w:rsidR="00EA1F74" w:rsidRDefault="00FC1CE8">
            <w:pPr>
              <w:pStyle w:val="TableParagraph"/>
              <w:spacing w:before="8"/>
              <w:ind w:left="105"/>
              <w:rPr>
                <w:sz w:val="19"/>
              </w:rPr>
            </w:pPr>
            <w:r>
              <w:rPr>
                <w:w w:val="105"/>
                <w:sz w:val="19"/>
              </w:rPr>
              <w:t>ATSI: 0%</w:t>
            </w:r>
          </w:p>
          <w:p w:rsidR="00EA1F74" w:rsidRDefault="00EA1F74">
            <w:pPr>
              <w:pStyle w:val="TableParagraph"/>
              <w:spacing w:before="1"/>
              <w:rPr>
                <w:sz w:val="31"/>
              </w:rPr>
            </w:pPr>
          </w:p>
          <w:p w:rsidR="00EA1F74" w:rsidRDefault="00FC1CE8">
            <w:pPr>
              <w:pStyle w:val="TableParagraph"/>
              <w:ind w:left="105"/>
              <w:rPr>
                <w:sz w:val="19"/>
              </w:rPr>
            </w:pPr>
            <w:r>
              <w:rPr>
                <w:w w:val="105"/>
                <w:sz w:val="19"/>
              </w:rPr>
              <w:t>CALD: 14%</w:t>
            </w:r>
          </w:p>
        </w:tc>
        <w:tc>
          <w:tcPr>
            <w:tcW w:w="3542" w:type="dxa"/>
            <w:tcBorders>
              <w:top w:val="single" w:sz="18" w:space="0" w:color="A5A5A5"/>
            </w:tcBorders>
            <w:shd w:val="clear" w:color="auto" w:fill="F2F2F2" w:themeFill="background1" w:themeFillShade="F2"/>
          </w:tcPr>
          <w:p w:rsidR="00EA1F74" w:rsidRDefault="00FC1CE8">
            <w:pPr>
              <w:pStyle w:val="TableParagraph"/>
              <w:spacing w:before="8" w:line="252" w:lineRule="auto"/>
              <w:ind w:left="106" w:right="179"/>
              <w:rPr>
                <w:sz w:val="19"/>
              </w:rPr>
            </w:pPr>
            <w:r>
              <w:rPr>
                <w:w w:val="105"/>
                <w:sz w:val="19"/>
              </w:rPr>
              <w:t>In 2016, the median age of death for whole Victorian population was 80.3 years for males; 85.5 years for females.</w:t>
            </w:r>
          </w:p>
          <w:p w:rsidR="00EA1F74" w:rsidRDefault="00EA1F74">
            <w:pPr>
              <w:pStyle w:val="TableParagraph"/>
              <w:spacing w:before="4"/>
              <w:rPr>
                <w:sz w:val="30"/>
              </w:rPr>
            </w:pPr>
          </w:p>
          <w:p w:rsidR="00EA1F74" w:rsidRDefault="00FC1CE8">
            <w:pPr>
              <w:pStyle w:val="TableParagraph"/>
              <w:spacing w:line="252" w:lineRule="auto"/>
              <w:ind w:left="106" w:right="279"/>
              <w:rPr>
                <w:i/>
                <w:sz w:val="19"/>
              </w:rPr>
            </w:pPr>
            <w:r>
              <w:rPr>
                <w:i/>
                <w:w w:val="105"/>
                <w:sz w:val="19"/>
              </w:rPr>
              <w:t>“Our data indicates that people receiving disability services in Victoria die younger compared with the general Australian population; Based on median age, about 29 years younger.”</w:t>
            </w:r>
          </w:p>
        </w:tc>
      </w:tr>
      <w:tr w:rsidR="00EA1F74">
        <w:trPr>
          <w:trHeight w:val="580"/>
        </w:trPr>
        <w:tc>
          <w:tcPr>
            <w:tcW w:w="960"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5"/>
              <w:ind w:left="110"/>
              <w:rPr>
                <w:b/>
                <w:sz w:val="19"/>
              </w:rPr>
            </w:pPr>
            <w:r>
              <w:rPr>
                <w:b/>
                <w:w w:val="105"/>
                <w:sz w:val="19"/>
              </w:rPr>
              <w:t>07-16</w:t>
            </w:r>
          </w:p>
        </w:tc>
        <w:tc>
          <w:tcPr>
            <w:tcW w:w="710" w:type="dxa"/>
          </w:tcPr>
          <w:p w:rsidR="00EA1F74" w:rsidRDefault="00FC1CE8">
            <w:pPr>
              <w:pStyle w:val="TableParagraph"/>
              <w:spacing w:before="3"/>
              <w:ind w:left="105"/>
              <w:rPr>
                <w:sz w:val="19"/>
              </w:rPr>
            </w:pPr>
            <w:r>
              <w:rPr>
                <w:w w:val="103"/>
                <w:sz w:val="19"/>
              </w:rPr>
              <w:t>7</w:t>
            </w:r>
          </w:p>
        </w:tc>
        <w:tc>
          <w:tcPr>
            <w:tcW w:w="1416" w:type="dxa"/>
          </w:tcPr>
          <w:p w:rsidR="00EA1F74" w:rsidRDefault="00FC1CE8">
            <w:pPr>
              <w:pStyle w:val="TableParagraph"/>
              <w:spacing w:before="3"/>
              <w:ind w:left="105"/>
              <w:rPr>
                <w:sz w:val="19"/>
              </w:rPr>
            </w:pPr>
            <w:r>
              <w:rPr>
                <w:w w:val="103"/>
                <w:sz w:val="19"/>
              </w:rPr>
              <w:t>-</w:t>
            </w:r>
          </w:p>
        </w:tc>
        <w:tc>
          <w:tcPr>
            <w:tcW w:w="2270" w:type="dxa"/>
          </w:tcPr>
          <w:p w:rsidR="00EA1F74" w:rsidRDefault="00FC1CE8">
            <w:pPr>
              <w:pStyle w:val="TableParagraph"/>
              <w:spacing w:before="3"/>
              <w:ind w:left="105"/>
              <w:rPr>
                <w:sz w:val="19"/>
              </w:rPr>
            </w:pPr>
            <w:r>
              <w:rPr>
                <w:w w:val="103"/>
                <w:sz w:val="19"/>
              </w:rPr>
              <w:t>-</w:t>
            </w:r>
          </w:p>
        </w:tc>
        <w:tc>
          <w:tcPr>
            <w:tcW w:w="1982" w:type="dxa"/>
          </w:tcPr>
          <w:p w:rsidR="00EA1F74" w:rsidRDefault="00FC1CE8">
            <w:pPr>
              <w:pStyle w:val="TableParagraph"/>
              <w:spacing w:before="3"/>
              <w:ind w:left="105"/>
              <w:rPr>
                <w:sz w:val="19"/>
              </w:rPr>
            </w:pPr>
            <w:r>
              <w:rPr>
                <w:w w:val="103"/>
                <w:sz w:val="19"/>
              </w:rPr>
              <w:t>-</w:t>
            </w:r>
          </w:p>
        </w:tc>
        <w:tc>
          <w:tcPr>
            <w:tcW w:w="3542" w:type="dxa"/>
          </w:tcPr>
          <w:p w:rsidR="00EA1F74" w:rsidRDefault="00FC1CE8">
            <w:pPr>
              <w:pStyle w:val="TableParagraph"/>
              <w:spacing w:before="3"/>
              <w:ind w:left="106"/>
              <w:rPr>
                <w:sz w:val="19"/>
              </w:rPr>
            </w:pPr>
            <w:r>
              <w:rPr>
                <w:w w:val="103"/>
                <w:sz w:val="19"/>
              </w:rPr>
              <w:t>-</w:t>
            </w:r>
          </w:p>
        </w:tc>
      </w:tr>
      <w:tr w:rsidR="00EA1F74" w:rsidTr="00B0036C">
        <w:trPr>
          <w:trHeight w:val="1040"/>
        </w:trPr>
        <w:tc>
          <w:tcPr>
            <w:tcW w:w="960" w:type="dxa"/>
            <w:tcBorders>
              <w:bottom w:val="nil"/>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QLD 09-14</w:t>
            </w:r>
          </w:p>
        </w:tc>
        <w:tc>
          <w:tcPr>
            <w:tcW w:w="710" w:type="dxa"/>
            <w:tcBorders>
              <w:bottom w:val="nil"/>
            </w:tcBorders>
            <w:shd w:val="clear" w:color="auto" w:fill="F2F2F2" w:themeFill="background1" w:themeFillShade="F2"/>
          </w:tcPr>
          <w:p w:rsidR="00EA1F74" w:rsidRDefault="00FC1CE8">
            <w:pPr>
              <w:pStyle w:val="TableParagraph"/>
              <w:spacing w:before="3"/>
              <w:ind w:left="105"/>
              <w:rPr>
                <w:sz w:val="19"/>
              </w:rPr>
            </w:pPr>
            <w:r>
              <w:rPr>
                <w:w w:val="105"/>
                <w:sz w:val="19"/>
              </w:rPr>
              <w:t>73</w:t>
            </w:r>
          </w:p>
        </w:tc>
        <w:tc>
          <w:tcPr>
            <w:tcW w:w="1416" w:type="dxa"/>
            <w:tcBorders>
              <w:bottom w:val="nil"/>
            </w:tcBorders>
            <w:shd w:val="clear" w:color="auto" w:fill="F2F2F2" w:themeFill="background1" w:themeFillShade="F2"/>
          </w:tcPr>
          <w:p w:rsidR="00EA1F74" w:rsidRDefault="00FC1CE8">
            <w:pPr>
              <w:pStyle w:val="TableParagraph"/>
              <w:spacing w:before="3"/>
              <w:ind w:left="105"/>
              <w:rPr>
                <w:sz w:val="19"/>
              </w:rPr>
            </w:pPr>
            <w:r>
              <w:rPr>
                <w:w w:val="105"/>
                <w:sz w:val="19"/>
              </w:rPr>
              <w:t>Male: 70%</w:t>
            </w:r>
          </w:p>
          <w:p w:rsidR="00EA1F74" w:rsidRDefault="00EA1F74">
            <w:pPr>
              <w:pStyle w:val="TableParagraph"/>
              <w:spacing w:before="6"/>
              <w:rPr>
                <w:sz w:val="31"/>
              </w:rPr>
            </w:pPr>
          </w:p>
          <w:p w:rsidR="00EA1F74" w:rsidRDefault="00FC1CE8">
            <w:pPr>
              <w:pStyle w:val="TableParagraph"/>
              <w:ind w:left="105"/>
              <w:rPr>
                <w:sz w:val="19"/>
              </w:rPr>
            </w:pPr>
            <w:r>
              <w:rPr>
                <w:w w:val="105"/>
                <w:sz w:val="19"/>
              </w:rPr>
              <w:t>Female: 30%</w:t>
            </w:r>
          </w:p>
        </w:tc>
        <w:tc>
          <w:tcPr>
            <w:tcW w:w="2270" w:type="dxa"/>
            <w:tcBorders>
              <w:bottom w:val="nil"/>
            </w:tcBorders>
            <w:shd w:val="clear" w:color="auto" w:fill="F2F2F2" w:themeFill="background1" w:themeFillShade="F2"/>
          </w:tcPr>
          <w:p w:rsidR="00EA1F74" w:rsidRDefault="00FC1CE8">
            <w:pPr>
              <w:pStyle w:val="TableParagraph"/>
              <w:spacing w:before="3"/>
              <w:ind w:left="105"/>
              <w:rPr>
                <w:sz w:val="19"/>
              </w:rPr>
            </w:pPr>
            <w:r>
              <w:rPr>
                <w:i/>
                <w:w w:val="105"/>
                <w:sz w:val="19"/>
              </w:rPr>
              <w:t xml:space="preserve">Range: </w:t>
            </w:r>
            <w:r>
              <w:rPr>
                <w:w w:val="105"/>
                <w:sz w:val="19"/>
              </w:rPr>
              <w:t>21-81yrs</w:t>
            </w:r>
          </w:p>
          <w:p w:rsidR="00EA1F74" w:rsidRDefault="00EA1F74">
            <w:pPr>
              <w:pStyle w:val="TableParagraph"/>
              <w:spacing w:before="6"/>
              <w:rPr>
                <w:sz w:val="30"/>
              </w:rPr>
            </w:pPr>
          </w:p>
          <w:p w:rsidR="00EA1F74" w:rsidRDefault="00FC1CE8">
            <w:pPr>
              <w:pStyle w:val="TableParagraph"/>
              <w:spacing w:line="230" w:lineRule="atLeast"/>
              <w:ind w:left="105" w:right="439"/>
              <w:rPr>
                <w:sz w:val="19"/>
              </w:rPr>
            </w:pPr>
            <w:r>
              <w:rPr>
                <w:i/>
                <w:w w:val="105"/>
                <w:sz w:val="19"/>
              </w:rPr>
              <w:t xml:space="preserve">Median age </w:t>
            </w:r>
            <w:r>
              <w:rPr>
                <w:w w:val="105"/>
                <w:sz w:val="19"/>
              </w:rPr>
              <w:t>(whole sample): 51yrs</w:t>
            </w:r>
          </w:p>
        </w:tc>
        <w:tc>
          <w:tcPr>
            <w:tcW w:w="1982" w:type="dxa"/>
            <w:tcBorders>
              <w:bottom w:val="nil"/>
            </w:tcBorders>
            <w:shd w:val="clear" w:color="auto" w:fill="F2F2F2" w:themeFill="background1" w:themeFillShade="F2"/>
          </w:tcPr>
          <w:p w:rsidR="00EA1F74" w:rsidRDefault="00FC1CE8">
            <w:pPr>
              <w:pStyle w:val="TableParagraph"/>
              <w:spacing w:before="3"/>
              <w:ind w:left="105"/>
              <w:rPr>
                <w:sz w:val="19"/>
              </w:rPr>
            </w:pPr>
            <w:r>
              <w:rPr>
                <w:w w:val="105"/>
                <w:sz w:val="19"/>
              </w:rPr>
              <w:t>ATSI: 11%</w:t>
            </w:r>
          </w:p>
          <w:p w:rsidR="00EA1F74" w:rsidRDefault="00EA1F74">
            <w:pPr>
              <w:pStyle w:val="TableParagraph"/>
              <w:spacing w:before="6"/>
              <w:rPr>
                <w:sz w:val="30"/>
              </w:rPr>
            </w:pPr>
          </w:p>
          <w:p w:rsidR="00EA1F74" w:rsidRDefault="00FC1CE8">
            <w:pPr>
              <w:pStyle w:val="TableParagraph"/>
              <w:spacing w:line="230" w:lineRule="atLeast"/>
              <w:ind w:left="105" w:right="428"/>
              <w:rPr>
                <w:sz w:val="19"/>
              </w:rPr>
            </w:pPr>
            <w:r>
              <w:rPr>
                <w:w w:val="105"/>
                <w:sz w:val="19"/>
              </w:rPr>
              <w:t>Pacific Islander: 1%</w:t>
            </w:r>
          </w:p>
        </w:tc>
        <w:tc>
          <w:tcPr>
            <w:tcW w:w="3542" w:type="dxa"/>
            <w:tcBorders>
              <w:bottom w:val="nil"/>
            </w:tcBorders>
            <w:shd w:val="clear" w:color="auto" w:fill="F2F2F2" w:themeFill="background1" w:themeFillShade="F2"/>
          </w:tcPr>
          <w:p w:rsidR="00EA1F74" w:rsidRDefault="00FC1CE8">
            <w:pPr>
              <w:pStyle w:val="TableParagraph"/>
              <w:spacing w:before="3" w:line="252" w:lineRule="auto"/>
              <w:ind w:left="106" w:right="146"/>
              <w:rPr>
                <w:sz w:val="19"/>
              </w:rPr>
            </w:pPr>
            <w:r>
              <w:rPr>
                <w:w w:val="105"/>
                <w:sz w:val="19"/>
              </w:rPr>
              <w:t>Men in the sample noted to live approximately 25 years less than the general population.</w:t>
            </w:r>
          </w:p>
        </w:tc>
      </w:tr>
      <w:tr w:rsidR="00EA1F74" w:rsidTr="00B0036C">
        <w:trPr>
          <w:trHeight w:val="84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2270" w:type="dxa"/>
            <w:tcBorders>
              <w:top w:val="nil"/>
              <w:bottom w:val="nil"/>
            </w:tcBorders>
            <w:shd w:val="clear" w:color="auto" w:fill="F2F2F2" w:themeFill="background1" w:themeFillShade="F2"/>
          </w:tcPr>
          <w:p w:rsidR="00EA1F74" w:rsidRDefault="00EA1F74">
            <w:pPr>
              <w:pStyle w:val="TableParagraph"/>
              <w:spacing w:before="10"/>
              <w:rPr>
                <w:sz w:val="30"/>
              </w:rPr>
            </w:pPr>
          </w:p>
          <w:p w:rsidR="00EA1F74" w:rsidRDefault="00FC1CE8">
            <w:pPr>
              <w:pStyle w:val="TableParagraph"/>
              <w:spacing w:line="252" w:lineRule="auto"/>
              <w:ind w:left="105" w:right="749"/>
              <w:rPr>
                <w:sz w:val="19"/>
              </w:rPr>
            </w:pPr>
            <w:r>
              <w:rPr>
                <w:w w:val="105"/>
                <w:sz w:val="19"/>
              </w:rPr>
              <w:t>Median age (by gender):</w:t>
            </w:r>
          </w:p>
        </w:tc>
        <w:tc>
          <w:tcPr>
            <w:tcW w:w="1982"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3542" w:type="dxa"/>
            <w:tcBorders>
              <w:top w:val="nil"/>
              <w:bottom w:val="nil"/>
            </w:tcBorders>
            <w:shd w:val="clear" w:color="auto" w:fill="F2F2F2" w:themeFill="background1" w:themeFillShade="F2"/>
          </w:tcPr>
          <w:p w:rsidR="00EA1F74" w:rsidRDefault="00FC1CE8">
            <w:pPr>
              <w:pStyle w:val="TableParagraph"/>
              <w:spacing w:before="5" w:line="252" w:lineRule="auto"/>
              <w:ind w:left="106" w:right="146"/>
              <w:rPr>
                <w:sz w:val="19"/>
              </w:rPr>
            </w:pPr>
            <w:r>
              <w:rPr>
                <w:w w:val="105"/>
                <w:sz w:val="19"/>
              </w:rPr>
              <w:t>Women in the sample noted to live approximately 36 years less than the general population</w:t>
            </w:r>
          </w:p>
        </w:tc>
      </w:tr>
      <w:tr w:rsidR="00EA1F74" w:rsidTr="00B0036C">
        <w:trPr>
          <w:trHeight w:val="29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2270" w:type="dxa"/>
            <w:tcBorders>
              <w:top w:val="nil"/>
              <w:bottom w:val="nil"/>
            </w:tcBorders>
            <w:shd w:val="clear" w:color="auto" w:fill="F2F2F2" w:themeFill="background1" w:themeFillShade="F2"/>
          </w:tcPr>
          <w:p w:rsidR="00EA1F74" w:rsidRDefault="00FC1CE8">
            <w:pPr>
              <w:pStyle w:val="TableParagraph"/>
              <w:spacing w:before="34"/>
              <w:ind w:left="105"/>
              <w:rPr>
                <w:sz w:val="19"/>
              </w:rPr>
            </w:pPr>
            <w:r>
              <w:rPr>
                <w:w w:val="105"/>
                <w:sz w:val="19"/>
              </w:rPr>
              <w:t>53yrs for men</w:t>
            </w:r>
          </w:p>
        </w:tc>
        <w:tc>
          <w:tcPr>
            <w:tcW w:w="1982"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c>
          <w:tcPr>
            <w:tcW w:w="3542" w:type="dxa"/>
            <w:tcBorders>
              <w:top w:val="nil"/>
              <w:bottom w:val="nil"/>
            </w:tcBorders>
            <w:shd w:val="clear" w:color="auto" w:fill="F2F2F2" w:themeFill="background1" w:themeFillShade="F2"/>
          </w:tcPr>
          <w:p w:rsidR="00EA1F74" w:rsidRDefault="00EA1F74">
            <w:pPr>
              <w:pStyle w:val="TableParagraph"/>
              <w:rPr>
                <w:rFonts w:ascii="Times New Roman"/>
                <w:sz w:val="20"/>
              </w:rPr>
            </w:pPr>
          </w:p>
        </w:tc>
      </w:tr>
      <w:tr w:rsidR="00EA1F74" w:rsidTr="00B0036C">
        <w:trPr>
          <w:trHeight w:val="607"/>
        </w:trPr>
        <w:tc>
          <w:tcPr>
            <w:tcW w:w="960" w:type="dxa"/>
            <w:tcBorders>
              <w:top w:val="nil"/>
            </w:tcBorders>
            <w:shd w:val="clear" w:color="auto" w:fill="F2F2F2" w:themeFill="background1" w:themeFillShade="F2"/>
          </w:tcPr>
          <w:p w:rsidR="00EA1F74" w:rsidRDefault="00EA1F74">
            <w:pPr>
              <w:pStyle w:val="TableParagraph"/>
              <w:rPr>
                <w:rFonts w:ascii="Times New Roman"/>
                <w:sz w:val="20"/>
              </w:rPr>
            </w:pPr>
          </w:p>
        </w:tc>
        <w:tc>
          <w:tcPr>
            <w:tcW w:w="710" w:type="dxa"/>
            <w:tcBorders>
              <w:top w:val="nil"/>
            </w:tcBorders>
            <w:shd w:val="clear" w:color="auto" w:fill="F2F2F2" w:themeFill="background1" w:themeFillShade="F2"/>
          </w:tcPr>
          <w:p w:rsidR="00EA1F74" w:rsidRDefault="00EA1F74">
            <w:pPr>
              <w:pStyle w:val="TableParagraph"/>
              <w:rPr>
                <w:rFonts w:ascii="Times New Roman"/>
                <w:sz w:val="20"/>
              </w:rPr>
            </w:pPr>
          </w:p>
        </w:tc>
        <w:tc>
          <w:tcPr>
            <w:tcW w:w="1416" w:type="dxa"/>
            <w:tcBorders>
              <w:top w:val="nil"/>
            </w:tcBorders>
            <w:shd w:val="clear" w:color="auto" w:fill="F2F2F2" w:themeFill="background1" w:themeFillShade="F2"/>
          </w:tcPr>
          <w:p w:rsidR="00EA1F74" w:rsidRDefault="00EA1F74">
            <w:pPr>
              <w:pStyle w:val="TableParagraph"/>
              <w:rPr>
                <w:rFonts w:ascii="Times New Roman"/>
                <w:sz w:val="20"/>
              </w:rPr>
            </w:pPr>
          </w:p>
        </w:tc>
        <w:tc>
          <w:tcPr>
            <w:tcW w:w="2270" w:type="dxa"/>
            <w:tcBorders>
              <w:top w:val="nil"/>
            </w:tcBorders>
            <w:shd w:val="clear" w:color="auto" w:fill="F2F2F2" w:themeFill="background1" w:themeFillShade="F2"/>
          </w:tcPr>
          <w:p w:rsidR="00EA1F74" w:rsidRDefault="00FC1CE8">
            <w:pPr>
              <w:pStyle w:val="TableParagraph"/>
              <w:spacing w:before="36"/>
              <w:ind w:left="105"/>
              <w:rPr>
                <w:sz w:val="19"/>
              </w:rPr>
            </w:pPr>
            <w:r>
              <w:rPr>
                <w:w w:val="105"/>
                <w:sz w:val="19"/>
              </w:rPr>
              <w:t>49yrs for women</w:t>
            </w:r>
          </w:p>
        </w:tc>
        <w:tc>
          <w:tcPr>
            <w:tcW w:w="1982" w:type="dxa"/>
            <w:tcBorders>
              <w:top w:val="nil"/>
            </w:tcBorders>
            <w:shd w:val="clear" w:color="auto" w:fill="F2F2F2" w:themeFill="background1" w:themeFillShade="F2"/>
          </w:tcPr>
          <w:p w:rsidR="00EA1F74" w:rsidRDefault="00EA1F74">
            <w:pPr>
              <w:pStyle w:val="TableParagraph"/>
              <w:rPr>
                <w:rFonts w:ascii="Times New Roman"/>
                <w:sz w:val="20"/>
              </w:rPr>
            </w:pPr>
          </w:p>
        </w:tc>
        <w:tc>
          <w:tcPr>
            <w:tcW w:w="3542" w:type="dxa"/>
            <w:tcBorders>
              <w:top w:val="nil"/>
            </w:tcBorders>
            <w:shd w:val="clear" w:color="auto" w:fill="F2F2F2" w:themeFill="background1" w:themeFillShade="F2"/>
          </w:tcPr>
          <w:p w:rsidR="00EA1F74" w:rsidRDefault="00EA1F74">
            <w:pPr>
              <w:pStyle w:val="TableParagraph"/>
              <w:rPr>
                <w:rFonts w:ascii="Times New Roman"/>
                <w:sz w:val="20"/>
              </w:rPr>
            </w:pPr>
          </w:p>
        </w:tc>
      </w:tr>
      <w:tr w:rsidR="00EA1F74">
        <w:trPr>
          <w:trHeight w:val="1145"/>
        </w:trPr>
        <w:tc>
          <w:tcPr>
            <w:tcW w:w="960" w:type="dxa"/>
            <w:tcBorders>
              <w:bottom w:val="nil"/>
            </w:tcBorders>
          </w:tcPr>
          <w:p w:rsidR="00EA1F74" w:rsidRDefault="00FC1CE8">
            <w:pPr>
              <w:pStyle w:val="TableParagraph"/>
              <w:spacing w:before="8" w:line="316" w:lineRule="auto"/>
              <w:ind w:left="110" w:right="316"/>
              <w:rPr>
                <w:b/>
                <w:sz w:val="19"/>
              </w:rPr>
            </w:pPr>
            <w:r>
              <w:rPr>
                <w:b/>
                <w:w w:val="105"/>
                <w:sz w:val="19"/>
              </w:rPr>
              <w:t>NSW 12-13</w:t>
            </w:r>
          </w:p>
        </w:tc>
        <w:tc>
          <w:tcPr>
            <w:tcW w:w="710" w:type="dxa"/>
            <w:tcBorders>
              <w:bottom w:val="nil"/>
            </w:tcBorders>
          </w:tcPr>
          <w:p w:rsidR="00EA1F74" w:rsidRDefault="00FC1CE8">
            <w:pPr>
              <w:pStyle w:val="TableParagraph"/>
              <w:spacing w:before="8"/>
              <w:ind w:left="105"/>
              <w:rPr>
                <w:sz w:val="19"/>
              </w:rPr>
            </w:pPr>
            <w:r>
              <w:rPr>
                <w:w w:val="105"/>
                <w:sz w:val="19"/>
              </w:rPr>
              <w:t>239</w:t>
            </w:r>
          </w:p>
        </w:tc>
        <w:tc>
          <w:tcPr>
            <w:tcW w:w="1416" w:type="dxa"/>
            <w:tcBorders>
              <w:bottom w:val="nil"/>
            </w:tcBorders>
          </w:tcPr>
          <w:p w:rsidR="00EA1F74" w:rsidRDefault="00FC1CE8">
            <w:pPr>
              <w:pStyle w:val="TableParagraph"/>
              <w:spacing w:before="8" w:line="249" w:lineRule="auto"/>
              <w:ind w:left="105" w:right="346"/>
              <w:jc w:val="both"/>
              <w:rPr>
                <w:sz w:val="19"/>
              </w:rPr>
            </w:pPr>
            <w:r>
              <w:rPr>
                <w:b/>
                <w:w w:val="105"/>
                <w:sz w:val="19"/>
              </w:rPr>
              <w:t xml:space="preserve">Disability services: </w:t>
            </w:r>
            <w:r>
              <w:rPr>
                <w:w w:val="105"/>
                <w:sz w:val="19"/>
              </w:rPr>
              <w:t>Male: 56%</w:t>
            </w:r>
          </w:p>
          <w:p w:rsidR="00EA1F74" w:rsidRDefault="00FC1CE8">
            <w:pPr>
              <w:pStyle w:val="TableParagraph"/>
              <w:spacing w:before="67"/>
              <w:ind w:left="105"/>
              <w:jc w:val="both"/>
              <w:rPr>
                <w:sz w:val="19"/>
              </w:rPr>
            </w:pPr>
            <w:r>
              <w:rPr>
                <w:w w:val="105"/>
                <w:sz w:val="19"/>
              </w:rPr>
              <w:t>Female: 44%</w:t>
            </w:r>
          </w:p>
        </w:tc>
        <w:tc>
          <w:tcPr>
            <w:tcW w:w="2270" w:type="dxa"/>
            <w:vMerge w:val="restart"/>
          </w:tcPr>
          <w:p w:rsidR="00EA1F74" w:rsidRDefault="00FC1CE8">
            <w:pPr>
              <w:pStyle w:val="TableParagraph"/>
              <w:spacing w:before="8"/>
              <w:ind w:left="105"/>
              <w:rPr>
                <w:b/>
                <w:sz w:val="19"/>
              </w:rPr>
            </w:pPr>
            <w:r>
              <w:rPr>
                <w:b/>
                <w:w w:val="105"/>
                <w:sz w:val="19"/>
              </w:rPr>
              <w:t>Disability services</w:t>
            </w:r>
          </w:p>
          <w:p w:rsidR="00EA1F74" w:rsidRDefault="00FC1CE8">
            <w:pPr>
              <w:pStyle w:val="TableParagraph"/>
              <w:numPr>
                <w:ilvl w:val="0"/>
                <w:numId w:val="94"/>
              </w:numPr>
              <w:tabs>
                <w:tab w:val="left" w:pos="465"/>
                <w:tab w:val="left" w:pos="466"/>
              </w:tabs>
              <w:spacing w:before="71"/>
              <w:ind w:hanging="361"/>
              <w:rPr>
                <w:sz w:val="19"/>
              </w:rPr>
            </w:pPr>
            <w:r>
              <w:rPr>
                <w:i/>
                <w:w w:val="105"/>
                <w:sz w:val="19"/>
              </w:rPr>
              <w:t>Range:</w:t>
            </w:r>
            <w:r>
              <w:rPr>
                <w:i/>
                <w:spacing w:val="-1"/>
                <w:w w:val="105"/>
                <w:sz w:val="19"/>
              </w:rPr>
              <w:t xml:space="preserve"> </w:t>
            </w:r>
            <w:r>
              <w:rPr>
                <w:w w:val="105"/>
                <w:sz w:val="19"/>
              </w:rPr>
              <w:t>18-87yrs</w:t>
            </w:r>
          </w:p>
          <w:p w:rsidR="00EA1F74" w:rsidRDefault="00FC1CE8">
            <w:pPr>
              <w:pStyle w:val="TableParagraph"/>
              <w:numPr>
                <w:ilvl w:val="0"/>
                <w:numId w:val="94"/>
              </w:numPr>
              <w:tabs>
                <w:tab w:val="left" w:pos="465"/>
                <w:tab w:val="left" w:pos="466"/>
              </w:tabs>
              <w:spacing w:before="12" w:line="244" w:lineRule="auto"/>
              <w:ind w:right="93"/>
              <w:rPr>
                <w:sz w:val="19"/>
              </w:rPr>
            </w:pPr>
            <w:r>
              <w:rPr>
                <w:i/>
                <w:w w:val="105"/>
                <w:sz w:val="19"/>
              </w:rPr>
              <w:t xml:space="preserve">Median age </w:t>
            </w:r>
            <w:r>
              <w:rPr>
                <w:w w:val="105"/>
                <w:sz w:val="19"/>
              </w:rPr>
              <w:t>(whole sample):</w:t>
            </w:r>
            <w:r>
              <w:rPr>
                <w:spacing w:val="-1"/>
                <w:w w:val="105"/>
                <w:sz w:val="19"/>
              </w:rPr>
              <w:t xml:space="preserve"> </w:t>
            </w:r>
            <w:r>
              <w:rPr>
                <w:w w:val="105"/>
                <w:sz w:val="19"/>
              </w:rPr>
              <w:t>55yrs</w:t>
            </w:r>
          </w:p>
          <w:p w:rsidR="00EA1F74" w:rsidRDefault="00FC1CE8">
            <w:pPr>
              <w:pStyle w:val="TableParagraph"/>
              <w:numPr>
                <w:ilvl w:val="0"/>
                <w:numId w:val="94"/>
              </w:numPr>
              <w:tabs>
                <w:tab w:val="left" w:pos="465"/>
                <w:tab w:val="left" w:pos="466"/>
              </w:tabs>
              <w:spacing w:before="11" w:line="249" w:lineRule="auto"/>
              <w:ind w:right="105"/>
              <w:rPr>
                <w:sz w:val="19"/>
              </w:rPr>
            </w:pPr>
            <w:r>
              <w:rPr>
                <w:w w:val="105"/>
                <w:sz w:val="19"/>
              </w:rPr>
              <w:t>Median age (by gender): not</w:t>
            </w:r>
            <w:r>
              <w:rPr>
                <w:spacing w:val="-7"/>
                <w:w w:val="105"/>
                <w:sz w:val="19"/>
              </w:rPr>
              <w:t xml:space="preserve"> </w:t>
            </w:r>
            <w:r>
              <w:rPr>
                <w:w w:val="105"/>
                <w:sz w:val="19"/>
              </w:rPr>
              <w:t>stated</w:t>
            </w:r>
          </w:p>
          <w:p w:rsidR="00EA1F74" w:rsidRDefault="00EA1F74">
            <w:pPr>
              <w:pStyle w:val="TableParagraph"/>
              <w:spacing w:before="4"/>
              <w:rPr>
                <w:sz w:val="25"/>
              </w:rPr>
            </w:pPr>
          </w:p>
          <w:p w:rsidR="00EA1F74" w:rsidRDefault="00FC1CE8">
            <w:pPr>
              <w:pStyle w:val="TableParagraph"/>
              <w:spacing w:line="206" w:lineRule="exact"/>
              <w:ind w:left="105"/>
              <w:rPr>
                <w:b/>
                <w:sz w:val="19"/>
              </w:rPr>
            </w:pPr>
            <w:r>
              <w:rPr>
                <w:b/>
                <w:w w:val="105"/>
                <w:sz w:val="19"/>
              </w:rPr>
              <w:t>Assisted boarding</w:t>
            </w:r>
          </w:p>
        </w:tc>
        <w:tc>
          <w:tcPr>
            <w:tcW w:w="1982" w:type="dxa"/>
            <w:tcBorders>
              <w:bottom w:val="nil"/>
            </w:tcBorders>
          </w:tcPr>
          <w:p w:rsidR="00EA1F74" w:rsidRDefault="00FC1CE8">
            <w:pPr>
              <w:pStyle w:val="TableParagraph"/>
              <w:spacing w:before="8"/>
              <w:ind w:left="105"/>
              <w:rPr>
                <w:b/>
                <w:sz w:val="19"/>
              </w:rPr>
            </w:pPr>
            <w:r>
              <w:rPr>
                <w:b/>
                <w:w w:val="105"/>
                <w:sz w:val="19"/>
              </w:rPr>
              <w:t>Disability services</w:t>
            </w:r>
          </w:p>
          <w:p w:rsidR="00EA1F74" w:rsidRDefault="00FC1CE8">
            <w:pPr>
              <w:pStyle w:val="TableParagraph"/>
              <w:spacing w:before="70"/>
              <w:ind w:left="105"/>
              <w:rPr>
                <w:sz w:val="19"/>
              </w:rPr>
            </w:pPr>
            <w:r>
              <w:rPr>
                <w:w w:val="105"/>
                <w:sz w:val="19"/>
              </w:rPr>
              <w:t>ATSI:</w:t>
            </w:r>
            <w:r>
              <w:rPr>
                <w:spacing w:val="-5"/>
                <w:w w:val="105"/>
                <w:sz w:val="19"/>
              </w:rPr>
              <w:t xml:space="preserve"> </w:t>
            </w:r>
            <w:r>
              <w:rPr>
                <w:w w:val="105"/>
                <w:sz w:val="19"/>
              </w:rPr>
              <w:t>&lt;1%</w:t>
            </w:r>
          </w:p>
          <w:p w:rsidR="00EA1F74" w:rsidRDefault="00FC1CE8">
            <w:pPr>
              <w:pStyle w:val="TableParagraph"/>
              <w:spacing w:before="69"/>
              <w:ind w:left="105"/>
              <w:rPr>
                <w:sz w:val="19"/>
              </w:rPr>
            </w:pPr>
            <w:r>
              <w:rPr>
                <w:w w:val="105"/>
                <w:sz w:val="19"/>
              </w:rPr>
              <w:t>CALD:</w:t>
            </w:r>
            <w:r>
              <w:rPr>
                <w:spacing w:val="-4"/>
                <w:w w:val="105"/>
                <w:sz w:val="19"/>
              </w:rPr>
              <w:t xml:space="preserve"> </w:t>
            </w:r>
            <w:r>
              <w:rPr>
                <w:w w:val="105"/>
                <w:sz w:val="19"/>
              </w:rPr>
              <w:t>6%</w:t>
            </w:r>
          </w:p>
        </w:tc>
        <w:tc>
          <w:tcPr>
            <w:tcW w:w="3542" w:type="dxa"/>
            <w:tcBorders>
              <w:bottom w:val="nil"/>
            </w:tcBorders>
          </w:tcPr>
          <w:p w:rsidR="00EA1F74" w:rsidRDefault="00FC1CE8">
            <w:pPr>
              <w:pStyle w:val="TableParagraph"/>
              <w:spacing w:before="8" w:line="252" w:lineRule="auto"/>
              <w:ind w:left="106" w:right="113"/>
              <w:rPr>
                <w:sz w:val="19"/>
              </w:rPr>
            </w:pPr>
            <w:r>
              <w:rPr>
                <w:b/>
                <w:w w:val="105"/>
                <w:sz w:val="19"/>
              </w:rPr>
              <w:t>T</w:t>
            </w:r>
            <w:r>
              <w:rPr>
                <w:w w:val="105"/>
                <w:sz w:val="19"/>
              </w:rPr>
              <w:t>he average age at death of people with disability in residential care was approximately 25 years younger than the average of the general Australian</w:t>
            </w:r>
          </w:p>
          <w:p w:rsidR="00EA1F74" w:rsidRDefault="00FC1CE8">
            <w:pPr>
              <w:pStyle w:val="TableParagraph"/>
              <w:spacing w:line="199" w:lineRule="exact"/>
              <w:ind w:left="106"/>
              <w:rPr>
                <w:sz w:val="19"/>
              </w:rPr>
            </w:pPr>
            <w:r>
              <w:rPr>
                <w:w w:val="105"/>
                <w:sz w:val="19"/>
              </w:rPr>
              <w:t>population</w:t>
            </w:r>
          </w:p>
        </w:tc>
      </w:tr>
      <w:tr w:rsidR="00EA1F74">
        <w:trPr>
          <w:trHeight w:val="835"/>
        </w:trPr>
        <w:tc>
          <w:tcPr>
            <w:tcW w:w="960" w:type="dxa"/>
            <w:tcBorders>
              <w:top w:val="nil"/>
            </w:tcBorders>
          </w:tcPr>
          <w:p w:rsidR="00EA1F74" w:rsidRDefault="00EA1F74">
            <w:pPr>
              <w:pStyle w:val="TableParagraph"/>
              <w:rPr>
                <w:rFonts w:ascii="Times New Roman"/>
                <w:sz w:val="20"/>
              </w:rPr>
            </w:pPr>
          </w:p>
        </w:tc>
        <w:tc>
          <w:tcPr>
            <w:tcW w:w="710" w:type="dxa"/>
            <w:tcBorders>
              <w:top w:val="nil"/>
            </w:tcBorders>
          </w:tcPr>
          <w:p w:rsidR="00EA1F74" w:rsidRDefault="00EA1F74">
            <w:pPr>
              <w:pStyle w:val="TableParagraph"/>
              <w:rPr>
                <w:rFonts w:ascii="Times New Roman"/>
                <w:sz w:val="20"/>
              </w:rPr>
            </w:pPr>
          </w:p>
        </w:tc>
        <w:tc>
          <w:tcPr>
            <w:tcW w:w="1416" w:type="dxa"/>
            <w:tcBorders>
              <w:top w:val="nil"/>
            </w:tcBorders>
          </w:tcPr>
          <w:p w:rsidR="00EA1F74" w:rsidRDefault="00FC1CE8">
            <w:pPr>
              <w:pStyle w:val="TableParagraph"/>
              <w:spacing w:before="173" w:line="252" w:lineRule="auto"/>
              <w:ind w:left="105" w:right="417"/>
              <w:rPr>
                <w:b/>
                <w:sz w:val="19"/>
              </w:rPr>
            </w:pPr>
            <w:r>
              <w:rPr>
                <w:b/>
                <w:w w:val="105"/>
                <w:sz w:val="19"/>
              </w:rPr>
              <w:t>Assisted boarding</w:t>
            </w:r>
          </w:p>
        </w:tc>
        <w:tc>
          <w:tcPr>
            <w:tcW w:w="2270" w:type="dxa"/>
            <w:vMerge/>
            <w:tcBorders>
              <w:top w:val="nil"/>
            </w:tcBorders>
          </w:tcPr>
          <w:p w:rsidR="00EA1F74" w:rsidRDefault="00EA1F74">
            <w:pPr>
              <w:rPr>
                <w:sz w:val="2"/>
                <w:szCs w:val="2"/>
              </w:rPr>
            </w:pPr>
          </w:p>
        </w:tc>
        <w:tc>
          <w:tcPr>
            <w:tcW w:w="1982" w:type="dxa"/>
            <w:tcBorders>
              <w:top w:val="nil"/>
            </w:tcBorders>
          </w:tcPr>
          <w:p w:rsidR="00EA1F74" w:rsidRDefault="00FC1CE8">
            <w:pPr>
              <w:pStyle w:val="TableParagraph"/>
              <w:spacing w:line="252" w:lineRule="auto"/>
              <w:ind w:left="105" w:right="96"/>
              <w:rPr>
                <w:b/>
                <w:sz w:val="19"/>
              </w:rPr>
            </w:pPr>
            <w:r>
              <w:rPr>
                <w:b/>
                <w:w w:val="105"/>
                <w:sz w:val="19"/>
              </w:rPr>
              <w:t>Assisted boarding houses:</w:t>
            </w:r>
          </w:p>
          <w:p w:rsidR="00EA1F74" w:rsidRDefault="00FC1CE8">
            <w:pPr>
              <w:pStyle w:val="TableParagraph"/>
              <w:spacing w:before="64"/>
              <w:ind w:left="105"/>
              <w:rPr>
                <w:sz w:val="19"/>
              </w:rPr>
            </w:pPr>
            <w:r>
              <w:rPr>
                <w:w w:val="105"/>
                <w:sz w:val="19"/>
              </w:rPr>
              <w:t>ATSI:0%</w:t>
            </w:r>
          </w:p>
        </w:tc>
        <w:tc>
          <w:tcPr>
            <w:tcW w:w="3542" w:type="dxa"/>
            <w:tcBorders>
              <w:top w:val="nil"/>
            </w:tcBorders>
          </w:tcPr>
          <w:p w:rsidR="00EA1F74" w:rsidRDefault="00EA1F74">
            <w:pPr>
              <w:pStyle w:val="TableParagraph"/>
              <w:rPr>
                <w:rFonts w:ascii="Times New Roman"/>
                <w:sz w:val="20"/>
              </w:rPr>
            </w:pPr>
          </w:p>
        </w:tc>
      </w:tr>
    </w:tbl>
    <w:p w:rsidR="00EA1F74" w:rsidRDefault="00EA1F74">
      <w:pPr>
        <w:rPr>
          <w:rFonts w:ascii="Times New Roman"/>
          <w:sz w:val="20"/>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rPr>
          <w:sz w:val="19"/>
        </w:rPr>
      </w:pPr>
    </w:p>
    <w:tbl>
      <w:tblPr>
        <w:tblW w:w="0" w:type="auto"/>
        <w:tblInd w:w="34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710"/>
        <w:gridCol w:w="1416"/>
        <w:gridCol w:w="2270"/>
        <w:gridCol w:w="1982"/>
        <w:gridCol w:w="3542"/>
      </w:tblGrid>
      <w:tr w:rsidR="00EA1F74">
        <w:trPr>
          <w:trHeight w:val="1770"/>
        </w:trPr>
        <w:tc>
          <w:tcPr>
            <w:tcW w:w="960" w:type="dxa"/>
          </w:tcPr>
          <w:p w:rsidR="00EA1F74" w:rsidRDefault="00EA1F74">
            <w:pPr>
              <w:pStyle w:val="TableParagraph"/>
              <w:rPr>
                <w:rFonts w:ascii="Times New Roman"/>
                <w:sz w:val="18"/>
              </w:rPr>
            </w:pPr>
          </w:p>
        </w:tc>
        <w:tc>
          <w:tcPr>
            <w:tcW w:w="710" w:type="dxa"/>
          </w:tcPr>
          <w:p w:rsidR="00EA1F74" w:rsidRDefault="00EA1F74">
            <w:pPr>
              <w:pStyle w:val="TableParagraph"/>
              <w:rPr>
                <w:rFonts w:ascii="Times New Roman"/>
                <w:sz w:val="18"/>
              </w:rPr>
            </w:pPr>
          </w:p>
        </w:tc>
        <w:tc>
          <w:tcPr>
            <w:tcW w:w="1416" w:type="dxa"/>
          </w:tcPr>
          <w:p w:rsidR="00EA1F74" w:rsidRDefault="00FC1CE8">
            <w:pPr>
              <w:pStyle w:val="TableParagraph"/>
              <w:spacing w:before="3"/>
              <w:ind w:left="105"/>
              <w:rPr>
                <w:b/>
                <w:sz w:val="19"/>
              </w:rPr>
            </w:pPr>
            <w:r>
              <w:rPr>
                <w:b/>
                <w:w w:val="105"/>
                <w:sz w:val="19"/>
              </w:rPr>
              <w:t>houses:</w:t>
            </w:r>
          </w:p>
          <w:p w:rsidR="00EA1F74" w:rsidRDefault="00FC1CE8">
            <w:pPr>
              <w:pStyle w:val="TableParagraph"/>
              <w:spacing w:before="75"/>
              <w:ind w:left="105"/>
              <w:rPr>
                <w:sz w:val="19"/>
              </w:rPr>
            </w:pPr>
            <w:r>
              <w:rPr>
                <w:w w:val="105"/>
                <w:sz w:val="19"/>
              </w:rPr>
              <w:t>Male: 79%</w:t>
            </w:r>
          </w:p>
          <w:p w:rsidR="00EA1F74" w:rsidRDefault="00FC1CE8">
            <w:pPr>
              <w:pStyle w:val="TableParagraph"/>
              <w:spacing w:before="69"/>
              <w:ind w:left="105"/>
              <w:rPr>
                <w:sz w:val="19"/>
              </w:rPr>
            </w:pPr>
            <w:r>
              <w:rPr>
                <w:w w:val="105"/>
                <w:sz w:val="19"/>
              </w:rPr>
              <w:t>Female: 21%</w:t>
            </w:r>
          </w:p>
        </w:tc>
        <w:tc>
          <w:tcPr>
            <w:tcW w:w="2270" w:type="dxa"/>
          </w:tcPr>
          <w:p w:rsidR="00EA1F74" w:rsidRDefault="00FC1CE8">
            <w:pPr>
              <w:pStyle w:val="TableParagraph"/>
              <w:spacing w:before="3"/>
              <w:ind w:left="105"/>
              <w:rPr>
                <w:b/>
                <w:sz w:val="19"/>
              </w:rPr>
            </w:pPr>
            <w:r>
              <w:rPr>
                <w:b/>
                <w:w w:val="105"/>
                <w:sz w:val="19"/>
              </w:rPr>
              <w:t>houses:</w:t>
            </w:r>
          </w:p>
          <w:p w:rsidR="00EA1F74" w:rsidRDefault="00FC1CE8">
            <w:pPr>
              <w:pStyle w:val="TableParagraph"/>
              <w:numPr>
                <w:ilvl w:val="0"/>
                <w:numId w:val="93"/>
              </w:numPr>
              <w:tabs>
                <w:tab w:val="left" w:pos="465"/>
                <w:tab w:val="left" w:pos="466"/>
              </w:tabs>
              <w:spacing w:before="76"/>
              <w:ind w:hanging="361"/>
              <w:rPr>
                <w:sz w:val="19"/>
              </w:rPr>
            </w:pPr>
            <w:r>
              <w:rPr>
                <w:i/>
                <w:w w:val="105"/>
                <w:sz w:val="19"/>
              </w:rPr>
              <w:t>Range:</w:t>
            </w:r>
            <w:r>
              <w:rPr>
                <w:i/>
                <w:spacing w:val="-1"/>
                <w:w w:val="105"/>
                <w:sz w:val="19"/>
              </w:rPr>
              <w:t xml:space="preserve"> </w:t>
            </w:r>
            <w:r>
              <w:rPr>
                <w:w w:val="105"/>
                <w:sz w:val="19"/>
              </w:rPr>
              <w:t>46-87yrs</w:t>
            </w:r>
          </w:p>
          <w:p w:rsidR="00EA1F74" w:rsidRDefault="00FC1CE8">
            <w:pPr>
              <w:pStyle w:val="TableParagraph"/>
              <w:numPr>
                <w:ilvl w:val="0"/>
                <w:numId w:val="93"/>
              </w:numPr>
              <w:tabs>
                <w:tab w:val="left" w:pos="465"/>
                <w:tab w:val="left" w:pos="466"/>
              </w:tabs>
              <w:spacing w:before="8" w:line="249" w:lineRule="auto"/>
              <w:ind w:right="93"/>
              <w:rPr>
                <w:sz w:val="19"/>
              </w:rPr>
            </w:pPr>
            <w:r>
              <w:rPr>
                <w:i/>
                <w:w w:val="105"/>
                <w:sz w:val="19"/>
              </w:rPr>
              <w:t xml:space="preserve">Median age </w:t>
            </w:r>
            <w:r>
              <w:rPr>
                <w:w w:val="105"/>
                <w:sz w:val="19"/>
              </w:rPr>
              <w:t>(whole sample):</w:t>
            </w:r>
            <w:r>
              <w:rPr>
                <w:spacing w:val="-1"/>
                <w:w w:val="105"/>
                <w:sz w:val="19"/>
              </w:rPr>
              <w:t xml:space="preserve"> </w:t>
            </w:r>
            <w:r>
              <w:rPr>
                <w:w w:val="105"/>
                <w:sz w:val="19"/>
              </w:rPr>
              <w:t>59yrs</w:t>
            </w:r>
          </w:p>
          <w:p w:rsidR="00EA1F74" w:rsidRDefault="00FC1CE8">
            <w:pPr>
              <w:pStyle w:val="TableParagraph"/>
              <w:numPr>
                <w:ilvl w:val="0"/>
                <w:numId w:val="93"/>
              </w:numPr>
              <w:tabs>
                <w:tab w:val="left" w:pos="465"/>
                <w:tab w:val="left" w:pos="466"/>
              </w:tabs>
              <w:spacing w:before="6" w:line="249" w:lineRule="auto"/>
              <w:ind w:right="103"/>
              <w:rPr>
                <w:sz w:val="19"/>
              </w:rPr>
            </w:pPr>
            <w:r>
              <w:rPr>
                <w:w w:val="105"/>
                <w:sz w:val="19"/>
              </w:rPr>
              <w:t>Median age (by gender): not</w:t>
            </w:r>
            <w:r>
              <w:rPr>
                <w:spacing w:val="-7"/>
                <w:w w:val="105"/>
                <w:sz w:val="19"/>
              </w:rPr>
              <w:t xml:space="preserve"> </w:t>
            </w:r>
            <w:r>
              <w:rPr>
                <w:w w:val="105"/>
                <w:sz w:val="19"/>
              </w:rPr>
              <w:t>stated</w:t>
            </w:r>
          </w:p>
        </w:tc>
        <w:tc>
          <w:tcPr>
            <w:tcW w:w="1982" w:type="dxa"/>
          </w:tcPr>
          <w:p w:rsidR="00EA1F74" w:rsidRDefault="00FC1CE8">
            <w:pPr>
              <w:pStyle w:val="TableParagraph"/>
              <w:spacing w:before="3"/>
              <w:ind w:left="105"/>
              <w:rPr>
                <w:sz w:val="19"/>
              </w:rPr>
            </w:pPr>
            <w:r>
              <w:rPr>
                <w:w w:val="105"/>
                <w:sz w:val="19"/>
              </w:rPr>
              <w:t>CALD: 14%</w:t>
            </w:r>
          </w:p>
        </w:tc>
        <w:tc>
          <w:tcPr>
            <w:tcW w:w="3542" w:type="dxa"/>
          </w:tcPr>
          <w:p w:rsidR="00EA1F74" w:rsidRDefault="00EA1F74">
            <w:pPr>
              <w:pStyle w:val="TableParagraph"/>
              <w:rPr>
                <w:rFonts w:ascii="Times New Roman"/>
                <w:sz w:val="18"/>
              </w:rPr>
            </w:pPr>
          </w:p>
        </w:tc>
      </w:tr>
      <w:tr w:rsidR="00EA1F74" w:rsidTr="00B0036C">
        <w:trPr>
          <w:trHeight w:val="2297"/>
        </w:trPr>
        <w:tc>
          <w:tcPr>
            <w:tcW w:w="960" w:type="dxa"/>
            <w:tcBorders>
              <w:bottom w:val="nil"/>
            </w:tcBorders>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710" w:type="dxa"/>
            <w:tcBorders>
              <w:bottom w:val="nil"/>
            </w:tcBorders>
            <w:shd w:val="clear" w:color="auto" w:fill="F2F2F2" w:themeFill="background1" w:themeFillShade="F2"/>
          </w:tcPr>
          <w:p w:rsidR="00EA1F74" w:rsidRDefault="00FC1CE8">
            <w:pPr>
              <w:pStyle w:val="TableParagraph"/>
              <w:spacing w:before="3"/>
              <w:ind w:left="105"/>
              <w:rPr>
                <w:sz w:val="19"/>
              </w:rPr>
            </w:pPr>
            <w:r>
              <w:rPr>
                <w:w w:val="105"/>
                <w:sz w:val="19"/>
              </w:rPr>
              <w:t>494</w:t>
            </w:r>
          </w:p>
        </w:tc>
        <w:tc>
          <w:tcPr>
            <w:tcW w:w="1416" w:type="dxa"/>
            <w:tcBorders>
              <w:bottom w:val="nil"/>
            </w:tcBorders>
            <w:shd w:val="clear" w:color="auto" w:fill="F2F2F2" w:themeFill="background1" w:themeFillShade="F2"/>
          </w:tcPr>
          <w:p w:rsidR="00EA1F74" w:rsidRDefault="00FC1CE8">
            <w:pPr>
              <w:pStyle w:val="TableParagraph"/>
              <w:spacing w:before="3" w:line="252" w:lineRule="auto"/>
              <w:ind w:left="105" w:right="346"/>
              <w:jc w:val="both"/>
              <w:rPr>
                <w:sz w:val="19"/>
              </w:rPr>
            </w:pPr>
            <w:r>
              <w:rPr>
                <w:b/>
                <w:w w:val="105"/>
                <w:sz w:val="19"/>
              </w:rPr>
              <w:t xml:space="preserve">Disability services: </w:t>
            </w:r>
            <w:r>
              <w:rPr>
                <w:w w:val="105"/>
                <w:sz w:val="19"/>
              </w:rPr>
              <w:t>Male: 59%</w:t>
            </w:r>
          </w:p>
          <w:p w:rsidR="00EA1F74" w:rsidRDefault="00FC1CE8">
            <w:pPr>
              <w:pStyle w:val="TableParagraph"/>
              <w:spacing w:before="66"/>
              <w:ind w:left="105"/>
              <w:jc w:val="both"/>
              <w:rPr>
                <w:sz w:val="19"/>
              </w:rPr>
            </w:pPr>
            <w:r>
              <w:rPr>
                <w:w w:val="105"/>
                <w:sz w:val="19"/>
              </w:rPr>
              <w:t>Female: 41%</w:t>
            </w:r>
          </w:p>
          <w:p w:rsidR="00EA1F74" w:rsidRDefault="00EA1F74">
            <w:pPr>
              <w:pStyle w:val="TableParagraph"/>
              <w:spacing w:before="1"/>
              <w:rPr>
                <w:sz w:val="31"/>
              </w:rPr>
            </w:pPr>
          </w:p>
          <w:p w:rsidR="00EA1F74" w:rsidRDefault="00FC1CE8">
            <w:pPr>
              <w:pStyle w:val="TableParagraph"/>
              <w:spacing w:line="252" w:lineRule="auto"/>
              <w:ind w:left="105" w:right="432"/>
              <w:jc w:val="both"/>
              <w:rPr>
                <w:b/>
                <w:sz w:val="19"/>
              </w:rPr>
            </w:pPr>
            <w:r>
              <w:rPr>
                <w:b/>
                <w:w w:val="105"/>
                <w:sz w:val="19"/>
              </w:rPr>
              <w:t>Assisted boarding houses:</w:t>
            </w:r>
          </w:p>
          <w:p w:rsidR="00EA1F74" w:rsidRDefault="00FC1CE8">
            <w:pPr>
              <w:pStyle w:val="TableParagraph"/>
              <w:spacing w:before="65" w:line="190" w:lineRule="exact"/>
              <w:ind w:left="105"/>
              <w:jc w:val="both"/>
              <w:rPr>
                <w:sz w:val="19"/>
              </w:rPr>
            </w:pPr>
            <w:r>
              <w:rPr>
                <w:w w:val="105"/>
                <w:sz w:val="19"/>
              </w:rPr>
              <w:t>Male: 83%</w:t>
            </w:r>
          </w:p>
        </w:tc>
        <w:tc>
          <w:tcPr>
            <w:tcW w:w="2270" w:type="dxa"/>
            <w:tcBorders>
              <w:bottom w:val="nil"/>
            </w:tcBorders>
            <w:shd w:val="clear" w:color="auto" w:fill="F2F2F2" w:themeFill="background1" w:themeFillShade="F2"/>
          </w:tcPr>
          <w:p w:rsidR="00EA1F74" w:rsidRDefault="00FC1CE8">
            <w:pPr>
              <w:pStyle w:val="TableParagraph"/>
              <w:spacing w:before="3"/>
              <w:ind w:left="105"/>
              <w:rPr>
                <w:b/>
                <w:sz w:val="19"/>
              </w:rPr>
            </w:pPr>
            <w:r>
              <w:rPr>
                <w:b/>
                <w:w w:val="105"/>
                <w:sz w:val="19"/>
              </w:rPr>
              <w:t>Disability services:</w:t>
            </w:r>
          </w:p>
          <w:p w:rsidR="00EA1F74" w:rsidRDefault="00FC1CE8">
            <w:pPr>
              <w:pStyle w:val="TableParagraph"/>
              <w:numPr>
                <w:ilvl w:val="0"/>
                <w:numId w:val="92"/>
              </w:numPr>
              <w:tabs>
                <w:tab w:val="left" w:pos="465"/>
                <w:tab w:val="left" w:pos="466"/>
              </w:tabs>
              <w:spacing w:before="76"/>
              <w:ind w:hanging="361"/>
              <w:rPr>
                <w:sz w:val="19"/>
              </w:rPr>
            </w:pPr>
            <w:r>
              <w:rPr>
                <w:i/>
                <w:w w:val="105"/>
                <w:sz w:val="19"/>
              </w:rPr>
              <w:t xml:space="preserve">Range: </w:t>
            </w:r>
            <w:r>
              <w:rPr>
                <w:w w:val="105"/>
                <w:sz w:val="19"/>
              </w:rPr>
              <w:t>not</w:t>
            </w:r>
            <w:r>
              <w:rPr>
                <w:spacing w:val="-2"/>
                <w:w w:val="105"/>
                <w:sz w:val="19"/>
              </w:rPr>
              <w:t xml:space="preserve"> </w:t>
            </w:r>
            <w:r>
              <w:rPr>
                <w:w w:val="105"/>
                <w:sz w:val="19"/>
              </w:rPr>
              <w:t>stated</w:t>
            </w:r>
          </w:p>
          <w:p w:rsidR="00EA1F74" w:rsidRDefault="00FC1CE8">
            <w:pPr>
              <w:pStyle w:val="TableParagraph"/>
              <w:numPr>
                <w:ilvl w:val="0"/>
                <w:numId w:val="92"/>
              </w:numPr>
              <w:tabs>
                <w:tab w:val="left" w:pos="465"/>
                <w:tab w:val="left" w:pos="466"/>
              </w:tabs>
              <w:spacing w:before="8" w:line="249" w:lineRule="auto"/>
              <w:ind w:right="93"/>
              <w:rPr>
                <w:sz w:val="19"/>
              </w:rPr>
            </w:pPr>
            <w:r>
              <w:rPr>
                <w:i/>
                <w:w w:val="105"/>
                <w:sz w:val="19"/>
              </w:rPr>
              <w:t xml:space="preserve">Median age </w:t>
            </w:r>
            <w:r>
              <w:rPr>
                <w:w w:val="105"/>
                <w:sz w:val="19"/>
              </w:rPr>
              <w:t>(whole sample):</w:t>
            </w:r>
            <w:r>
              <w:rPr>
                <w:spacing w:val="-1"/>
                <w:w w:val="105"/>
                <w:sz w:val="19"/>
              </w:rPr>
              <w:t xml:space="preserve"> </w:t>
            </w:r>
            <w:r>
              <w:rPr>
                <w:w w:val="105"/>
                <w:sz w:val="19"/>
              </w:rPr>
              <w:t>55yrs</w:t>
            </w:r>
          </w:p>
          <w:p w:rsidR="00EA1F74" w:rsidRDefault="00FC1CE8">
            <w:pPr>
              <w:pStyle w:val="TableParagraph"/>
              <w:numPr>
                <w:ilvl w:val="0"/>
                <w:numId w:val="92"/>
              </w:numPr>
              <w:tabs>
                <w:tab w:val="left" w:pos="465"/>
                <w:tab w:val="left" w:pos="466"/>
              </w:tabs>
              <w:spacing w:before="6" w:line="249" w:lineRule="auto"/>
              <w:ind w:right="103"/>
              <w:rPr>
                <w:sz w:val="19"/>
              </w:rPr>
            </w:pPr>
            <w:r>
              <w:rPr>
                <w:w w:val="105"/>
                <w:sz w:val="19"/>
              </w:rPr>
              <w:t>Median age (by gender): not</w:t>
            </w:r>
            <w:r>
              <w:rPr>
                <w:spacing w:val="-7"/>
                <w:w w:val="105"/>
                <w:sz w:val="19"/>
              </w:rPr>
              <w:t xml:space="preserve"> </w:t>
            </w:r>
            <w:r>
              <w:rPr>
                <w:w w:val="105"/>
                <w:sz w:val="19"/>
              </w:rPr>
              <w:t>stated</w:t>
            </w:r>
          </w:p>
          <w:p w:rsidR="00EA1F74" w:rsidRDefault="00EA1F74">
            <w:pPr>
              <w:pStyle w:val="TableParagraph"/>
              <w:spacing w:before="4"/>
              <w:rPr>
                <w:sz w:val="25"/>
              </w:rPr>
            </w:pPr>
          </w:p>
          <w:p w:rsidR="00EA1F74" w:rsidRDefault="00FC1CE8">
            <w:pPr>
              <w:pStyle w:val="TableParagraph"/>
              <w:spacing w:line="252" w:lineRule="auto"/>
              <w:ind w:left="105" w:right="384"/>
              <w:rPr>
                <w:b/>
                <w:sz w:val="19"/>
              </w:rPr>
            </w:pPr>
            <w:r>
              <w:rPr>
                <w:b/>
                <w:w w:val="105"/>
                <w:sz w:val="19"/>
              </w:rPr>
              <w:t>Assisted boarding houses:</w:t>
            </w:r>
          </w:p>
        </w:tc>
        <w:tc>
          <w:tcPr>
            <w:tcW w:w="1982" w:type="dxa"/>
            <w:tcBorders>
              <w:bottom w:val="nil"/>
            </w:tcBorders>
            <w:shd w:val="clear" w:color="auto" w:fill="F2F2F2" w:themeFill="background1" w:themeFillShade="F2"/>
          </w:tcPr>
          <w:p w:rsidR="00EA1F74" w:rsidRDefault="00FC1CE8">
            <w:pPr>
              <w:pStyle w:val="TableParagraph"/>
              <w:spacing w:before="3" w:line="321" w:lineRule="auto"/>
              <w:ind w:left="105" w:right="110"/>
              <w:rPr>
                <w:b/>
                <w:sz w:val="19"/>
              </w:rPr>
            </w:pPr>
            <w:r>
              <w:rPr>
                <w:b/>
                <w:w w:val="105"/>
                <w:sz w:val="19"/>
              </w:rPr>
              <w:t>Disability services 2014-2015</w:t>
            </w:r>
          </w:p>
          <w:p w:rsidR="00EA1F74" w:rsidRDefault="00FC1CE8">
            <w:pPr>
              <w:pStyle w:val="TableParagraph"/>
              <w:spacing w:line="214" w:lineRule="exact"/>
              <w:ind w:left="105"/>
              <w:rPr>
                <w:sz w:val="19"/>
              </w:rPr>
            </w:pPr>
            <w:r>
              <w:rPr>
                <w:w w:val="105"/>
                <w:sz w:val="19"/>
              </w:rPr>
              <w:t>ATSI: 1%</w:t>
            </w:r>
          </w:p>
          <w:p w:rsidR="00EA1F74" w:rsidRDefault="00FC1CE8">
            <w:pPr>
              <w:pStyle w:val="TableParagraph"/>
              <w:spacing w:before="75"/>
              <w:ind w:left="105"/>
              <w:rPr>
                <w:sz w:val="19"/>
              </w:rPr>
            </w:pPr>
            <w:r>
              <w:rPr>
                <w:w w:val="105"/>
                <w:sz w:val="19"/>
              </w:rPr>
              <w:t>CALD:</w:t>
            </w:r>
            <w:r>
              <w:rPr>
                <w:spacing w:val="-4"/>
                <w:w w:val="105"/>
                <w:sz w:val="19"/>
              </w:rPr>
              <w:t xml:space="preserve"> </w:t>
            </w:r>
            <w:r>
              <w:rPr>
                <w:w w:val="105"/>
                <w:sz w:val="19"/>
              </w:rPr>
              <w:t>7%</w:t>
            </w:r>
          </w:p>
          <w:p w:rsidR="00EA1F74" w:rsidRDefault="00EA1F74">
            <w:pPr>
              <w:pStyle w:val="TableParagraph"/>
              <w:spacing w:before="1"/>
              <w:rPr>
                <w:sz w:val="31"/>
              </w:rPr>
            </w:pPr>
          </w:p>
          <w:p w:rsidR="00EA1F74" w:rsidRDefault="00FC1CE8">
            <w:pPr>
              <w:pStyle w:val="TableParagraph"/>
              <w:spacing w:line="321" w:lineRule="auto"/>
              <w:ind w:left="105" w:right="110"/>
              <w:rPr>
                <w:b/>
                <w:sz w:val="19"/>
              </w:rPr>
            </w:pPr>
            <w:r>
              <w:rPr>
                <w:b/>
                <w:w w:val="105"/>
                <w:sz w:val="19"/>
              </w:rPr>
              <w:t>Disability services 2016-2017</w:t>
            </w:r>
          </w:p>
          <w:p w:rsidR="00EA1F74" w:rsidRDefault="00FC1CE8">
            <w:pPr>
              <w:pStyle w:val="TableParagraph"/>
              <w:spacing w:line="214" w:lineRule="exact"/>
              <w:ind w:left="105"/>
              <w:rPr>
                <w:sz w:val="19"/>
              </w:rPr>
            </w:pPr>
            <w:r>
              <w:rPr>
                <w:w w:val="105"/>
                <w:sz w:val="19"/>
              </w:rPr>
              <w:t>ATSI: 2%</w:t>
            </w:r>
          </w:p>
        </w:tc>
        <w:tc>
          <w:tcPr>
            <w:tcW w:w="3542" w:type="dxa"/>
            <w:vMerge w:val="restart"/>
            <w:shd w:val="clear" w:color="auto" w:fill="F2F2F2" w:themeFill="background1" w:themeFillShade="F2"/>
          </w:tcPr>
          <w:p w:rsidR="00EA1F74" w:rsidRDefault="00FC1CE8">
            <w:pPr>
              <w:pStyle w:val="TableParagraph"/>
              <w:spacing w:before="3" w:line="252" w:lineRule="auto"/>
              <w:ind w:left="106" w:right="312"/>
              <w:rPr>
                <w:sz w:val="19"/>
              </w:rPr>
            </w:pPr>
            <w:r>
              <w:rPr>
                <w:w w:val="105"/>
                <w:sz w:val="19"/>
              </w:rPr>
              <w:t>Life expectancy gap, compared to the general population noted to be:</w:t>
            </w:r>
          </w:p>
          <w:p w:rsidR="00EA1F74" w:rsidRDefault="00FC1CE8">
            <w:pPr>
              <w:pStyle w:val="TableParagraph"/>
              <w:numPr>
                <w:ilvl w:val="0"/>
                <w:numId w:val="91"/>
              </w:numPr>
              <w:tabs>
                <w:tab w:val="left" w:pos="463"/>
                <w:tab w:val="left" w:pos="464"/>
              </w:tabs>
              <w:spacing w:before="66" w:line="244" w:lineRule="auto"/>
              <w:ind w:right="312"/>
              <w:rPr>
                <w:sz w:val="19"/>
              </w:rPr>
            </w:pPr>
            <w:r>
              <w:rPr>
                <w:w w:val="105"/>
                <w:sz w:val="19"/>
              </w:rPr>
              <w:t>25 years for people in disability services</w:t>
            </w:r>
          </w:p>
          <w:p w:rsidR="00EA1F74" w:rsidRDefault="00FC1CE8">
            <w:pPr>
              <w:pStyle w:val="TableParagraph"/>
              <w:numPr>
                <w:ilvl w:val="0"/>
                <w:numId w:val="91"/>
              </w:numPr>
              <w:tabs>
                <w:tab w:val="left" w:pos="463"/>
                <w:tab w:val="left" w:pos="464"/>
              </w:tabs>
              <w:spacing w:before="11" w:line="249" w:lineRule="auto"/>
              <w:ind w:right="344"/>
              <w:rPr>
                <w:sz w:val="19"/>
              </w:rPr>
            </w:pPr>
            <w:r>
              <w:rPr>
                <w:w w:val="105"/>
                <w:sz w:val="19"/>
              </w:rPr>
              <w:t>20 years for people in assisted boarding</w:t>
            </w:r>
            <w:r>
              <w:rPr>
                <w:spacing w:val="1"/>
                <w:w w:val="105"/>
                <w:sz w:val="19"/>
              </w:rPr>
              <w:t xml:space="preserve"> </w:t>
            </w:r>
            <w:r>
              <w:rPr>
                <w:w w:val="105"/>
                <w:sz w:val="19"/>
              </w:rPr>
              <w:t>houses</w:t>
            </w:r>
          </w:p>
        </w:tc>
      </w:tr>
      <w:tr w:rsidR="00EA1F74" w:rsidTr="00B0036C">
        <w:trPr>
          <w:trHeight w:val="135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FC1CE8">
            <w:pPr>
              <w:pStyle w:val="TableParagraph"/>
              <w:spacing w:before="57"/>
              <w:ind w:left="105"/>
              <w:rPr>
                <w:sz w:val="19"/>
              </w:rPr>
            </w:pPr>
            <w:r>
              <w:rPr>
                <w:w w:val="105"/>
                <w:sz w:val="19"/>
              </w:rPr>
              <w:t>Female: 17%</w:t>
            </w:r>
          </w:p>
        </w:tc>
        <w:tc>
          <w:tcPr>
            <w:tcW w:w="2270" w:type="dxa"/>
            <w:tcBorders>
              <w:top w:val="nil"/>
              <w:bottom w:val="nil"/>
            </w:tcBorders>
            <w:shd w:val="clear" w:color="auto" w:fill="F2F2F2" w:themeFill="background1" w:themeFillShade="F2"/>
          </w:tcPr>
          <w:p w:rsidR="00EA1F74" w:rsidRDefault="00FC1CE8">
            <w:pPr>
              <w:pStyle w:val="TableParagraph"/>
              <w:numPr>
                <w:ilvl w:val="0"/>
                <w:numId w:val="90"/>
              </w:numPr>
              <w:tabs>
                <w:tab w:val="left" w:pos="465"/>
                <w:tab w:val="left" w:pos="466"/>
              </w:tabs>
              <w:spacing w:line="210" w:lineRule="exact"/>
              <w:ind w:hanging="361"/>
              <w:rPr>
                <w:sz w:val="19"/>
              </w:rPr>
            </w:pPr>
            <w:r>
              <w:rPr>
                <w:i/>
                <w:w w:val="105"/>
                <w:sz w:val="19"/>
              </w:rPr>
              <w:t xml:space="preserve">Range: </w:t>
            </w:r>
            <w:r>
              <w:rPr>
                <w:w w:val="105"/>
                <w:sz w:val="19"/>
              </w:rPr>
              <w:t>not</w:t>
            </w:r>
            <w:r>
              <w:rPr>
                <w:spacing w:val="-2"/>
                <w:w w:val="105"/>
                <w:sz w:val="19"/>
              </w:rPr>
              <w:t xml:space="preserve"> </w:t>
            </w:r>
            <w:r>
              <w:rPr>
                <w:w w:val="105"/>
                <w:sz w:val="19"/>
              </w:rPr>
              <w:t>stated</w:t>
            </w:r>
          </w:p>
          <w:p w:rsidR="00EA1F74" w:rsidRDefault="00FC1CE8">
            <w:pPr>
              <w:pStyle w:val="TableParagraph"/>
              <w:numPr>
                <w:ilvl w:val="0"/>
                <w:numId w:val="90"/>
              </w:numPr>
              <w:tabs>
                <w:tab w:val="left" w:pos="465"/>
                <w:tab w:val="left" w:pos="466"/>
              </w:tabs>
              <w:spacing w:before="12" w:line="249" w:lineRule="auto"/>
              <w:ind w:right="93"/>
              <w:rPr>
                <w:sz w:val="19"/>
              </w:rPr>
            </w:pPr>
            <w:r>
              <w:rPr>
                <w:i/>
                <w:w w:val="105"/>
                <w:sz w:val="19"/>
              </w:rPr>
              <w:t xml:space="preserve">Median age </w:t>
            </w:r>
            <w:r>
              <w:rPr>
                <w:w w:val="105"/>
                <w:sz w:val="19"/>
              </w:rPr>
              <w:t>(whole sample):</w:t>
            </w:r>
            <w:r>
              <w:rPr>
                <w:spacing w:val="-1"/>
                <w:w w:val="105"/>
                <w:sz w:val="19"/>
              </w:rPr>
              <w:t xml:space="preserve"> </w:t>
            </w:r>
            <w:r>
              <w:rPr>
                <w:w w:val="105"/>
                <w:sz w:val="19"/>
              </w:rPr>
              <w:t>60yrs</w:t>
            </w:r>
          </w:p>
          <w:p w:rsidR="00EA1F74" w:rsidRDefault="00FC1CE8">
            <w:pPr>
              <w:pStyle w:val="TableParagraph"/>
              <w:numPr>
                <w:ilvl w:val="0"/>
                <w:numId w:val="90"/>
              </w:numPr>
              <w:tabs>
                <w:tab w:val="left" w:pos="465"/>
                <w:tab w:val="left" w:pos="466"/>
              </w:tabs>
              <w:spacing w:before="6" w:line="249" w:lineRule="auto"/>
              <w:ind w:right="103"/>
              <w:rPr>
                <w:sz w:val="19"/>
              </w:rPr>
            </w:pPr>
            <w:r>
              <w:rPr>
                <w:w w:val="105"/>
                <w:sz w:val="19"/>
              </w:rPr>
              <w:t>Median age (by gender): not</w:t>
            </w:r>
            <w:r>
              <w:rPr>
                <w:spacing w:val="-7"/>
                <w:w w:val="105"/>
                <w:sz w:val="19"/>
              </w:rPr>
              <w:t xml:space="preserve"> </w:t>
            </w:r>
            <w:r>
              <w:rPr>
                <w:w w:val="105"/>
                <w:sz w:val="19"/>
              </w:rPr>
              <w:t>stated</w:t>
            </w:r>
          </w:p>
        </w:tc>
        <w:tc>
          <w:tcPr>
            <w:tcW w:w="1982" w:type="dxa"/>
            <w:tcBorders>
              <w:top w:val="nil"/>
              <w:bottom w:val="nil"/>
            </w:tcBorders>
            <w:shd w:val="clear" w:color="auto" w:fill="F2F2F2" w:themeFill="background1" w:themeFillShade="F2"/>
          </w:tcPr>
          <w:p w:rsidR="00EA1F74" w:rsidRDefault="00FC1CE8">
            <w:pPr>
              <w:pStyle w:val="TableParagraph"/>
              <w:spacing w:before="9"/>
              <w:ind w:left="105"/>
              <w:rPr>
                <w:sz w:val="19"/>
              </w:rPr>
            </w:pPr>
            <w:r>
              <w:rPr>
                <w:w w:val="105"/>
                <w:sz w:val="19"/>
              </w:rPr>
              <w:t>CALD: 5%</w:t>
            </w:r>
          </w:p>
          <w:p w:rsidR="00EA1F74" w:rsidRDefault="00EA1F74">
            <w:pPr>
              <w:pStyle w:val="TableParagraph"/>
              <w:spacing w:before="1"/>
              <w:rPr>
                <w:sz w:val="31"/>
              </w:rPr>
            </w:pPr>
          </w:p>
          <w:p w:rsidR="00EA1F74" w:rsidRDefault="00FC1CE8">
            <w:pPr>
              <w:pStyle w:val="TableParagraph"/>
              <w:spacing w:line="252" w:lineRule="auto"/>
              <w:ind w:left="105" w:right="96"/>
              <w:rPr>
                <w:b/>
                <w:sz w:val="19"/>
              </w:rPr>
            </w:pPr>
            <w:r>
              <w:rPr>
                <w:b/>
                <w:w w:val="105"/>
                <w:sz w:val="19"/>
              </w:rPr>
              <w:t>Assisted boarding houses</w:t>
            </w:r>
          </w:p>
          <w:p w:rsidR="00EA1F74" w:rsidRDefault="00FC1CE8">
            <w:pPr>
              <w:pStyle w:val="TableParagraph"/>
              <w:spacing w:before="65"/>
              <w:ind w:left="105"/>
              <w:rPr>
                <w:b/>
                <w:sz w:val="19"/>
              </w:rPr>
            </w:pPr>
            <w:r>
              <w:rPr>
                <w:b/>
                <w:w w:val="105"/>
                <w:sz w:val="19"/>
              </w:rPr>
              <w:t>2014-2015</w:t>
            </w:r>
          </w:p>
        </w:tc>
        <w:tc>
          <w:tcPr>
            <w:tcW w:w="3542" w:type="dxa"/>
            <w:vMerge/>
            <w:tcBorders>
              <w:top w:val="nil"/>
            </w:tcBorders>
            <w:shd w:val="clear" w:color="auto" w:fill="F2F2F2" w:themeFill="background1" w:themeFillShade="F2"/>
          </w:tcPr>
          <w:p w:rsidR="00EA1F74" w:rsidRDefault="00EA1F74">
            <w:pPr>
              <w:rPr>
                <w:sz w:val="2"/>
                <w:szCs w:val="2"/>
              </w:rPr>
            </w:pPr>
          </w:p>
        </w:tc>
      </w:tr>
      <w:tr w:rsidR="00EA1F74" w:rsidTr="00B0036C">
        <w:trPr>
          <w:trHeight w:val="27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227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982" w:type="dxa"/>
            <w:tcBorders>
              <w:top w:val="nil"/>
              <w:bottom w:val="nil"/>
            </w:tcBorders>
            <w:shd w:val="clear" w:color="auto" w:fill="F2F2F2" w:themeFill="background1" w:themeFillShade="F2"/>
          </w:tcPr>
          <w:p w:rsidR="00EA1F74" w:rsidRDefault="00FC1CE8">
            <w:pPr>
              <w:pStyle w:val="TableParagraph"/>
              <w:spacing w:before="24"/>
              <w:ind w:left="105"/>
              <w:rPr>
                <w:sz w:val="19"/>
              </w:rPr>
            </w:pPr>
            <w:r>
              <w:rPr>
                <w:w w:val="105"/>
                <w:sz w:val="19"/>
              </w:rPr>
              <w:t>ATSI: 13%</w:t>
            </w:r>
          </w:p>
        </w:tc>
        <w:tc>
          <w:tcPr>
            <w:tcW w:w="3542" w:type="dxa"/>
            <w:vMerge/>
            <w:tcBorders>
              <w:top w:val="nil"/>
            </w:tcBorders>
            <w:shd w:val="clear" w:color="auto" w:fill="F2F2F2" w:themeFill="background1" w:themeFillShade="F2"/>
          </w:tcPr>
          <w:p w:rsidR="00EA1F74" w:rsidRDefault="00EA1F74">
            <w:pPr>
              <w:rPr>
                <w:sz w:val="2"/>
                <w:szCs w:val="2"/>
              </w:rPr>
            </w:pPr>
          </w:p>
        </w:tc>
      </w:tr>
      <w:tr w:rsidR="00EA1F74" w:rsidTr="00B0036C">
        <w:trPr>
          <w:trHeight w:val="41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227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982" w:type="dxa"/>
            <w:tcBorders>
              <w:top w:val="nil"/>
              <w:bottom w:val="nil"/>
            </w:tcBorders>
            <w:shd w:val="clear" w:color="auto" w:fill="F2F2F2" w:themeFill="background1" w:themeFillShade="F2"/>
          </w:tcPr>
          <w:p w:rsidR="00EA1F74" w:rsidRDefault="00FC1CE8">
            <w:pPr>
              <w:pStyle w:val="TableParagraph"/>
              <w:spacing w:before="26"/>
              <w:ind w:left="105"/>
              <w:rPr>
                <w:sz w:val="19"/>
              </w:rPr>
            </w:pPr>
            <w:r>
              <w:rPr>
                <w:w w:val="105"/>
                <w:sz w:val="19"/>
              </w:rPr>
              <w:t>CALD: 13%</w:t>
            </w:r>
          </w:p>
        </w:tc>
        <w:tc>
          <w:tcPr>
            <w:tcW w:w="3542" w:type="dxa"/>
            <w:vMerge/>
            <w:tcBorders>
              <w:top w:val="nil"/>
            </w:tcBorders>
            <w:shd w:val="clear" w:color="auto" w:fill="F2F2F2" w:themeFill="background1" w:themeFillShade="F2"/>
          </w:tcPr>
          <w:p w:rsidR="00EA1F74" w:rsidRDefault="00EA1F74">
            <w:pPr>
              <w:rPr>
                <w:sz w:val="2"/>
                <w:szCs w:val="2"/>
              </w:rPr>
            </w:pPr>
          </w:p>
        </w:tc>
      </w:tr>
      <w:tr w:rsidR="00EA1F74" w:rsidTr="00B0036C">
        <w:trPr>
          <w:trHeight w:val="6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227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982" w:type="dxa"/>
            <w:tcBorders>
              <w:top w:val="nil"/>
              <w:bottom w:val="nil"/>
            </w:tcBorders>
            <w:shd w:val="clear" w:color="auto" w:fill="F2F2F2" w:themeFill="background1" w:themeFillShade="F2"/>
          </w:tcPr>
          <w:p w:rsidR="00EA1F74" w:rsidRDefault="00FC1CE8">
            <w:pPr>
              <w:pStyle w:val="TableParagraph"/>
              <w:spacing w:before="156" w:line="230" w:lineRule="atLeast"/>
              <w:ind w:left="105" w:right="96"/>
              <w:rPr>
                <w:b/>
                <w:sz w:val="19"/>
              </w:rPr>
            </w:pPr>
            <w:r>
              <w:rPr>
                <w:b/>
                <w:w w:val="105"/>
                <w:sz w:val="19"/>
              </w:rPr>
              <w:t>Assisted boarding houses</w:t>
            </w:r>
          </w:p>
        </w:tc>
        <w:tc>
          <w:tcPr>
            <w:tcW w:w="3542" w:type="dxa"/>
            <w:vMerge/>
            <w:tcBorders>
              <w:top w:val="nil"/>
            </w:tcBorders>
            <w:shd w:val="clear" w:color="auto" w:fill="F2F2F2" w:themeFill="background1" w:themeFillShade="F2"/>
          </w:tcPr>
          <w:p w:rsidR="00EA1F74" w:rsidRDefault="00EA1F74">
            <w:pPr>
              <w:rPr>
                <w:sz w:val="2"/>
                <w:szCs w:val="2"/>
              </w:rPr>
            </w:pPr>
          </w:p>
        </w:tc>
      </w:tr>
      <w:tr w:rsidR="00EA1F74" w:rsidTr="00B0036C">
        <w:trPr>
          <w:trHeight w:val="27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227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982" w:type="dxa"/>
            <w:tcBorders>
              <w:top w:val="nil"/>
              <w:bottom w:val="nil"/>
            </w:tcBorders>
            <w:shd w:val="clear" w:color="auto" w:fill="F2F2F2" w:themeFill="background1" w:themeFillShade="F2"/>
          </w:tcPr>
          <w:p w:rsidR="00EA1F74" w:rsidRDefault="00FC1CE8">
            <w:pPr>
              <w:pStyle w:val="TableParagraph"/>
              <w:spacing w:before="26"/>
              <w:ind w:left="105"/>
              <w:rPr>
                <w:b/>
                <w:sz w:val="19"/>
              </w:rPr>
            </w:pPr>
            <w:r>
              <w:rPr>
                <w:b/>
                <w:w w:val="105"/>
                <w:sz w:val="19"/>
              </w:rPr>
              <w:t>2016-2017</w:t>
            </w:r>
          </w:p>
        </w:tc>
        <w:tc>
          <w:tcPr>
            <w:tcW w:w="3542" w:type="dxa"/>
            <w:vMerge/>
            <w:tcBorders>
              <w:top w:val="nil"/>
            </w:tcBorders>
            <w:shd w:val="clear" w:color="auto" w:fill="F2F2F2" w:themeFill="background1" w:themeFillShade="F2"/>
          </w:tcPr>
          <w:p w:rsidR="00EA1F74" w:rsidRDefault="00EA1F74">
            <w:pPr>
              <w:rPr>
                <w:sz w:val="2"/>
                <w:szCs w:val="2"/>
              </w:rPr>
            </w:pPr>
          </w:p>
        </w:tc>
      </w:tr>
      <w:tr w:rsidR="00EA1F74" w:rsidTr="00B0036C">
        <w:trPr>
          <w:trHeight w:val="27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227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1982" w:type="dxa"/>
            <w:tcBorders>
              <w:top w:val="nil"/>
              <w:bottom w:val="nil"/>
            </w:tcBorders>
            <w:shd w:val="clear" w:color="auto" w:fill="F2F2F2" w:themeFill="background1" w:themeFillShade="F2"/>
          </w:tcPr>
          <w:p w:rsidR="00EA1F74" w:rsidRDefault="00FC1CE8">
            <w:pPr>
              <w:pStyle w:val="TableParagraph"/>
              <w:spacing w:before="24"/>
              <w:ind w:left="105"/>
              <w:rPr>
                <w:sz w:val="19"/>
              </w:rPr>
            </w:pPr>
            <w:r>
              <w:rPr>
                <w:w w:val="105"/>
                <w:sz w:val="19"/>
              </w:rPr>
              <w:t>ATSI: 10%</w:t>
            </w:r>
          </w:p>
        </w:tc>
        <w:tc>
          <w:tcPr>
            <w:tcW w:w="3542" w:type="dxa"/>
            <w:vMerge/>
            <w:tcBorders>
              <w:top w:val="nil"/>
            </w:tcBorders>
            <w:shd w:val="clear" w:color="auto" w:fill="F2F2F2" w:themeFill="background1" w:themeFillShade="F2"/>
          </w:tcPr>
          <w:p w:rsidR="00EA1F74" w:rsidRDefault="00EA1F74">
            <w:pPr>
              <w:rPr>
                <w:sz w:val="2"/>
                <w:szCs w:val="2"/>
              </w:rPr>
            </w:pPr>
          </w:p>
        </w:tc>
      </w:tr>
      <w:tr w:rsidR="00EA1F74" w:rsidTr="00B0036C">
        <w:trPr>
          <w:trHeight w:val="602"/>
        </w:trPr>
        <w:tc>
          <w:tcPr>
            <w:tcW w:w="960"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710"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1416"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2270"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1982" w:type="dxa"/>
            <w:tcBorders>
              <w:top w:val="nil"/>
            </w:tcBorders>
            <w:shd w:val="clear" w:color="auto" w:fill="F2F2F2" w:themeFill="background1" w:themeFillShade="F2"/>
          </w:tcPr>
          <w:p w:rsidR="00EA1F74" w:rsidRDefault="00FC1CE8">
            <w:pPr>
              <w:pStyle w:val="TableParagraph"/>
              <w:spacing w:before="26"/>
              <w:ind w:left="105"/>
              <w:rPr>
                <w:sz w:val="19"/>
              </w:rPr>
            </w:pPr>
            <w:r>
              <w:rPr>
                <w:w w:val="105"/>
                <w:sz w:val="19"/>
              </w:rPr>
              <w:t>CALD: 20%</w:t>
            </w:r>
          </w:p>
        </w:tc>
        <w:tc>
          <w:tcPr>
            <w:tcW w:w="3542" w:type="dxa"/>
            <w:vMerge/>
            <w:tcBorders>
              <w:top w:val="nil"/>
            </w:tcBorders>
            <w:shd w:val="clear" w:color="auto" w:fill="F2F2F2" w:themeFill="background1" w:themeFillShade="F2"/>
          </w:tcPr>
          <w:p w:rsidR="00EA1F74" w:rsidRDefault="00EA1F74">
            <w:pPr>
              <w:rPr>
                <w:sz w:val="2"/>
                <w:szCs w:val="2"/>
              </w:rPr>
            </w:pPr>
          </w:p>
        </w:tc>
      </w:tr>
    </w:tbl>
    <w:p w:rsidR="00EA1F74" w:rsidRDefault="00EA1F74">
      <w:pPr>
        <w:rPr>
          <w:sz w:val="2"/>
          <w:szCs w:val="2"/>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0"/>
        </w:rPr>
      </w:pPr>
    </w:p>
    <w:p w:rsidR="00EA1F74" w:rsidRDefault="00FC1CE8">
      <w:pPr>
        <w:pStyle w:val="Heading4"/>
        <w:spacing w:before="93"/>
      </w:pPr>
      <w:bookmarkStart w:id="18" w:name="_TOC_250047"/>
      <w:bookmarkEnd w:id="18"/>
      <w:r>
        <w:rPr>
          <w:color w:val="4472C4"/>
        </w:rPr>
        <w:t>Where did people usually reside at the time of their death?</w:t>
      </w:r>
    </w:p>
    <w:p w:rsidR="00EA1F74" w:rsidRDefault="00FC1CE8" w:rsidP="00625DA1">
      <w:pPr>
        <w:pStyle w:val="BodyText"/>
      </w:pPr>
      <w:r>
        <w:t>Table 8 summarises the accommodation status and disability service arrangements of people whose deaths were in-scope for this review (where such data were available to us). NSW was the only state to provide a stratified analysis of demographics, health status, and causes of and contributors to death based on the person’s accommodation type. The NSW Ombudsman reports divide the sample into two groups; ‘disability services’ residents (recipients of ADHC or NGO services) and ‘assisted boarding house’ residents. This division was made based on the significantly differing legislative and service provision requirements across settings. We note that findings vary substantially in the NSW samples based on accommodation type and that such a stratified analysis has allowed the NSW Ombudsman to develop a more nuanced picture of different types of deaths as a result. We commend such an approach to the Commission and note that more targeted intervention strategies may be developed as a result.</w:t>
      </w:r>
    </w:p>
    <w:p w:rsidR="00EA1F74" w:rsidRDefault="00FC1CE8" w:rsidP="00625DA1">
      <w:pPr>
        <w:pStyle w:val="BodyText"/>
      </w:pPr>
      <w:r>
        <w:t>Table 8: Accommodation status</w:t>
      </w:r>
    </w:p>
    <w:tbl>
      <w:tblPr>
        <w:tblW w:w="0" w:type="auto"/>
        <w:tblInd w:w="33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10066"/>
      </w:tblGrid>
      <w:tr w:rsidR="00EA1F74">
        <w:trPr>
          <w:trHeight w:val="521"/>
        </w:trPr>
        <w:tc>
          <w:tcPr>
            <w:tcW w:w="960" w:type="dxa"/>
            <w:tcBorders>
              <w:bottom w:val="single" w:sz="18" w:space="0" w:color="A5A5A5"/>
            </w:tcBorders>
          </w:tcPr>
          <w:p w:rsidR="00EA1F74" w:rsidRDefault="00FC1CE8">
            <w:pPr>
              <w:pStyle w:val="TableParagraph"/>
              <w:spacing w:before="3" w:line="252" w:lineRule="auto"/>
              <w:ind w:left="110" w:right="211"/>
              <w:rPr>
                <w:sz w:val="19"/>
              </w:rPr>
            </w:pPr>
            <w:r>
              <w:rPr>
                <w:w w:val="105"/>
                <w:sz w:val="19"/>
              </w:rPr>
              <w:t>Report ID</w:t>
            </w:r>
          </w:p>
        </w:tc>
        <w:tc>
          <w:tcPr>
            <w:tcW w:w="10066" w:type="dxa"/>
            <w:tcBorders>
              <w:bottom w:val="single" w:sz="18" w:space="0" w:color="A5A5A5"/>
            </w:tcBorders>
          </w:tcPr>
          <w:p w:rsidR="00EA1F74" w:rsidRDefault="00FC1CE8">
            <w:pPr>
              <w:pStyle w:val="TableParagraph"/>
              <w:spacing w:before="3"/>
              <w:ind w:left="105"/>
              <w:rPr>
                <w:sz w:val="19"/>
              </w:rPr>
            </w:pPr>
            <w:r>
              <w:rPr>
                <w:w w:val="105"/>
                <w:sz w:val="19"/>
              </w:rPr>
              <w:t>Accommodation type and disability service provision</w:t>
            </w:r>
          </w:p>
        </w:tc>
      </w:tr>
      <w:tr w:rsidR="00EA1F74" w:rsidTr="00B0036C">
        <w:trPr>
          <w:trHeight w:val="2072"/>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VIC 17-18</w:t>
            </w:r>
          </w:p>
        </w:tc>
        <w:tc>
          <w:tcPr>
            <w:tcW w:w="10066" w:type="dxa"/>
            <w:tcBorders>
              <w:top w:val="single" w:sz="18" w:space="0" w:color="A5A5A5"/>
            </w:tcBorders>
            <w:shd w:val="clear" w:color="auto" w:fill="F2F2F2" w:themeFill="background1" w:themeFillShade="F2"/>
          </w:tcPr>
          <w:p w:rsidR="00EA1F74" w:rsidRDefault="00FC1CE8">
            <w:pPr>
              <w:pStyle w:val="TableParagraph"/>
              <w:spacing w:before="3"/>
              <w:ind w:left="105"/>
              <w:rPr>
                <w:i/>
                <w:sz w:val="19"/>
              </w:rPr>
            </w:pPr>
            <w:r>
              <w:rPr>
                <w:i/>
                <w:w w:val="105"/>
                <w:sz w:val="19"/>
              </w:rPr>
              <w:t>Government or private:</w:t>
            </w:r>
          </w:p>
          <w:p w:rsidR="00EA1F74" w:rsidRDefault="00FC1CE8">
            <w:pPr>
              <w:pStyle w:val="TableParagraph"/>
              <w:numPr>
                <w:ilvl w:val="0"/>
                <w:numId w:val="89"/>
              </w:numPr>
              <w:tabs>
                <w:tab w:val="left" w:pos="465"/>
                <w:tab w:val="left" w:pos="466"/>
              </w:tabs>
              <w:spacing w:before="76"/>
              <w:ind w:hanging="361"/>
              <w:rPr>
                <w:sz w:val="19"/>
              </w:rPr>
            </w:pPr>
            <w:r>
              <w:rPr>
                <w:w w:val="105"/>
                <w:sz w:val="19"/>
              </w:rPr>
              <w:t>50% (44 people) in receipt of government funded disability services at time of</w:t>
            </w:r>
            <w:r>
              <w:rPr>
                <w:spacing w:val="2"/>
                <w:w w:val="105"/>
                <w:sz w:val="19"/>
              </w:rPr>
              <w:t xml:space="preserve"> </w:t>
            </w:r>
            <w:r>
              <w:rPr>
                <w:w w:val="105"/>
                <w:sz w:val="19"/>
              </w:rPr>
              <w:t>death</w:t>
            </w:r>
          </w:p>
          <w:p w:rsidR="00EA1F74" w:rsidRDefault="00FC1CE8">
            <w:pPr>
              <w:pStyle w:val="TableParagraph"/>
              <w:numPr>
                <w:ilvl w:val="0"/>
                <w:numId w:val="89"/>
              </w:numPr>
              <w:tabs>
                <w:tab w:val="left" w:pos="465"/>
                <w:tab w:val="left" w:pos="466"/>
              </w:tabs>
              <w:spacing w:before="7"/>
              <w:ind w:hanging="361"/>
              <w:rPr>
                <w:sz w:val="19"/>
              </w:rPr>
            </w:pPr>
            <w:r>
              <w:rPr>
                <w:w w:val="105"/>
                <w:sz w:val="19"/>
              </w:rPr>
              <w:t>50% (44 people) in receipt of non-government funded disability services at time of death</w:t>
            </w:r>
          </w:p>
          <w:p w:rsidR="00EA1F74" w:rsidRDefault="00EA1F74">
            <w:pPr>
              <w:pStyle w:val="TableParagraph"/>
              <w:spacing w:before="11"/>
              <w:rPr>
                <w:sz w:val="20"/>
              </w:rPr>
            </w:pPr>
          </w:p>
          <w:p w:rsidR="00EA1F74" w:rsidRDefault="00FC1CE8">
            <w:pPr>
              <w:pStyle w:val="TableParagraph"/>
              <w:ind w:left="105"/>
              <w:rPr>
                <w:i/>
                <w:sz w:val="19"/>
              </w:rPr>
            </w:pPr>
            <w:r>
              <w:rPr>
                <w:i/>
                <w:w w:val="105"/>
                <w:sz w:val="19"/>
              </w:rPr>
              <w:t>Service type breakdown:</w:t>
            </w:r>
          </w:p>
          <w:p w:rsidR="00EA1F74" w:rsidRDefault="00FC1CE8">
            <w:pPr>
              <w:pStyle w:val="TableParagraph"/>
              <w:numPr>
                <w:ilvl w:val="0"/>
                <w:numId w:val="89"/>
              </w:numPr>
              <w:tabs>
                <w:tab w:val="left" w:pos="465"/>
                <w:tab w:val="left" w:pos="466"/>
              </w:tabs>
              <w:spacing w:before="71"/>
              <w:ind w:hanging="361"/>
              <w:rPr>
                <w:sz w:val="19"/>
              </w:rPr>
            </w:pPr>
            <w:r>
              <w:rPr>
                <w:w w:val="105"/>
                <w:sz w:val="19"/>
              </w:rPr>
              <w:t>Shared supported accommodation (83%; 73</w:t>
            </w:r>
            <w:r>
              <w:rPr>
                <w:spacing w:val="4"/>
                <w:w w:val="105"/>
                <w:sz w:val="19"/>
              </w:rPr>
              <w:t xml:space="preserve"> </w:t>
            </w:r>
            <w:r>
              <w:rPr>
                <w:w w:val="105"/>
                <w:sz w:val="19"/>
              </w:rPr>
              <w:t>people)</w:t>
            </w:r>
          </w:p>
          <w:p w:rsidR="00EA1F74" w:rsidRDefault="00FC1CE8">
            <w:pPr>
              <w:pStyle w:val="TableParagraph"/>
              <w:numPr>
                <w:ilvl w:val="0"/>
                <w:numId w:val="89"/>
              </w:numPr>
              <w:tabs>
                <w:tab w:val="left" w:pos="465"/>
                <w:tab w:val="left" w:pos="466"/>
              </w:tabs>
              <w:spacing w:before="12"/>
              <w:ind w:hanging="361"/>
              <w:rPr>
                <w:sz w:val="19"/>
              </w:rPr>
            </w:pPr>
            <w:r>
              <w:rPr>
                <w:w w:val="105"/>
                <w:sz w:val="19"/>
              </w:rPr>
              <w:t>Individual support package (8%; 6</w:t>
            </w:r>
            <w:r>
              <w:rPr>
                <w:spacing w:val="2"/>
                <w:w w:val="105"/>
                <w:sz w:val="19"/>
              </w:rPr>
              <w:t xml:space="preserve"> </w:t>
            </w:r>
            <w:r>
              <w:rPr>
                <w:w w:val="105"/>
                <w:sz w:val="19"/>
              </w:rPr>
              <w:t>people)</w:t>
            </w:r>
          </w:p>
        </w:tc>
      </w:tr>
      <w:tr w:rsidR="00EA1F74">
        <w:trPr>
          <w:trHeight w:val="580"/>
        </w:trPr>
        <w:tc>
          <w:tcPr>
            <w:tcW w:w="960"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5"/>
              <w:ind w:left="110"/>
              <w:rPr>
                <w:b/>
                <w:sz w:val="19"/>
              </w:rPr>
            </w:pPr>
            <w:r>
              <w:rPr>
                <w:b/>
                <w:w w:val="105"/>
                <w:sz w:val="19"/>
              </w:rPr>
              <w:t>07-16</w:t>
            </w:r>
          </w:p>
        </w:tc>
        <w:tc>
          <w:tcPr>
            <w:tcW w:w="10066" w:type="dxa"/>
          </w:tcPr>
          <w:p w:rsidR="00EA1F74" w:rsidRDefault="00FC1CE8">
            <w:pPr>
              <w:pStyle w:val="TableParagraph"/>
              <w:spacing w:before="3"/>
              <w:ind w:left="105"/>
              <w:rPr>
                <w:sz w:val="19"/>
              </w:rPr>
            </w:pPr>
            <w:r>
              <w:rPr>
                <w:w w:val="103"/>
                <w:sz w:val="19"/>
              </w:rPr>
              <w:t>-</w:t>
            </w:r>
          </w:p>
        </w:tc>
      </w:tr>
      <w:tr w:rsidR="00EA1F74" w:rsidTr="00B0036C">
        <w:trPr>
          <w:trHeight w:val="1237"/>
        </w:trPr>
        <w:tc>
          <w:tcPr>
            <w:tcW w:w="960" w:type="dxa"/>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QLD 09-14</w:t>
            </w:r>
          </w:p>
        </w:tc>
        <w:tc>
          <w:tcPr>
            <w:tcW w:w="10066" w:type="dxa"/>
            <w:shd w:val="clear" w:color="auto" w:fill="F2F2F2" w:themeFill="background1" w:themeFillShade="F2"/>
          </w:tcPr>
          <w:p w:rsidR="00EA1F74" w:rsidRDefault="00FC1CE8">
            <w:pPr>
              <w:pStyle w:val="TableParagraph"/>
              <w:numPr>
                <w:ilvl w:val="0"/>
                <w:numId w:val="88"/>
              </w:numPr>
              <w:tabs>
                <w:tab w:val="left" w:pos="465"/>
                <w:tab w:val="left" w:pos="466"/>
              </w:tabs>
              <w:spacing w:before="5" w:line="252" w:lineRule="auto"/>
              <w:ind w:right="252"/>
              <w:rPr>
                <w:sz w:val="19"/>
              </w:rPr>
            </w:pPr>
            <w:r>
              <w:rPr>
                <w:w w:val="105"/>
                <w:sz w:val="19"/>
              </w:rPr>
              <w:t>89%: Usually resided in disability provided or funded services at time of death (89%): This was comprised of 53% in supported accommodation provided by non-government organisations and 36% supported by government run</w:t>
            </w:r>
            <w:r>
              <w:rPr>
                <w:spacing w:val="1"/>
                <w:w w:val="105"/>
                <w:sz w:val="19"/>
              </w:rPr>
              <w:t xml:space="preserve"> </w:t>
            </w:r>
            <w:r>
              <w:rPr>
                <w:w w:val="105"/>
                <w:sz w:val="19"/>
              </w:rPr>
              <w:t>AS&amp;R</w:t>
            </w:r>
          </w:p>
          <w:p w:rsidR="00EA1F74" w:rsidRDefault="00FC1CE8">
            <w:pPr>
              <w:pStyle w:val="TableParagraph"/>
              <w:numPr>
                <w:ilvl w:val="0"/>
                <w:numId w:val="88"/>
              </w:numPr>
              <w:tabs>
                <w:tab w:val="left" w:pos="465"/>
                <w:tab w:val="left" w:pos="466"/>
              </w:tabs>
              <w:spacing w:before="2"/>
              <w:ind w:hanging="361"/>
              <w:rPr>
                <w:sz w:val="19"/>
              </w:rPr>
            </w:pPr>
            <w:r>
              <w:rPr>
                <w:w w:val="105"/>
                <w:sz w:val="19"/>
              </w:rPr>
              <w:t>11%: Usually resided in level 3 residential service accommodation at time of</w:t>
            </w:r>
            <w:r>
              <w:rPr>
                <w:spacing w:val="2"/>
                <w:w w:val="105"/>
                <w:sz w:val="19"/>
              </w:rPr>
              <w:t xml:space="preserve"> </w:t>
            </w:r>
            <w:r>
              <w:rPr>
                <w:w w:val="105"/>
                <w:sz w:val="19"/>
              </w:rPr>
              <w:t>death</w:t>
            </w:r>
          </w:p>
        </w:tc>
      </w:tr>
      <w:tr w:rsidR="00EA1F74">
        <w:trPr>
          <w:trHeight w:val="1492"/>
        </w:trPr>
        <w:tc>
          <w:tcPr>
            <w:tcW w:w="960" w:type="dxa"/>
          </w:tcPr>
          <w:p w:rsidR="00EA1F74" w:rsidRDefault="00FC1CE8">
            <w:pPr>
              <w:pStyle w:val="TableParagraph"/>
              <w:spacing w:before="3" w:line="321" w:lineRule="auto"/>
              <w:ind w:left="110" w:right="316"/>
              <w:rPr>
                <w:b/>
                <w:sz w:val="19"/>
              </w:rPr>
            </w:pPr>
            <w:r>
              <w:rPr>
                <w:b/>
                <w:w w:val="105"/>
                <w:sz w:val="19"/>
              </w:rPr>
              <w:t>NSW 12-13</w:t>
            </w:r>
          </w:p>
        </w:tc>
        <w:tc>
          <w:tcPr>
            <w:tcW w:w="10066" w:type="dxa"/>
          </w:tcPr>
          <w:p w:rsidR="00EA1F74" w:rsidRDefault="00FC1CE8">
            <w:pPr>
              <w:pStyle w:val="TableParagraph"/>
              <w:numPr>
                <w:ilvl w:val="0"/>
                <w:numId w:val="87"/>
              </w:numPr>
              <w:tabs>
                <w:tab w:val="left" w:pos="465"/>
                <w:tab w:val="left" w:pos="466"/>
              </w:tabs>
              <w:spacing w:before="5" w:line="249" w:lineRule="auto"/>
              <w:ind w:right="453"/>
              <w:rPr>
                <w:sz w:val="19"/>
              </w:rPr>
            </w:pPr>
            <w:r>
              <w:rPr>
                <w:w w:val="105"/>
                <w:sz w:val="19"/>
              </w:rPr>
              <w:t>121 people (51%) lived in Department of Family and Community Services: Ageing, Disability and Home Care (ADHC)</w:t>
            </w:r>
            <w:r>
              <w:rPr>
                <w:spacing w:val="1"/>
                <w:w w:val="105"/>
                <w:sz w:val="19"/>
              </w:rPr>
              <w:t xml:space="preserve"> </w:t>
            </w:r>
            <w:r>
              <w:rPr>
                <w:w w:val="105"/>
                <w:sz w:val="19"/>
              </w:rPr>
              <w:t>accommodation</w:t>
            </w:r>
          </w:p>
          <w:p w:rsidR="00EA1F74" w:rsidRDefault="00FC1CE8">
            <w:pPr>
              <w:pStyle w:val="TableParagraph"/>
              <w:numPr>
                <w:ilvl w:val="0"/>
                <w:numId w:val="87"/>
              </w:numPr>
              <w:tabs>
                <w:tab w:val="left" w:pos="465"/>
                <w:tab w:val="left" w:pos="466"/>
              </w:tabs>
              <w:spacing w:before="6"/>
              <w:ind w:hanging="361"/>
              <w:rPr>
                <w:sz w:val="19"/>
              </w:rPr>
            </w:pPr>
            <w:r>
              <w:rPr>
                <w:w w:val="105"/>
                <w:sz w:val="19"/>
              </w:rPr>
              <w:t>101 people (42%) lived in non-government (ADHC-funded)</w:t>
            </w:r>
            <w:r>
              <w:rPr>
                <w:spacing w:val="3"/>
                <w:w w:val="105"/>
                <w:sz w:val="19"/>
              </w:rPr>
              <w:t xml:space="preserve"> </w:t>
            </w:r>
            <w:r>
              <w:rPr>
                <w:w w:val="105"/>
                <w:sz w:val="19"/>
              </w:rPr>
              <w:t>accommodation</w:t>
            </w:r>
          </w:p>
          <w:p w:rsidR="00EA1F74" w:rsidRDefault="00FC1CE8">
            <w:pPr>
              <w:pStyle w:val="TableParagraph"/>
              <w:numPr>
                <w:ilvl w:val="0"/>
                <w:numId w:val="87"/>
              </w:numPr>
              <w:tabs>
                <w:tab w:val="left" w:pos="465"/>
                <w:tab w:val="left" w:pos="466"/>
              </w:tabs>
              <w:spacing w:before="12"/>
              <w:ind w:hanging="361"/>
              <w:rPr>
                <w:sz w:val="19"/>
              </w:rPr>
            </w:pPr>
            <w:r>
              <w:rPr>
                <w:w w:val="105"/>
                <w:sz w:val="19"/>
              </w:rPr>
              <w:t>14 people (6%) lived in assisted boarding houses,</w:t>
            </w:r>
            <w:r>
              <w:rPr>
                <w:spacing w:val="6"/>
                <w:w w:val="105"/>
                <w:sz w:val="19"/>
              </w:rPr>
              <w:t xml:space="preserve"> </w:t>
            </w:r>
            <w:r>
              <w:rPr>
                <w:w w:val="105"/>
                <w:sz w:val="19"/>
              </w:rPr>
              <w:t>and</w:t>
            </w:r>
          </w:p>
          <w:p w:rsidR="00EA1F74" w:rsidRDefault="00FC1CE8">
            <w:pPr>
              <w:pStyle w:val="TableParagraph"/>
              <w:numPr>
                <w:ilvl w:val="0"/>
                <w:numId w:val="87"/>
              </w:numPr>
              <w:tabs>
                <w:tab w:val="left" w:pos="520"/>
                <w:tab w:val="left" w:pos="521"/>
              </w:tabs>
              <w:spacing w:before="7"/>
              <w:ind w:left="520" w:hanging="416"/>
              <w:rPr>
                <w:sz w:val="19"/>
              </w:rPr>
            </w:pPr>
            <w:r>
              <w:rPr>
                <w:w w:val="105"/>
                <w:sz w:val="19"/>
              </w:rPr>
              <w:t>3 people (1%) were living in private or community housing with ADHC or NGO</w:t>
            </w:r>
            <w:r>
              <w:rPr>
                <w:spacing w:val="5"/>
                <w:w w:val="105"/>
                <w:sz w:val="19"/>
              </w:rPr>
              <w:t xml:space="preserve"> </w:t>
            </w:r>
            <w:r>
              <w:rPr>
                <w:w w:val="105"/>
                <w:sz w:val="19"/>
              </w:rPr>
              <w:t>support.</w:t>
            </w:r>
          </w:p>
        </w:tc>
      </w:tr>
      <w:tr w:rsidR="00EA1F74" w:rsidTr="0049783C">
        <w:trPr>
          <w:trHeight w:val="1266"/>
        </w:trPr>
        <w:tc>
          <w:tcPr>
            <w:tcW w:w="960" w:type="dxa"/>
            <w:shd w:val="clear" w:color="auto" w:fill="F2F2F2" w:themeFill="background1" w:themeFillShade="F2"/>
          </w:tcPr>
          <w:p w:rsidR="00EA1F74" w:rsidRDefault="00FC1CE8">
            <w:pPr>
              <w:pStyle w:val="TableParagraph"/>
              <w:spacing w:before="8" w:line="252" w:lineRule="auto"/>
              <w:ind w:left="110" w:right="316"/>
              <w:rPr>
                <w:b/>
                <w:sz w:val="19"/>
              </w:rPr>
            </w:pPr>
            <w:r>
              <w:rPr>
                <w:b/>
                <w:w w:val="105"/>
                <w:sz w:val="19"/>
              </w:rPr>
              <w:t>NSW 14-17</w:t>
            </w:r>
          </w:p>
        </w:tc>
        <w:tc>
          <w:tcPr>
            <w:tcW w:w="10066" w:type="dxa"/>
            <w:shd w:val="clear" w:color="auto" w:fill="F2F2F2" w:themeFill="background1" w:themeFillShade="F2"/>
          </w:tcPr>
          <w:p w:rsidR="00EA1F74" w:rsidRDefault="00FC1CE8">
            <w:pPr>
              <w:pStyle w:val="TableParagraph"/>
              <w:numPr>
                <w:ilvl w:val="0"/>
                <w:numId w:val="86"/>
              </w:numPr>
              <w:tabs>
                <w:tab w:val="left" w:pos="465"/>
                <w:tab w:val="left" w:pos="466"/>
              </w:tabs>
              <w:spacing w:before="10"/>
              <w:ind w:left="465" w:hanging="361"/>
              <w:rPr>
                <w:sz w:val="19"/>
              </w:rPr>
            </w:pPr>
            <w:r>
              <w:rPr>
                <w:w w:val="105"/>
                <w:sz w:val="19"/>
              </w:rPr>
              <w:t>234 people (47%) lived in FACS</w:t>
            </w:r>
            <w:r>
              <w:rPr>
                <w:spacing w:val="5"/>
                <w:w w:val="105"/>
                <w:sz w:val="19"/>
              </w:rPr>
              <w:t xml:space="preserve"> </w:t>
            </w:r>
            <w:r>
              <w:rPr>
                <w:w w:val="105"/>
                <w:sz w:val="19"/>
              </w:rPr>
              <w:t>accommodation</w:t>
            </w:r>
          </w:p>
          <w:p w:rsidR="00EA1F74" w:rsidRDefault="00FC1CE8">
            <w:pPr>
              <w:pStyle w:val="TableParagraph"/>
              <w:numPr>
                <w:ilvl w:val="0"/>
                <w:numId w:val="86"/>
              </w:numPr>
              <w:tabs>
                <w:tab w:val="left" w:pos="465"/>
                <w:tab w:val="left" w:pos="466"/>
              </w:tabs>
              <w:spacing w:before="7" w:line="249" w:lineRule="auto"/>
              <w:ind w:right="1564" w:firstLine="0"/>
              <w:rPr>
                <w:sz w:val="19"/>
              </w:rPr>
            </w:pPr>
            <w:r>
              <w:rPr>
                <w:w w:val="105"/>
                <w:sz w:val="19"/>
              </w:rPr>
              <w:t>238 people (48%) lived in non-government organisation (NGO) accommodation – FACS or NDIS</w:t>
            </w:r>
            <w:r>
              <w:rPr>
                <w:spacing w:val="1"/>
                <w:w w:val="105"/>
                <w:sz w:val="19"/>
              </w:rPr>
              <w:t xml:space="preserve"> </w:t>
            </w:r>
            <w:r>
              <w:rPr>
                <w:w w:val="105"/>
                <w:sz w:val="19"/>
              </w:rPr>
              <w:t>funded</w:t>
            </w:r>
          </w:p>
          <w:p w:rsidR="00EA1F74" w:rsidRDefault="00FC1CE8">
            <w:pPr>
              <w:pStyle w:val="TableParagraph"/>
              <w:numPr>
                <w:ilvl w:val="0"/>
                <w:numId w:val="86"/>
              </w:numPr>
              <w:tabs>
                <w:tab w:val="left" w:pos="465"/>
                <w:tab w:val="left" w:pos="466"/>
              </w:tabs>
              <w:spacing w:before="64"/>
              <w:ind w:left="465" w:hanging="361"/>
              <w:rPr>
                <w:sz w:val="19"/>
              </w:rPr>
            </w:pPr>
            <w:r>
              <w:rPr>
                <w:w w:val="105"/>
                <w:sz w:val="19"/>
              </w:rPr>
              <w:t>18 people (4%) lived in assisted boarding</w:t>
            </w:r>
            <w:r>
              <w:rPr>
                <w:spacing w:val="6"/>
                <w:w w:val="105"/>
                <w:sz w:val="19"/>
              </w:rPr>
              <w:t xml:space="preserve"> </w:t>
            </w:r>
            <w:r>
              <w:rPr>
                <w:w w:val="105"/>
                <w:sz w:val="19"/>
              </w:rPr>
              <w:t>houses</w:t>
            </w:r>
          </w:p>
          <w:p w:rsidR="00EA1F74" w:rsidRDefault="00FC1CE8">
            <w:pPr>
              <w:pStyle w:val="TableParagraph"/>
              <w:numPr>
                <w:ilvl w:val="0"/>
                <w:numId w:val="86"/>
              </w:numPr>
              <w:tabs>
                <w:tab w:val="left" w:pos="465"/>
                <w:tab w:val="left" w:pos="466"/>
              </w:tabs>
              <w:spacing w:before="12" w:line="219" w:lineRule="exact"/>
              <w:ind w:left="465" w:hanging="361"/>
              <w:rPr>
                <w:sz w:val="19"/>
              </w:rPr>
            </w:pPr>
            <w:r>
              <w:rPr>
                <w:w w:val="105"/>
                <w:sz w:val="19"/>
              </w:rPr>
              <w:t>3 people (0.6%) were living in private or community housing with FACS or NGO</w:t>
            </w:r>
            <w:r>
              <w:rPr>
                <w:spacing w:val="3"/>
                <w:w w:val="105"/>
                <w:sz w:val="19"/>
              </w:rPr>
              <w:t xml:space="preserve"> </w:t>
            </w:r>
            <w:r>
              <w:rPr>
                <w:w w:val="105"/>
                <w:sz w:val="19"/>
              </w:rPr>
              <w:t>support.</w:t>
            </w:r>
          </w:p>
        </w:tc>
      </w:tr>
    </w:tbl>
    <w:p w:rsidR="00EA1F74" w:rsidRDefault="00EA1F74">
      <w:pPr>
        <w:spacing w:line="219" w:lineRule="exact"/>
        <w:rPr>
          <w:sz w:val="19"/>
        </w:rPr>
        <w:sectPr w:rsidR="00EA1F74" w:rsidSect="00FA5D6D">
          <w:pgSz w:w="11900" w:h="16840"/>
          <w:pgMar w:top="1600" w:right="260" w:bottom="1300" w:left="140" w:header="0" w:footer="567" w:gutter="0"/>
          <w:cols w:space="720"/>
          <w:docGrid w:linePitch="299"/>
        </w:sectPr>
      </w:pPr>
    </w:p>
    <w:p w:rsidR="00EA1F74" w:rsidRDefault="00FC1CE8" w:rsidP="00EE7B87">
      <w:pPr>
        <w:pStyle w:val="Heading3"/>
      </w:pPr>
      <w:bookmarkStart w:id="19" w:name="_TOC_250046"/>
      <w:bookmarkEnd w:id="19"/>
      <w:r>
        <w:t>The health status of people who died</w:t>
      </w:r>
    </w:p>
    <w:p w:rsidR="00EA1F74" w:rsidRDefault="00EA1F74" w:rsidP="00625DA1">
      <w:pPr>
        <w:pStyle w:val="BodyText"/>
      </w:pPr>
    </w:p>
    <w:p w:rsidR="00EA1F74" w:rsidRPr="0049783C" w:rsidRDefault="00FC1CE8">
      <w:pPr>
        <w:pStyle w:val="Heading4"/>
        <w:rPr>
          <w:color w:val="1F497D" w:themeColor="text2"/>
        </w:rPr>
      </w:pPr>
      <w:bookmarkStart w:id="20" w:name="_TOC_250045"/>
      <w:bookmarkEnd w:id="20"/>
      <w:r w:rsidRPr="0049783C">
        <w:rPr>
          <w:color w:val="1F497D" w:themeColor="text2"/>
        </w:rPr>
        <w:t>Primary and additional disabilities</w:t>
      </w:r>
    </w:p>
    <w:p w:rsidR="00EA1F74" w:rsidRDefault="00FC1CE8" w:rsidP="00625DA1">
      <w:pPr>
        <w:pStyle w:val="BodyText"/>
      </w:pPr>
      <w:r>
        <w:t>Primary and additional disabilities are outlined in Table 9. The way in which a person’s disabilities were recorded and accounted for varied from state to state. In Victoria (VIC 17- 18), the person’s ‘primary’ disability type was recorded in the death review. This was defined as, ‘the primary disability type requiring most support’. Information about ‘additional’ disabilities was also collected, however, no working definition for this term was provided. In QLD (09-14), the ‘primary’ disability type was defined as the disability recorded on the person’s coronial documentation. In NSW (12-13 &amp; 14-17), the Ombudsman listed all disabilities as part of their analysis without distinguishing between primary or additional disability status for reporting purposes.</w:t>
      </w:r>
    </w:p>
    <w:p w:rsidR="00EA1F74" w:rsidRDefault="00EA1F74" w:rsidP="00625DA1">
      <w:pPr>
        <w:pStyle w:val="BodyText"/>
      </w:pPr>
    </w:p>
    <w:p w:rsidR="00EA1F74" w:rsidRDefault="00FC1CE8" w:rsidP="00625DA1">
      <w:pPr>
        <w:pStyle w:val="BodyText"/>
      </w:pPr>
      <w:r>
        <w:t xml:space="preserve">Despite these differences in reporting methods, it is clear that the overwhelming majority of in-scope deaths across samples involved people with intellectual disability. In samples that ranked frequency of primary disabilities, intellectual disability was consistently highest ranked (impacting between 40%- 54% of people). Where intellectual disability was considered as </w:t>
      </w:r>
      <w:r>
        <w:rPr>
          <w:i/>
        </w:rPr>
        <w:t xml:space="preserve">either </w:t>
      </w:r>
      <w:r>
        <w:t>a primary or secondary cause of disability, it was listed as a cause of disability for between 74% and 89% of people whose deaths were in-scope. In the Victorian sample (VIC 17-18), people were more likely to have mild or moderate intellectual disability (60%), compared to severe or profound intellectual disability (37%). In the 2012-13 NSW sample, however, people were reported as being more likely to have moderate or severe intellectual disability (99%), compared to mild intellectual disability (1%). Level of intellectual disability was not provided in any of the other</w:t>
      </w:r>
      <w:r>
        <w:rPr>
          <w:spacing w:val="-7"/>
        </w:rPr>
        <w:t xml:space="preserve"> </w:t>
      </w:r>
      <w:r>
        <w:t>reports.</w:t>
      </w:r>
    </w:p>
    <w:p w:rsidR="00FA1F07" w:rsidRDefault="00FA1F07">
      <w:pPr>
        <w:rPr>
          <w:w w:val="105"/>
          <w:sz w:val="24"/>
          <w:szCs w:val="24"/>
        </w:rPr>
      </w:pPr>
      <w:r>
        <w:br w:type="page"/>
      </w:r>
    </w:p>
    <w:p w:rsidR="00EA1F74" w:rsidRDefault="00FC1CE8" w:rsidP="00625DA1">
      <w:pPr>
        <w:pStyle w:val="BodyText"/>
      </w:pPr>
      <w:r>
        <w:t>Table 9: Type of disability</w:t>
      </w: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782"/>
      </w:tblGrid>
      <w:tr w:rsidR="00EA1F74">
        <w:trPr>
          <w:trHeight w:val="517"/>
        </w:trPr>
        <w:tc>
          <w:tcPr>
            <w:tcW w:w="960" w:type="dxa"/>
            <w:tcBorders>
              <w:bottom w:val="single" w:sz="18" w:space="0" w:color="A5A5A5"/>
            </w:tcBorders>
          </w:tcPr>
          <w:p w:rsidR="00EA1F74" w:rsidRDefault="00FC1CE8">
            <w:pPr>
              <w:pStyle w:val="TableParagraph"/>
              <w:spacing w:before="3" w:line="252" w:lineRule="auto"/>
              <w:ind w:left="110" w:right="211"/>
              <w:rPr>
                <w:sz w:val="19"/>
              </w:rPr>
            </w:pPr>
            <w:r>
              <w:rPr>
                <w:w w:val="105"/>
                <w:sz w:val="19"/>
              </w:rPr>
              <w:t>Report ID</w:t>
            </w:r>
          </w:p>
        </w:tc>
        <w:tc>
          <w:tcPr>
            <w:tcW w:w="9782" w:type="dxa"/>
            <w:tcBorders>
              <w:bottom w:val="single" w:sz="18" w:space="0" w:color="A5A5A5"/>
            </w:tcBorders>
          </w:tcPr>
          <w:p w:rsidR="00EA1F74" w:rsidRDefault="00FC1CE8">
            <w:pPr>
              <w:pStyle w:val="TableParagraph"/>
              <w:spacing w:before="3"/>
              <w:ind w:left="110"/>
              <w:rPr>
                <w:sz w:val="19"/>
              </w:rPr>
            </w:pPr>
            <w:r>
              <w:rPr>
                <w:w w:val="105"/>
                <w:sz w:val="19"/>
              </w:rPr>
              <w:t>Type of disabilities</w:t>
            </w:r>
          </w:p>
        </w:tc>
      </w:tr>
      <w:tr w:rsidR="00EA1F74" w:rsidTr="0049783C">
        <w:trPr>
          <w:trHeight w:val="1942"/>
        </w:trPr>
        <w:tc>
          <w:tcPr>
            <w:tcW w:w="960" w:type="dxa"/>
            <w:tcBorders>
              <w:top w:val="single" w:sz="18" w:space="0" w:color="A5A5A5"/>
            </w:tcBorders>
            <w:shd w:val="clear" w:color="auto" w:fill="F2F2F2" w:themeFill="background1" w:themeFillShade="F2"/>
          </w:tcPr>
          <w:p w:rsidR="00EA1F74" w:rsidRDefault="00FC1CE8">
            <w:pPr>
              <w:pStyle w:val="TableParagraph"/>
              <w:spacing w:before="8" w:line="316" w:lineRule="auto"/>
              <w:ind w:left="110" w:right="316"/>
              <w:rPr>
                <w:b/>
                <w:sz w:val="19"/>
              </w:rPr>
            </w:pPr>
            <w:r>
              <w:rPr>
                <w:b/>
                <w:w w:val="105"/>
                <w:sz w:val="19"/>
              </w:rPr>
              <w:t>VIC 17-18</w:t>
            </w:r>
          </w:p>
        </w:tc>
        <w:tc>
          <w:tcPr>
            <w:tcW w:w="9782" w:type="dxa"/>
            <w:tcBorders>
              <w:top w:val="single" w:sz="18" w:space="0" w:color="A5A5A5"/>
            </w:tcBorders>
            <w:shd w:val="clear" w:color="auto" w:fill="F2F2F2" w:themeFill="background1" w:themeFillShade="F2"/>
          </w:tcPr>
          <w:p w:rsidR="00EA1F74" w:rsidRDefault="00FC1CE8">
            <w:pPr>
              <w:pStyle w:val="TableParagraph"/>
              <w:spacing w:before="8"/>
              <w:ind w:left="110"/>
              <w:rPr>
                <w:b/>
                <w:sz w:val="19"/>
              </w:rPr>
            </w:pPr>
            <w:r>
              <w:rPr>
                <w:b/>
                <w:w w:val="105"/>
                <w:sz w:val="19"/>
              </w:rPr>
              <w:t>Primary disability type requiring most support:</w:t>
            </w:r>
          </w:p>
          <w:p w:rsidR="00EA1F74" w:rsidRDefault="00FC1CE8">
            <w:pPr>
              <w:pStyle w:val="TableParagraph"/>
              <w:numPr>
                <w:ilvl w:val="0"/>
                <w:numId w:val="85"/>
              </w:numPr>
              <w:tabs>
                <w:tab w:val="left" w:pos="469"/>
                <w:tab w:val="left" w:pos="470"/>
              </w:tabs>
              <w:spacing w:before="71"/>
              <w:rPr>
                <w:b/>
                <w:sz w:val="19"/>
              </w:rPr>
            </w:pPr>
            <w:r>
              <w:rPr>
                <w:b/>
                <w:w w:val="105"/>
                <w:sz w:val="19"/>
              </w:rPr>
              <w:t>Intellectual disability: 40%</w:t>
            </w:r>
          </w:p>
          <w:p w:rsidR="00EA1F74" w:rsidRDefault="00FC1CE8">
            <w:pPr>
              <w:pStyle w:val="TableParagraph"/>
              <w:spacing w:before="10"/>
              <w:ind w:left="470"/>
              <w:rPr>
                <w:sz w:val="19"/>
              </w:rPr>
            </w:pPr>
            <w:r>
              <w:rPr>
                <w:i/>
                <w:w w:val="105"/>
                <w:sz w:val="19"/>
              </w:rPr>
              <w:t xml:space="preserve">Detailed breakdown: </w:t>
            </w:r>
            <w:r>
              <w:rPr>
                <w:w w:val="105"/>
                <w:sz w:val="19"/>
              </w:rPr>
              <w:t>Mild (11%)</w:t>
            </w:r>
            <w:r>
              <w:rPr>
                <w:i/>
                <w:w w:val="105"/>
                <w:sz w:val="19"/>
              </w:rPr>
              <w:t xml:space="preserve">; </w:t>
            </w:r>
            <w:r>
              <w:rPr>
                <w:w w:val="105"/>
                <w:sz w:val="19"/>
              </w:rPr>
              <w:t>Moderate (14%)</w:t>
            </w:r>
            <w:r>
              <w:rPr>
                <w:i/>
                <w:w w:val="105"/>
                <w:sz w:val="19"/>
              </w:rPr>
              <w:t xml:space="preserve">; </w:t>
            </w:r>
            <w:r>
              <w:rPr>
                <w:w w:val="105"/>
                <w:sz w:val="19"/>
              </w:rPr>
              <w:t>Profound (4%)</w:t>
            </w:r>
            <w:r>
              <w:rPr>
                <w:i/>
                <w:w w:val="105"/>
                <w:sz w:val="19"/>
              </w:rPr>
              <w:t xml:space="preserve">; </w:t>
            </w:r>
            <w:r>
              <w:rPr>
                <w:w w:val="105"/>
                <w:sz w:val="19"/>
              </w:rPr>
              <w:t>Severe (9%)</w:t>
            </w:r>
            <w:r>
              <w:rPr>
                <w:i/>
                <w:w w:val="105"/>
                <w:sz w:val="19"/>
              </w:rPr>
              <w:t xml:space="preserve">; </w:t>
            </w:r>
            <w:r>
              <w:rPr>
                <w:w w:val="105"/>
                <w:sz w:val="19"/>
              </w:rPr>
              <w:t>Unknown (2%)</w:t>
            </w:r>
          </w:p>
          <w:p w:rsidR="00EA1F74" w:rsidRDefault="00FC1CE8">
            <w:pPr>
              <w:pStyle w:val="TableParagraph"/>
              <w:numPr>
                <w:ilvl w:val="0"/>
                <w:numId w:val="85"/>
              </w:numPr>
              <w:tabs>
                <w:tab w:val="left" w:pos="469"/>
                <w:tab w:val="left" w:pos="470"/>
              </w:tabs>
              <w:spacing w:before="14"/>
              <w:rPr>
                <w:b/>
                <w:sz w:val="19"/>
              </w:rPr>
            </w:pPr>
            <w:r>
              <w:rPr>
                <w:b/>
                <w:w w:val="105"/>
                <w:sz w:val="19"/>
              </w:rPr>
              <w:t>Physical disability: 19%</w:t>
            </w:r>
          </w:p>
          <w:p w:rsidR="00EA1F74" w:rsidRDefault="00FC1CE8">
            <w:pPr>
              <w:pStyle w:val="TableParagraph"/>
              <w:spacing w:before="10"/>
              <w:ind w:left="470"/>
              <w:rPr>
                <w:sz w:val="19"/>
              </w:rPr>
            </w:pPr>
            <w:r>
              <w:rPr>
                <w:i/>
                <w:w w:val="105"/>
                <w:sz w:val="19"/>
              </w:rPr>
              <w:t xml:space="preserve">Detailed breakdown: </w:t>
            </w:r>
            <w:r>
              <w:rPr>
                <w:w w:val="105"/>
                <w:sz w:val="19"/>
              </w:rPr>
              <w:t>Cerebral palsy (inc spastic quadriplegia) (14%)</w:t>
            </w:r>
            <w:r>
              <w:rPr>
                <w:i/>
                <w:w w:val="105"/>
                <w:sz w:val="19"/>
              </w:rPr>
              <w:t xml:space="preserve">; </w:t>
            </w:r>
            <w:r>
              <w:rPr>
                <w:w w:val="105"/>
                <w:sz w:val="19"/>
              </w:rPr>
              <w:t>Other (5%)</w:t>
            </w:r>
          </w:p>
          <w:p w:rsidR="00EA1F74" w:rsidRDefault="00FC1CE8">
            <w:pPr>
              <w:pStyle w:val="TableParagraph"/>
              <w:numPr>
                <w:ilvl w:val="0"/>
                <w:numId w:val="85"/>
              </w:numPr>
              <w:tabs>
                <w:tab w:val="left" w:pos="469"/>
                <w:tab w:val="left" w:pos="470"/>
              </w:tabs>
              <w:spacing w:before="9"/>
              <w:rPr>
                <w:b/>
                <w:sz w:val="19"/>
              </w:rPr>
            </w:pPr>
            <w:r>
              <w:rPr>
                <w:b/>
                <w:w w:val="105"/>
                <w:sz w:val="19"/>
              </w:rPr>
              <w:t>Neurological: 19%</w:t>
            </w:r>
          </w:p>
          <w:p w:rsidR="00EA1F74" w:rsidRDefault="00FC1CE8">
            <w:pPr>
              <w:pStyle w:val="TableParagraph"/>
              <w:spacing w:before="5" w:line="230" w:lineRule="exact"/>
              <w:ind w:left="470"/>
              <w:rPr>
                <w:sz w:val="19"/>
              </w:rPr>
            </w:pPr>
            <w:r>
              <w:rPr>
                <w:i/>
                <w:w w:val="105"/>
                <w:sz w:val="19"/>
              </w:rPr>
              <w:t xml:space="preserve">Detailed breakdown: </w:t>
            </w:r>
            <w:r>
              <w:rPr>
                <w:w w:val="105"/>
                <w:sz w:val="19"/>
              </w:rPr>
              <w:t>Acquired brain injury (7%)</w:t>
            </w:r>
            <w:r>
              <w:rPr>
                <w:i/>
                <w:w w:val="105"/>
                <w:sz w:val="19"/>
              </w:rPr>
              <w:t xml:space="preserve">; </w:t>
            </w:r>
            <w:r>
              <w:rPr>
                <w:w w:val="105"/>
                <w:sz w:val="19"/>
              </w:rPr>
              <w:t>Huntington’s disease (4%)</w:t>
            </w:r>
            <w:r>
              <w:rPr>
                <w:i/>
                <w:w w:val="105"/>
                <w:sz w:val="19"/>
              </w:rPr>
              <w:t xml:space="preserve">; </w:t>
            </w:r>
            <w:r>
              <w:rPr>
                <w:w w:val="105"/>
                <w:sz w:val="19"/>
              </w:rPr>
              <w:t>Multiple Sclerosis (4%)</w:t>
            </w:r>
            <w:r>
              <w:rPr>
                <w:i/>
                <w:w w:val="105"/>
                <w:sz w:val="19"/>
              </w:rPr>
              <w:t xml:space="preserve">; </w:t>
            </w:r>
            <w:r>
              <w:rPr>
                <w:w w:val="105"/>
                <w:sz w:val="19"/>
              </w:rPr>
              <w:t>Muscular dystrophy (2%)</w:t>
            </w:r>
            <w:r>
              <w:rPr>
                <w:i/>
                <w:w w:val="105"/>
                <w:sz w:val="19"/>
              </w:rPr>
              <w:t xml:space="preserve">; </w:t>
            </w:r>
            <w:r>
              <w:rPr>
                <w:w w:val="105"/>
                <w:sz w:val="19"/>
              </w:rPr>
              <w:t>Other (2%)</w:t>
            </w:r>
          </w:p>
        </w:tc>
      </w:tr>
    </w:tbl>
    <w:p w:rsidR="00EA1F74" w:rsidRDefault="00EA1F74">
      <w:pPr>
        <w:spacing w:line="230" w:lineRule="exact"/>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rPr>
          <w:sz w:val="19"/>
        </w:rPr>
      </w:pP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782"/>
      </w:tblGrid>
      <w:tr w:rsidR="00EA1F74" w:rsidTr="0049783C">
        <w:trPr>
          <w:trHeight w:val="2581"/>
        </w:trPr>
        <w:tc>
          <w:tcPr>
            <w:tcW w:w="960" w:type="dxa"/>
            <w:shd w:val="clear" w:color="auto" w:fill="F2F2F2" w:themeFill="background1" w:themeFillShade="F2"/>
          </w:tcPr>
          <w:p w:rsidR="00EA1F74" w:rsidRDefault="00EA1F74">
            <w:pPr>
              <w:pStyle w:val="TableParagraph"/>
              <w:rPr>
                <w:rFonts w:ascii="Times New Roman"/>
                <w:sz w:val="18"/>
              </w:rPr>
            </w:pPr>
          </w:p>
        </w:tc>
        <w:tc>
          <w:tcPr>
            <w:tcW w:w="9782" w:type="dxa"/>
            <w:shd w:val="clear" w:color="auto" w:fill="F2F2F2" w:themeFill="background1" w:themeFillShade="F2"/>
          </w:tcPr>
          <w:p w:rsidR="00EA1F74" w:rsidRDefault="00FC1CE8">
            <w:pPr>
              <w:pStyle w:val="TableParagraph"/>
              <w:numPr>
                <w:ilvl w:val="0"/>
                <w:numId w:val="84"/>
              </w:numPr>
              <w:tabs>
                <w:tab w:val="left" w:pos="469"/>
                <w:tab w:val="left" w:pos="470"/>
              </w:tabs>
              <w:spacing w:before="5"/>
              <w:rPr>
                <w:b/>
                <w:sz w:val="19"/>
              </w:rPr>
            </w:pPr>
            <w:r>
              <w:rPr>
                <w:b/>
                <w:w w:val="105"/>
                <w:sz w:val="19"/>
              </w:rPr>
              <w:t>Syndrome-related: 16%</w:t>
            </w:r>
          </w:p>
          <w:p w:rsidR="00EA1F74" w:rsidRDefault="00FC1CE8">
            <w:pPr>
              <w:pStyle w:val="TableParagraph"/>
              <w:spacing w:before="11"/>
              <w:ind w:left="470"/>
              <w:rPr>
                <w:sz w:val="19"/>
              </w:rPr>
            </w:pPr>
            <w:r>
              <w:rPr>
                <w:i/>
                <w:w w:val="105"/>
                <w:sz w:val="19"/>
              </w:rPr>
              <w:t xml:space="preserve">Detailed breakdown: </w:t>
            </w:r>
            <w:r>
              <w:rPr>
                <w:w w:val="105"/>
                <w:sz w:val="19"/>
              </w:rPr>
              <w:t>Down syndrome (7%)</w:t>
            </w:r>
            <w:r>
              <w:rPr>
                <w:b/>
                <w:w w:val="105"/>
                <w:sz w:val="19"/>
              </w:rPr>
              <w:t xml:space="preserve">; </w:t>
            </w:r>
            <w:r>
              <w:rPr>
                <w:w w:val="105"/>
                <w:sz w:val="19"/>
              </w:rPr>
              <w:t>Fragile X (4%)</w:t>
            </w:r>
            <w:r>
              <w:rPr>
                <w:b/>
                <w:w w:val="105"/>
                <w:sz w:val="19"/>
              </w:rPr>
              <w:t xml:space="preserve">; </w:t>
            </w:r>
            <w:r>
              <w:rPr>
                <w:w w:val="105"/>
                <w:sz w:val="19"/>
              </w:rPr>
              <w:t>Tourette (1%)</w:t>
            </w:r>
            <w:r>
              <w:rPr>
                <w:b/>
                <w:w w:val="105"/>
                <w:sz w:val="19"/>
              </w:rPr>
              <w:t xml:space="preserve">; </w:t>
            </w:r>
            <w:r>
              <w:rPr>
                <w:w w:val="105"/>
                <w:sz w:val="19"/>
              </w:rPr>
              <w:t>Other (5%)</w:t>
            </w:r>
          </w:p>
          <w:p w:rsidR="00EA1F74" w:rsidRDefault="00FC1CE8">
            <w:pPr>
              <w:pStyle w:val="TableParagraph"/>
              <w:numPr>
                <w:ilvl w:val="0"/>
                <w:numId w:val="84"/>
              </w:numPr>
              <w:tabs>
                <w:tab w:val="left" w:pos="469"/>
                <w:tab w:val="left" w:pos="470"/>
              </w:tabs>
              <w:spacing w:before="13"/>
              <w:rPr>
                <w:b/>
                <w:sz w:val="19"/>
              </w:rPr>
            </w:pPr>
            <w:r>
              <w:rPr>
                <w:b/>
                <w:w w:val="105"/>
                <w:sz w:val="19"/>
              </w:rPr>
              <w:t>Autism: 4%</w:t>
            </w:r>
          </w:p>
          <w:p w:rsidR="00EA1F74" w:rsidRDefault="00FC1CE8">
            <w:pPr>
              <w:pStyle w:val="TableParagraph"/>
              <w:spacing w:before="10"/>
              <w:ind w:left="470"/>
              <w:rPr>
                <w:sz w:val="19"/>
              </w:rPr>
            </w:pPr>
            <w:r>
              <w:rPr>
                <w:i/>
                <w:w w:val="105"/>
                <w:sz w:val="19"/>
              </w:rPr>
              <w:t xml:space="preserve">Detailed breakdown: </w:t>
            </w:r>
            <w:r>
              <w:rPr>
                <w:w w:val="105"/>
                <w:sz w:val="19"/>
              </w:rPr>
              <w:t>Level 2- requiring substantial support (2%)</w:t>
            </w:r>
            <w:r>
              <w:rPr>
                <w:b/>
                <w:w w:val="105"/>
                <w:sz w:val="19"/>
              </w:rPr>
              <w:t xml:space="preserve">; </w:t>
            </w:r>
            <w:r>
              <w:rPr>
                <w:w w:val="105"/>
                <w:sz w:val="19"/>
              </w:rPr>
              <w:t>Level 3- requiring support (1%)</w:t>
            </w:r>
          </w:p>
          <w:p w:rsidR="00EA1F74" w:rsidRDefault="00FC1CE8">
            <w:pPr>
              <w:pStyle w:val="TableParagraph"/>
              <w:numPr>
                <w:ilvl w:val="0"/>
                <w:numId w:val="84"/>
              </w:numPr>
              <w:tabs>
                <w:tab w:val="left" w:pos="469"/>
                <w:tab w:val="left" w:pos="470"/>
              </w:tabs>
              <w:spacing w:before="14"/>
              <w:rPr>
                <w:b/>
                <w:sz w:val="19"/>
              </w:rPr>
            </w:pPr>
            <w:r>
              <w:rPr>
                <w:b/>
                <w:w w:val="105"/>
                <w:sz w:val="19"/>
              </w:rPr>
              <w:t>Mental illness: 2%</w:t>
            </w:r>
          </w:p>
          <w:p w:rsidR="00EA1F74" w:rsidRDefault="00FC1CE8">
            <w:pPr>
              <w:pStyle w:val="TableParagraph"/>
              <w:spacing w:before="6"/>
              <w:ind w:left="470"/>
              <w:rPr>
                <w:sz w:val="19"/>
              </w:rPr>
            </w:pPr>
            <w:r>
              <w:rPr>
                <w:i/>
                <w:w w:val="105"/>
                <w:sz w:val="19"/>
              </w:rPr>
              <w:t xml:space="preserve">Detailed breakdown: </w:t>
            </w:r>
            <w:r>
              <w:rPr>
                <w:w w:val="105"/>
                <w:sz w:val="19"/>
              </w:rPr>
              <w:t>Other (2%)</w:t>
            </w:r>
          </w:p>
          <w:p w:rsidR="00EA1F74" w:rsidRDefault="00EA1F74">
            <w:pPr>
              <w:pStyle w:val="TableParagraph"/>
              <w:spacing w:before="5"/>
              <w:rPr>
                <w:sz w:val="31"/>
              </w:rPr>
            </w:pPr>
          </w:p>
          <w:p w:rsidR="00EA1F74" w:rsidRDefault="00FC1CE8">
            <w:pPr>
              <w:pStyle w:val="TableParagraph"/>
              <w:spacing w:line="252" w:lineRule="auto"/>
              <w:ind w:left="110" w:right="535"/>
              <w:rPr>
                <w:sz w:val="19"/>
              </w:rPr>
            </w:pPr>
            <w:r>
              <w:rPr>
                <w:w w:val="105"/>
                <w:sz w:val="19"/>
              </w:rPr>
              <w:t xml:space="preserve">Total percentage of sample with intellectual disability as primary </w:t>
            </w:r>
            <w:r>
              <w:rPr>
                <w:i/>
                <w:w w:val="105"/>
                <w:sz w:val="19"/>
              </w:rPr>
              <w:t xml:space="preserve">or </w:t>
            </w:r>
            <w:r>
              <w:rPr>
                <w:w w:val="105"/>
                <w:sz w:val="19"/>
              </w:rPr>
              <w:t xml:space="preserve">additional disability: </w:t>
            </w:r>
            <w:r>
              <w:rPr>
                <w:b/>
                <w:w w:val="105"/>
                <w:sz w:val="19"/>
              </w:rPr>
              <w:t xml:space="preserve">74% </w:t>
            </w:r>
            <w:r>
              <w:rPr>
                <w:w w:val="105"/>
                <w:sz w:val="19"/>
              </w:rPr>
              <w:t>(Severe or profound- 37%; Mild or moderate: 60%; Unknown: 3%)</w:t>
            </w:r>
          </w:p>
        </w:tc>
      </w:tr>
      <w:tr w:rsidR="00EA1F74">
        <w:trPr>
          <w:trHeight w:val="868"/>
        </w:trPr>
        <w:tc>
          <w:tcPr>
            <w:tcW w:w="960" w:type="dxa"/>
          </w:tcPr>
          <w:p w:rsidR="00EA1F74" w:rsidRDefault="00FC1CE8">
            <w:pPr>
              <w:pStyle w:val="TableParagraph"/>
              <w:spacing w:before="3" w:line="316" w:lineRule="auto"/>
              <w:ind w:left="110" w:right="316"/>
              <w:rPr>
                <w:b/>
                <w:sz w:val="19"/>
              </w:rPr>
            </w:pPr>
            <w:r>
              <w:rPr>
                <w:b/>
                <w:w w:val="105"/>
                <w:sz w:val="19"/>
              </w:rPr>
              <w:t>VIC 07-16</w:t>
            </w:r>
          </w:p>
        </w:tc>
        <w:tc>
          <w:tcPr>
            <w:tcW w:w="9782" w:type="dxa"/>
          </w:tcPr>
          <w:p w:rsidR="00EA1F74" w:rsidRDefault="00FC1CE8">
            <w:pPr>
              <w:pStyle w:val="TableParagraph"/>
              <w:spacing w:before="3"/>
              <w:ind w:left="110"/>
              <w:rPr>
                <w:sz w:val="19"/>
              </w:rPr>
            </w:pPr>
            <w:r>
              <w:rPr>
                <w:w w:val="105"/>
                <w:sz w:val="19"/>
              </w:rPr>
              <w:t>Not Stated</w:t>
            </w:r>
          </w:p>
        </w:tc>
      </w:tr>
      <w:tr w:rsidR="00EA1F74" w:rsidTr="0049783C">
        <w:trPr>
          <w:trHeight w:val="2043"/>
        </w:trPr>
        <w:tc>
          <w:tcPr>
            <w:tcW w:w="960" w:type="dxa"/>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QLD 09-14</w:t>
            </w:r>
          </w:p>
        </w:tc>
        <w:tc>
          <w:tcPr>
            <w:tcW w:w="9782" w:type="dxa"/>
            <w:shd w:val="clear" w:color="auto" w:fill="F2F2F2" w:themeFill="background1" w:themeFillShade="F2"/>
          </w:tcPr>
          <w:p w:rsidR="00EA1F74" w:rsidRDefault="00FC1CE8">
            <w:pPr>
              <w:pStyle w:val="TableParagraph"/>
              <w:spacing w:before="3"/>
              <w:ind w:left="110"/>
              <w:rPr>
                <w:b/>
                <w:sz w:val="19"/>
              </w:rPr>
            </w:pPr>
            <w:r>
              <w:rPr>
                <w:b/>
                <w:w w:val="105"/>
                <w:sz w:val="19"/>
              </w:rPr>
              <w:t>Primary disability (as recorded on the person’s coronial documentation):</w:t>
            </w:r>
          </w:p>
          <w:p w:rsidR="00EA1F74" w:rsidRDefault="00FC1CE8">
            <w:pPr>
              <w:pStyle w:val="TableParagraph"/>
              <w:numPr>
                <w:ilvl w:val="0"/>
                <w:numId w:val="83"/>
              </w:numPr>
              <w:tabs>
                <w:tab w:val="left" w:pos="469"/>
                <w:tab w:val="left" w:pos="470"/>
              </w:tabs>
              <w:spacing w:before="76"/>
              <w:rPr>
                <w:sz w:val="19"/>
              </w:rPr>
            </w:pPr>
            <w:r>
              <w:rPr>
                <w:w w:val="105"/>
                <w:sz w:val="19"/>
              </w:rPr>
              <w:t>Intellectual disability: 53%</w:t>
            </w:r>
          </w:p>
          <w:p w:rsidR="00EA1F74" w:rsidRDefault="00FC1CE8">
            <w:pPr>
              <w:pStyle w:val="TableParagraph"/>
              <w:numPr>
                <w:ilvl w:val="0"/>
                <w:numId w:val="83"/>
              </w:numPr>
              <w:tabs>
                <w:tab w:val="left" w:pos="469"/>
                <w:tab w:val="left" w:pos="470"/>
              </w:tabs>
              <w:spacing w:before="12"/>
              <w:rPr>
                <w:sz w:val="19"/>
              </w:rPr>
            </w:pPr>
            <w:r>
              <w:rPr>
                <w:w w:val="105"/>
                <w:sz w:val="19"/>
              </w:rPr>
              <w:t>intellectual impairment: 23%</w:t>
            </w:r>
          </w:p>
          <w:p w:rsidR="00EA1F74" w:rsidRDefault="00FC1CE8">
            <w:pPr>
              <w:pStyle w:val="TableParagraph"/>
              <w:numPr>
                <w:ilvl w:val="0"/>
                <w:numId w:val="83"/>
              </w:numPr>
              <w:tabs>
                <w:tab w:val="left" w:pos="469"/>
                <w:tab w:val="left" w:pos="470"/>
              </w:tabs>
              <w:spacing w:before="8"/>
              <w:rPr>
                <w:sz w:val="19"/>
              </w:rPr>
            </w:pPr>
            <w:r>
              <w:rPr>
                <w:w w:val="105"/>
                <w:sz w:val="19"/>
              </w:rPr>
              <w:t>Acquired brain injury:</w:t>
            </w:r>
            <w:r>
              <w:rPr>
                <w:spacing w:val="2"/>
                <w:w w:val="105"/>
                <w:sz w:val="19"/>
              </w:rPr>
              <w:t xml:space="preserve"> </w:t>
            </w:r>
            <w:r>
              <w:rPr>
                <w:w w:val="105"/>
                <w:sz w:val="19"/>
              </w:rPr>
              <w:t>6%</w:t>
            </w:r>
          </w:p>
          <w:p w:rsidR="00EA1F74" w:rsidRDefault="00FC1CE8">
            <w:pPr>
              <w:pStyle w:val="TableParagraph"/>
              <w:numPr>
                <w:ilvl w:val="0"/>
                <w:numId w:val="83"/>
              </w:numPr>
              <w:tabs>
                <w:tab w:val="left" w:pos="469"/>
                <w:tab w:val="left" w:pos="470"/>
              </w:tabs>
              <w:spacing w:before="12"/>
              <w:rPr>
                <w:sz w:val="19"/>
              </w:rPr>
            </w:pPr>
            <w:r>
              <w:rPr>
                <w:w w:val="105"/>
                <w:sz w:val="19"/>
              </w:rPr>
              <w:t>Neurological disability: 3%</w:t>
            </w:r>
          </w:p>
          <w:p w:rsidR="00EA1F74" w:rsidRDefault="00FC1CE8">
            <w:pPr>
              <w:pStyle w:val="TableParagraph"/>
              <w:numPr>
                <w:ilvl w:val="0"/>
                <w:numId w:val="83"/>
              </w:numPr>
              <w:tabs>
                <w:tab w:val="left" w:pos="469"/>
                <w:tab w:val="left" w:pos="470"/>
              </w:tabs>
              <w:spacing w:before="12"/>
              <w:rPr>
                <w:sz w:val="19"/>
              </w:rPr>
            </w:pPr>
            <w:r>
              <w:rPr>
                <w:w w:val="105"/>
                <w:sz w:val="19"/>
              </w:rPr>
              <w:t>Cognitive impairment:</w:t>
            </w:r>
            <w:r>
              <w:rPr>
                <w:spacing w:val="1"/>
                <w:w w:val="105"/>
                <w:sz w:val="19"/>
              </w:rPr>
              <w:t xml:space="preserve"> </w:t>
            </w:r>
            <w:r>
              <w:rPr>
                <w:w w:val="105"/>
                <w:sz w:val="19"/>
              </w:rPr>
              <w:t>1%</w:t>
            </w:r>
          </w:p>
          <w:p w:rsidR="00EA1F74" w:rsidRDefault="00FC1CE8">
            <w:pPr>
              <w:pStyle w:val="TableParagraph"/>
              <w:numPr>
                <w:ilvl w:val="0"/>
                <w:numId w:val="83"/>
              </w:numPr>
              <w:tabs>
                <w:tab w:val="left" w:pos="469"/>
                <w:tab w:val="left" w:pos="470"/>
              </w:tabs>
              <w:spacing w:before="7"/>
              <w:rPr>
                <w:sz w:val="19"/>
              </w:rPr>
            </w:pPr>
            <w:r>
              <w:rPr>
                <w:w w:val="105"/>
                <w:sz w:val="19"/>
              </w:rPr>
              <w:t>Primary disability not recorded:</w:t>
            </w:r>
            <w:r>
              <w:rPr>
                <w:spacing w:val="2"/>
                <w:w w:val="105"/>
                <w:sz w:val="19"/>
              </w:rPr>
              <w:t xml:space="preserve"> </w:t>
            </w:r>
            <w:r>
              <w:rPr>
                <w:w w:val="105"/>
                <w:sz w:val="19"/>
              </w:rPr>
              <w:t>14%</w:t>
            </w:r>
          </w:p>
        </w:tc>
      </w:tr>
      <w:tr w:rsidR="00EA1F74">
        <w:trPr>
          <w:trHeight w:val="4122"/>
        </w:trPr>
        <w:tc>
          <w:tcPr>
            <w:tcW w:w="960" w:type="dxa"/>
          </w:tcPr>
          <w:p w:rsidR="00EA1F74" w:rsidRDefault="00FC1CE8">
            <w:pPr>
              <w:pStyle w:val="TableParagraph"/>
              <w:spacing w:before="3" w:line="316" w:lineRule="auto"/>
              <w:ind w:left="110" w:right="316"/>
              <w:rPr>
                <w:b/>
                <w:sz w:val="19"/>
              </w:rPr>
            </w:pPr>
            <w:r>
              <w:rPr>
                <w:b/>
                <w:w w:val="105"/>
                <w:sz w:val="19"/>
              </w:rPr>
              <w:t>NSW 12-13</w:t>
            </w:r>
          </w:p>
        </w:tc>
        <w:tc>
          <w:tcPr>
            <w:tcW w:w="9782" w:type="dxa"/>
          </w:tcPr>
          <w:p w:rsidR="00EA1F74" w:rsidRDefault="00FC1CE8">
            <w:pPr>
              <w:pStyle w:val="TableParagraph"/>
              <w:spacing w:before="3" w:line="252" w:lineRule="auto"/>
              <w:ind w:left="110"/>
              <w:rPr>
                <w:sz w:val="19"/>
              </w:rPr>
            </w:pPr>
            <w:r>
              <w:rPr>
                <w:w w:val="105"/>
                <w:sz w:val="19"/>
              </w:rPr>
              <w:t>No distinction made between primary and additional disabilities; non-mutually exclusive disability types presented:</w:t>
            </w:r>
          </w:p>
          <w:p w:rsidR="00EA1F74" w:rsidRDefault="00FC1CE8">
            <w:pPr>
              <w:pStyle w:val="TableParagraph"/>
              <w:numPr>
                <w:ilvl w:val="0"/>
                <w:numId w:val="82"/>
              </w:numPr>
              <w:tabs>
                <w:tab w:val="left" w:pos="469"/>
                <w:tab w:val="left" w:pos="470"/>
              </w:tabs>
              <w:spacing w:before="62"/>
              <w:rPr>
                <w:sz w:val="19"/>
              </w:rPr>
            </w:pPr>
            <w:r>
              <w:rPr>
                <w:b/>
                <w:w w:val="105"/>
                <w:sz w:val="19"/>
              </w:rPr>
              <w:t xml:space="preserve">Intellectual disability: </w:t>
            </w:r>
            <w:r>
              <w:rPr>
                <w:w w:val="105"/>
                <w:sz w:val="19"/>
              </w:rPr>
              <w:t>84.5% (moderate or severe- 99%;</w:t>
            </w:r>
            <w:r>
              <w:rPr>
                <w:spacing w:val="3"/>
                <w:w w:val="105"/>
                <w:sz w:val="19"/>
              </w:rPr>
              <w:t xml:space="preserve"> </w:t>
            </w:r>
            <w:r>
              <w:rPr>
                <w:w w:val="105"/>
                <w:sz w:val="19"/>
              </w:rPr>
              <w:t>mild-1%)</w:t>
            </w:r>
          </w:p>
          <w:p w:rsidR="00EA1F74" w:rsidRDefault="00FC1CE8">
            <w:pPr>
              <w:pStyle w:val="TableParagraph"/>
              <w:numPr>
                <w:ilvl w:val="0"/>
                <w:numId w:val="82"/>
              </w:numPr>
              <w:tabs>
                <w:tab w:val="left" w:pos="469"/>
                <w:tab w:val="left" w:pos="470"/>
              </w:tabs>
              <w:spacing w:before="12" w:line="249" w:lineRule="auto"/>
              <w:ind w:right="119"/>
              <w:rPr>
                <w:sz w:val="19"/>
              </w:rPr>
            </w:pPr>
            <w:r>
              <w:rPr>
                <w:b/>
                <w:w w:val="105"/>
                <w:sz w:val="19"/>
              </w:rPr>
              <w:t xml:space="preserve">Sensory disability: </w:t>
            </w:r>
            <w:r>
              <w:rPr>
                <w:w w:val="105"/>
                <w:sz w:val="19"/>
              </w:rPr>
              <w:t>59% (The primary sensory impairment for people in disability services and assisted boarding houses was vision</w:t>
            </w:r>
            <w:r>
              <w:rPr>
                <w:spacing w:val="4"/>
                <w:w w:val="105"/>
                <w:sz w:val="19"/>
              </w:rPr>
              <w:t xml:space="preserve"> </w:t>
            </w:r>
            <w:r>
              <w:rPr>
                <w:w w:val="105"/>
                <w:sz w:val="19"/>
              </w:rPr>
              <w:t>impairment.)</w:t>
            </w:r>
          </w:p>
          <w:p w:rsidR="00EA1F74" w:rsidRDefault="00FC1CE8">
            <w:pPr>
              <w:pStyle w:val="TableParagraph"/>
              <w:numPr>
                <w:ilvl w:val="0"/>
                <w:numId w:val="82"/>
              </w:numPr>
              <w:tabs>
                <w:tab w:val="left" w:pos="469"/>
                <w:tab w:val="left" w:pos="470"/>
              </w:tabs>
              <w:spacing w:before="1" w:line="249" w:lineRule="auto"/>
              <w:ind w:right="531"/>
              <w:rPr>
                <w:sz w:val="19"/>
              </w:rPr>
            </w:pPr>
            <w:r>
              <w:rPr>
                <w:b/>
                <w:w w:val="105"/>
                <w:sz w:val="19"/>
              </w:rPr>
              <w:t xml:space="preserve">Physical disability: </w:t>
            </w:r>
            <w:r>
              <w:rPr>
                <w:w w:val="105"/>
                <w:sz w:val="19"/>
              </w:rPr>
              <w:t>49.4% (The people with physical disability most commonly had cerebral palsy, scoliosis, and/or ataxia.)</w:t>
            </w:r>
          </w:p>
          <w:p w:rsidR="00EA1F74" w:rsidRDefault="00FC1CE8">
            <w:pPr>
              <w:pStyle w:val="TableParagraph"/>
              <w:numPr>
                <w:ilvl w:val="0"/>
                <w:numId w:val="82"/>
              </w:numPr>
              <w:tabs>
                <w:tab w:val="left" w:pos="469"/>
                <w:tab w:val="left" w:pos="470"/>
              </w:tabs>
              <w:spacing w:before="6" w:line="252" w:lineRule="auto"/>
              <w:ind w:right="164"/>
              <w:rPr>
                <w:sz w:val="19"/>
              </w:rPr>
            </w:pPr>
            <w:r>
              <w:rPr>
                <w:b/>
                <w:w w:val="105"/>
                <w:sz w:val="19"/>
              </w:rPr>
              <w:t xml:space="preserve">Psychosocial disability: </w:t>
            </w:r>
            <w:r>
              <w:rPr>
                <w:w w:val="105"/>
                <w:sz w:val="19"/>
              </w:rPr>
              <w:t>43.5% (All of the assisted boarding house residents who had a mental illness had schizophrenia or schizoaffective disorder. Most of the people in disability services who had a mental illness had a mood disorder, such as depression or bipolar disorder; schizophrenia or other psychotic disorder; and/or an anxiety</w:t>
            </w:r>
            <w:r>
              <w:rPr>
                <w:spacing w:val="3"/>
                <w:w w:val="105"/>
                <w:sz w:val="19"/>
              </w:rPr>
              <w:t xml:space="preserve"> </w:t>
            </w:r>
            <w:r>
              <w:rPr>
                <w:w w:val="105"/>
                <w:sz w:val="19"/>
              </w:rPr>
              <w:t>disorder)</w:t>
            </w:r>
          </w:p>
          <w:p w:rsidR="00EA1F74" w:rsidRDefault="00FC1CE8">
            <w:pPr>
              <w:pStyle w:val="TableParagraph"/>
              <w:numPr>
                <w:ilvl w:val="0"/>
                <w:numId w:val="82"/>
              </w:numPr>
              <w:tabs>
                <w:tab w:val="left" w:pos="469"/>
                <w:tab w:val="left" w:pos="470"/>
              </w:tabs>
              <w:spacing w:before="3" w:line="244" w:lineRule="auto"/>
              <w:ind w:right="1020"/>
              <w:rPr>
                <w:sz w:val="19"/>
              </w:rPr>
            </w:pPr>
            <w:r>
              <w:rPr>
                <w:b/>
                <w:w w:val="105"/>
                <w:sz w:val="19"/>
              </w:rPr>
              <w:t xml:space="preserve">Neurological: </w:t>
            </w:r>
            <w:r>
              <w:rPr>
                <w:w w:val="105"/>
                <w:sz w:val="19"/>
              </w:rPr>
              <w:t>13.8% (Dementia, including Alzheimer’s disease, was the primary neurological impairment of the people who died in 2012 and</w:t>
            </w:r>
            <w:r>
              <w:rPr>
                <w:spacing w:val="6"/>
                <w:w w:val="105"/>
                <w:sz w:val="19"/>
              </w:rPr>
              <w:t xml:space="preserve"> </w:t>
            </w:r>
            <w:r>
              <w:rPr>
                <w:w w:val="105"/>
                <w:sz w:val="19"/>
              </w:rPr>
              <w:t>2013)</w:t>
            </w:r>
          </w:p>
          <w:p w:rsidR="00EA1F74" w:rsidRDefault="00FC1CE8">
            <w:pPr>
              <w:pStyle w:val="TableParagraph"/>
              <w:numPr>
                <w:ilvl w:val="0"/>
                <w:numId w:val="82"/>
              </w:numPr>
              <w:tabs>
                <w:tab w:val="left" w:pos="469"/>
                <w:tab w:val="left" w:pos="470"/>
              </w:tabs>
              <w:spacing w:before="10" w:line="249" w:lineRule="auto"/>
              <w:ind w:right="153"/>
              <w:rPr>
                <w:sz w:val="19"/>
              </w:rPr>
            </w:pPr>
            <w:r>
              <w:rPr>
                <w:b/>
                <w:w w:val="105"/>
                <w:sz w:val="19"/>
              </w:rPr>
              <w:t xml:space="preserve">Acquired brain injury: </w:t>
            </w:r>
            <w:r>
              <w:rPr>
                <w:w w:val="105"/>
                <w:sz w:val="19"/>
              </w:rPr>
              <w:t>9.6% (The brain injuries were acquired via a range of means, including alcohol- related brain damage, brain tumours, infection, and as a result of an</w:t>
            </w:r>
            <w:r>
              <w:rPr>
                <w:spacing w:val="2"/>
                <w:w w:val="105"/>
                <w:sz w:val="19"/>
              </w:rPr>
              <w:t xml:space="preserve"> </w:t>
            </w:r>
            <w:r>
              <w:rPr>
                <w:w w:val="105"/>
                <w:sz w:val="19"/>
              </w:rPr>
              <w:t>accident.)</w:t>
            </w:r>
          </w:p>
          <w:p w:rsidR="00EA1F74" w:rsidRDefault="00FC1CE8">
            <w:pPr>
              <w:pStyle w:val="TableParagraph"/>
              <w:numPr>
                <w:ilvl w:val="0"/>
                <w:numId w:val="82"/>
              </w:numPr>
              <w:tabs>
                <w:tab w:val="left" w:pos="469"/>
                <w:tab w:val="left" w:pos="470"/>
              </w:tabs>
              <w:spacing w:before="6"/>
              <w:rPr>
                <w:sz w:val="19"/>
              </w:rPr>
            </w:pPr>
            <w:r>
              <w:rPr>
                <w:b/>
                <w:w w:val="105"/>
                <w:sz w:val="19"/>
              </w:rPr>
              <w:t xml:space="preserve">Autism: </w:t>
            </w:r>
            <w:r>
              <w:rPr>
                <w:w w:val="105"/>
                <w:sz w:val="19"/>
              </w:rPr>
              <w:t>5.4%</w:t>
            </w:r>
          </w:p>
        </w:tc>
      </w:tr>
      <w:tr w:rsidR="00EA1F74" w:rsidTr="0049783C">
        <w:trPr>
          <w:trHeight w:val="644"/>
        </w:trPr>
        <w:tc>
          <w:tcPr>
            <w:tcW w:w="960" w:type="dxa"/>
            <w:tcBorders>
              <w:bottom w:val="nil"/>
            </w:tcBorders>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782" w:type="dxa"/>
            <w:tcBorders>
              <w:bottom w:val="nil"/>
            </w:tcBorders>
            <w:shd w:val="clear" w:color="auto" w:fill="F2F2F2" w:themeFill="background1" w:themeFillShade="F2"/>
          </w:tcPr>
          <w:p w:rsidR="00EA1F74" w:rsidRDefault="00FC1CE8">
            <w:pPr>
              <w:pStyle w:val="TableParagraph"/>
              <w:spacing w:before="3" w:line="252" w:lineRule="auto"/>
              <w:ind w:left="110"/>
              <w:rPr>
                <w:sz w:val="19"/>
              </w:rPr>
            </w:pPr>
            <w:r>
              <w:rPr>
                <w:w w:val="105"/>
                <w:sz w:val="19"/>
              </w:rPr>
              <w:t>No distinction made between primary and additional disabilities; non-mutually exclusive disability types presented:</w:t>
            </w:r>
          </w:p>
        </w:tc>
      </w:tr>
      <w:tr w:rsidR="00EA1F74" w:rsidTr="0049783C">
        <w:trPr>
          <w:trHeight w:val="451"/>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782" w:type="dxa"/>
            <w:tcBorders>
              <w:top w:val="nil"/>
              <w:bottom w:val="nil"/>
            </w:tcBorders>
            <w:shd w:val="clear" w:color="auto" w:fill="F2F2F2" w:themeFill="background1" w:themeFillShade="F2"/>
          </w:tcPr>
          <w:p w:rsidR="00EA1F74" w:rsidRDefault="00FC1CE8">
            <w:pPr>
              <w:pStyle w:val="TableParagraph"/>
              <w:tabs>
                <w:tab w:val="left" w:pos="5001"/>
              </w:tabs>
              <w:spacing w:before="190"/>
              <w:ind w:left="110"/>
              <w:rPr>
                <w:b/>
                <w:sz w:val="19"/>
              </w:rPr>
            </w:pPr>
            <w:r>
              <w:rPr>
                <w:b/>
                <w:w w:val="105"/>
                <w:sz w:val="19"/>
              </w:rPr>
              <w:t>For the 2014 and 2015</w:t>
            </w:r>
            <w:r>
              <w:rPr>
                <w:b/>
                <w:spacing w:val="-6"/>
                <w:w w:val="105"/>
                <w:sz w:val="19"/>
              </w:rPr>
              <w:t xml:space="preserve"> </w:t>
            </w:r>
            <w:r>
              <w:rPr>
                <w:b/>
                <w:w w:val="105"/>
                <w:sz w:val="19"/>
              </w:rPr>
              <w:t>calendar</w:t>
            </w:r>
            <w:r>
              <w:rPr>
                <w:b/>
                <w:spacing w:val="-2"/>
                <w:w w:val="105"/>
                <w:sz w:val="19"/>
              </w:rPr>
              <w:t xml:space="preserve"> </w:t>
            </w:r>
            <w:r>
              <w:rPr>
                <w:b/>
                <w:w w:val="105"/>
                <w:sz w:val="19"/>
              </w:rPr>
              <w:t>years:</w:t>
            </w:r>
            <w:r>
              <w:rPr>
                <w:b/>
                <w:w w:val="105"/>
                <w:sz w:val="19"/>
              </w:rPr>
              <w:tab/>
              <w:t>For the 2016 and 2017 calendar</w:t>
            </w:r>
            <w:r>
              <w:rPr>
                <w:b/>
                <w:spacing w:val="4"/>
                <w:w w:val="105"/>
                <w:sz w:val="19"/>
              </w:rPr>
              <w:t xml:space="preserve"> </w:t>
            </w:r>
            <w:r>
              <w:rPr>
                <w:b/>
                <w:w w:val="105"/>
                <w:sz w:val="19"/>
              </w:rPr>
              <w:t>years:</w:t>
            </w:r>
          </w:p>
        </w:tc>
      </w:tr>
      <w:tr w:rsidR="00EA1F74" w:rsidTr="0049783C">
        <w:trPr>
          <w:trHeight w:val="2019"/>
        </w:trPr>
        <w:tc>
          <w:tcPr>
            <w:tcW w:w="960"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9782" w:type="dxa"/>
            <w:tcBorders>
              <w:top w:val="nil"/>
            </w:tcBorders>
            <w:shd w:val="clear" w:color="auto" w:fill="F2F2F2" w:themeFill="background1" w:themeFillShade="F2"/>
          </w:tcPr>
          <w:p w:rsidR="00EA1F74" w:rsidRDefault="00FC1CE8">
            <w:pPr>
              <w:pStyle w:val="TableParagraph"/>
              <w:numPr>
                <w:ilvl w:val="0"/>
                <w:numId w:val="81"/>
              </w:numPr>
              <w:tabs>
                <w:tab w:val="left" w:pos="469"/>
                <w:tab w:val="left" w:pos="470"/>
                <w:tab w:val="left" w:pos="5001"/>
                <w:tab w:val="left" w:pos="5361"/>
              </w:tabs>
              <w:spacing w:before="28"/>
              <w:rPr>
                <w:sz w:val="19"/>
              </w:rPr>
            </w:pPr>
            <w:r>
              <w:rPr>
                <w:w w:val="105"/>
                <w:sz w:val="19"/>
              </w:rPr>
              <w:t>Intellectual</w:t>
            </w:r>
            <w:r>
              <w:rPr>
                <w:spacing w:val="-4"/>
                <w:w w:val="105"/>
                <w:sz w:val="19"/>
              </w:rPr>
              <w:t xml:space="preserve"> </w:t>
            </w:r>
            <w:r>
              <w:rPr>
                <w:w w:val="105"/>
                <w:sz w:val="19"/>
              </w:rPr>
              <w:t>disability:</w:t>
            </w:r>
            <w:r>
              <w:rPr>
                <w:spacing w:val="-4"/>
                <w:w w:val="105"/>
                <w:sz w:val="19"/>
              </w:rPr>
              <w:t xml:space="preserve"> </w:t>
            </w:r>
            <w:r>
              <w:rPr>
                <w:w w:val="105"/>
                <w:sz w:val="19"/>
              </w:rPr>
              <w:t>89.4%</w:t>
            </w:r>
            <w:r>
              <w:rPr>
                <w:w w:val="105"/>
                <w:sz w:val="19"/>
              </w:rPr>
              <w:tab/>
            </w:r>
            <w:r>
              <w:rPr>
                <w:rFonts w:ascii="Symbol" w:hAnsi="Symbol"/>
                <w:w w:val="105"/>
                <w:sz w:val="19"/>
              </w:rPr>
              <w:t></w:t>
            </w:r>
            <w:r>
              <w:rPr>
                <w:rFonts w:ascii="Times New Roman" w:hAnsi="Times New Roman"/>
                <w:w w:val="105"/>
                <w:sz w:val="19"/>
              </w:rPr>
              <w:tab/>
            </w:r>
            <w:r>
              <w:rPr>
                <w:w w:val="105"/>
                <w:sz w:val="19"/>
              </w:rPr>
              <w:t>Intellectual disability: 88.4%</w:t>
            </w:r>
          </w:p>
          <w:p w:rsidR="00EA1F74" w:rsidRDefault="00FC1CE8">
            <w:pPr>
              <w:pStyle w:val="TableParagraph"/>
              <w:numPr>
                <w:ilvl w:val="0"/>
                <w:numId w:val="81"/>
              </w:numPr>
              <w:tabs>
                <w:tab w:val="left" w:pos="469"/>
                <w:tab w:val="left" w:pos="470"/>
                <w:tab w:val="left" w:pos="5001"/>
                <w:tab w:val="left" w:pos="5361"/>
              </w:tabs>
              <w:spacing w:before="12"/>
              <w:rPr>
                <w:sz w:val="19"/>
              </w:rPr>
            </w:pPr>
            <w:r>
              <w:rPr>
                <w:w w:val="105"/>
                <w:sz w:val="19"/>
              </w:rPr>
              <w:t>Sensory</w:t>
            </w:r>
            <w:r>
              <w:rPr>
                <w:spacing w:val="-2"/>
                <w:w w:val="105"/>
                <w:sz w:val="19"/>
              </w:rPr>
              <w:t xml:space="preserve"> </w:t>
            </w:r>
            <w:r>
              <w:rPr>
                <w:w w:val="105"/>
                <w:sz w:val="19"/>
              </w:rPr>
              <w:t>disability:</w:t>
            </w:r>
            <w:r>
              <w:rPr>
                <w:spacing w:val="-3"/>
                <w:w w:val="105"/>
                <w:sz w:val="19"/>
              </w:rPr>
              <w:t xml:space="preserve"> </w:t>
            </w:r>
            <w:r>
              <w:rPr>
                <w:w w:val="105"/>
                <w:sz w:val="19"/>
              </w:rPr>
              <w:t>73.3%</w:t>
            </w:r>
            <w:r>
              <w:rPr>
                <w:w w:val="105"/>
                <w:sz w:val="19"/>
              </w:rPr>
              <w:tab/>
            </w:r>
            <w:r>
              <w:rPr>
                <w:rFonts w:ascii="Symbol" w:hAnsi="Symbol"/>
                <w:w w:val="105"/>
                <w:sz w:val="19"/>
              </w:rPr>
              <w:t></w:t>
            </w:r>
            <w:r>
              <w:rPr>
                <w:rFonts w:ascii="Times New Roman" w:hAnsi="Times New Roman"/>
                <w:w w:val="105"/>
                <w:sz w:val="19"/>
              </w:rPr>
              <w:tab/>
            </w:r>
            <w:r>
              <w:rPr>
                <w:w w:val="105"/>
                <w:sz w:val="19"/>
              </w:rPr>
              <w:t>Sensory disability:</w:t>
            </w:r>
            <w:r>
              <w:rPr>
                <w:spacing w:val="-12"/>
                <w:w w:val="105"/>
                <w:sz w:val="19"/>
              </w:rPr>
              <w:t xml:space="preserve"> </w:t>
            </w:r>
            <w:r>
              <w:rPr>
                <w:w w:val="105"/>
                <w:sz w:val="19"/>
              </w:rPr>
              <w:t>72.9%</w:t>
            </w:r>
          </w:p>
          <w:p w:rsidR="00EA1F74" w:rsidRDefault="00FC1CE8">
            <w:pPr>
              <w:pStyle w:val="TableParagraph"/>
              <w:numPr>
                <w:ilvl w:val="0"/>
                <w:numId w:val="81"/>
              </w:numPr>
              <w:tabs>
                <w:tab w:val="left" w:pos="469"/>
                <w:tab w:val="left" w:pos="470"/>
                <w:tab w:val="left" w:pos="5001"/>
                <w:tab w:val="left" w:pos="5361"/>
              </w:tabs>
              <w:spacing w:before="12"/>
              <w:rPr>
                <w:sz w:val="19"/>
              </w:rPr>
            </w:pPr>
            <w:r>
              <w:rPr>
                <w:w w:val="105"/>
                <w:sz w:val="19"/>
              </w:rPr>
              <w:t>Physical</w:t>
            </w:r>
            <w:r>
              <w:rPr>
                <w:spacing w:val="-3"/>
                <w:w w:val="105"/>
                <w:sz w:val="19"/>
              </w:rPr>
              <w:t xml:space="preserve"> </w:t>
            </w:r>
            <w:r>
              <w:rPr>
                <w:w w:val="105"/>
                <w:sz w:val="19"/>
              </w:rPr>
              <w:t>disability:</w:t>
            </w:r>
            <w:r>
              <w:rPr>
                <w:spacing w:val="-3"/>
                <w:w w:val="105"/>
                <w:sz w:val="19"/>
              </w:rPr>
              <w:t xml:space="preserve"> </w:t>
            </w:r>
            <w:r>
              <w:rPr>
                <w:w w:val="105"/>
                <w:sz w:val="19"/>
              </w:rPr>
              <w:t>53.8%</w:t>
            </w:r>
            <w:r>
              <w:rPr>
                <w:w w:val="105"/>
                <w:sz w:val="19"/>
              </w:rPr>
              <w:tab/>
            </w:r>
            <w:r>
              <w:rPr>
                <w:rFonts w:ascii="Symbol" w:hAnsi="Symbol"/>
                <w:w w:val="105"/>
                <w:sz w:val="19"/>
              </w:rPr>
              <w:t></w:t>
            </w:r>
            <w:r>
              <w:rPr>
                <w:rFonts w:ascii="Times New Roman" w:hAnsi="Times New Roman"/>
                <w:w w:val="105"/>
                <w:sz w:val="19"/>
              </w:rPr>
              <w:tab/>
            </w:r>
            <w:r>
              <w:rPr>
                <w:w w:val="105"/>
                <w:sz w:val="19"/>
              </w:rPr>
              <w:t>Physical disability:</w:t>
            </w:r>
            <w:r>
              <w:rPr>
                <w:spacing w:val="-13"/>
                <w:w w:val="105"/>
                <w:sz w:val="19"/>
              </w:rPr>
              <w:t xml:space="preserve"> </w:t>
            </w:r>
            <w:r>
              <w:rPr>
                <w:w w:val="105"/>
                <w:sz w:val="19"/>
              </w:rPr>
              <w:t>53.1%</w:t>
            </w:r>
          </w:p>
          <w:p w:rsidR="00EA1F74" w:rsidRDefault="00FC1CE8">
            <w:pPr>
              <w:pStyle w:val="TableParagraph"/>
              <w:numPr>
                <w:ilvl w:val="0"/>
                <w:numId w:val="81"/>
              </w:numPr>
              <w:tabs>
                <w:tab w:val="left" w:pos="469"/>
                <w:tab w:val="left" w:pos="470"/>
                <w:tab w:val="left" w:pos="5001"/>
                <w:tab w:val="left" w:pos="5361"/>
              </w:tabs>
              <w:spacing w:before="12"/>
              <w:rPr>
                <w:sz w:val="19"/>
              </w:rPr>
            </w:pPr>
            <w:r>
              <w:rPr>
                <w:w w:val="105"/>
                <w:sz w:val="19"/>
              </w:rPr>
              <w:t>Psychosocial</w:t>
            </w:r>
            <w:r>
              <w:rPr>
                <w:spacing w:val="-4"/>
                <w:w w:val="105"/>
                <w:sz w:val="19"/>
              </w:rPr>
              <w:t xml:space="preserve"> </w:t>
            </w:r>
            <w:r>
              <w:rPr>
                <w:w w:val="105"/>
                <w:sz w:val="19"/>
              </w:rPr>
              <w:t>disability:</w:t>
            </w:r>
            <w:r>
              <w:rPr>
                <w:spacing w:val="-3"/>
                <w:w w:val="105"/>
                <w:sz w:val="19"/>
              </w:rPr>
              <w:t xml:space="preserve"> </w:t>
            </w:r>
            <w:r>
              <w:rPr>
                <w:w w:val="105"/>
                <w:sz w:val="19"/>
              </w:rPr>
              <w:t>44.9%</w:t>
            </w:r>
            <w:r>
              <w:rPr>
                <w:w w:val="105"/>
                <w:sz w:val="19"/>
              </w:rPr>
              <w:tab/>
            </w:r>
            <w:r>
              <w:rPr>
                <w:rFonts w:ascii="Symbol" w:hAnsi="Symbol"/>
                <w:w w:val="105"/>
                <w:sz w:val="19"/>
              </w:rPr>
              <w:t></w:t>
            </w:r>
            <w:r>
              <w:rPr>
                <w:rFonts w:ascii="Times New Roman" w:hAnsi="Times New Roman"/>
                <w:w w:val="105"/>
                <w:sz w:val="19"/>
              </w:rPr>
              <w:tab/>
            </w:r>
            <w:r>
              <w:rPr>
                <w:w w:val="105"/>
                <w:sz w:val="19"/>
              </w:rPr>
              <w:t>Psychosocial disability: 53.1%</w:t>
            </w:r>
          </w:p>
          <w:p w:rsidR="00EA1F74" w:rsidRDefault="00FC1CE8">
            <w:pPr>
              <w:pStyle w:val="TableParagraph"/>
              <w:numPr>
                <w:ilvl w:val="0"/>
                <w:numId w:val="81"/>
              </w:numPr>
              <w:tabs>
                <w:tab w:val="left" w:pos="469"/>
                <w:tab w:val="left" w:pos="470"/>
                <w:tab w:val="left" w:pos="5001"/>
                <w:tab w:val="left" w:pos="5361"/>
              </w:tabs>
              <w:spacing w:before="7"/>
              <w:rPr>
                <w:sz w:val="19"/>
              </w:rPr>
            </w:pPr>
            <w:r>
              <w:rPr>
                <w:w w:val="105"/>
                <w:sz w:val="19"/>
              </w:rPr>
              <w:t>Neurological:</w:t>
            </w:r>
            <w:r>
              <w:rPr>
                <w:spacing w:val="-3"/>
                <w:w w:val="105"/>
                <w:sz w:val="19"/>
              </w:rPr>
              <w:t xml:space="preserve"> </w:t>
            </w:r>
            <w:r>
              <w:rPr>
                <w:w w:val="105"/>
                <w:sz w:val="19"/>
              </w:rPr>
              <w:t>25%</w:t>
            </w:r>
            <w:r>
              <w:rPr>
                <w:w w:val="105"/>
                <w:sz w:val="19"/>
              </w:rPr>
              <w:tab/>
            </w:r>
            <w:r>
              <w:rPr>
                <w:rFonts w:ascii="Symbol" w:hAnsi="Symbol"/>
                <w:w w:val="105"/>
                <w:sz w:val="19"/>
              </w:rPr>
              <w:t></w:t>
            </w:r>
            <w:r>
              <w:rPr>
                <w:rFonts w:ascii="Times New Roman" w:hAnsi="Times New Roman"/>
                <w:w w:val="105"/>
                <w:sz w:val="19"/>
              </w:rPr>
              <w:tab/>
            </w:r>
            <w:r>
              <w:rPr>
                <w:w w:val="105"/>
                <w:sz w:val="19"/>
              </w:rPr>
              <w:t>Neurological: 23.6%</w:t>
            </w:r>
          </w:p>
          <w:p w:rsidR="00EA1F74" w:rsidRDefault="00FC1CE8">
            <w:pPr>
              <w:pStyle w:val="TableParagraph"/>
              <w:numPr>
                <w:ilvl w:val="0"/>
                <w:numId w:val="81"/>
              </w:numPr>
              <w:tabs>
                <w:tab w:val="left" w:pos="469"/>
                <w:tab w:val="left" w:pos="470"/>
                <w:tab w:val="left" w:pos="5001"/>
                <w:tab w:val="left" w:pos="5361"/>
              </w:tabs>
              <w:spacing w:before="12"/>
              <w:rPr>
                <w:sz w:val="19"/>
              </w:rPr>
            </w:pPr>
            <w:r>
              <w:rPr>
                <w:w w:val="105"/>
                <w:sz w:val="19"/>
              </w:rPr>
              <w:t>Acquired brain</w:t>
            </w:r>
            <w:r>
              <w:rPr>
                <w:spacing w:val="-3"/>
                <w:w w:val="105"/>
                <w:sz w:val="19"/>
              </w:rPr>
              <w:t xml:space="preserve"> </w:t>
            </w:r>
            <w:r>
              <w:rPr>
                <w:w w:val="105"/>
                <w:sz w:val="19"/>
              </w:rPr>
              <w:t>injury:</w:t>
            </w:r>
            <w:r>
              <w:rPr>
                <w:spacing w:val="-2"/>
                <w:w w:val="105"/>
                <w:sz w:val="19"/>
              </w:rPr>
              <w:t xml:space="preserve"> </w:t>
            </w:r>
            <w:r>
              <w:rPr>
                <w:w w:val="105"/>
                <w:sz w:val="19"/>
              </w:rPr>
              <w:t>11%</w:t>
            </w:r>
            <w:r>
              <w:rPr>
                <w:w w:val="105"/>
                <w:sz w:val="19"/>
              </w:rPr>
              <w:tab/>
            </w:r>
            <w:r>
              <w:rPr>
                <w:rFonts w:ascii="Symbol" w:hAnsi="Symbol"/>
                <w:w w:val="105"/>
                <w:sz w:val="19"/>
              </w:rPr>
              <w:t></w:t>
            </w:r>
            <w:r>
              <w:rPr>
                <w:rFonts w:ascii="Times New Roman" w:hAnsi="Times New Roman"/>
                <w:w w:val="105"/>
                <w:sz w:val="19"/>
              </w:rPr>
              <w:tab/>
            </w:r>
            <w:r>
              <w:rPr>
                <w:w w:val="105"/>
                <w:sz w:val="19"/>
              </w:rPr>
              <w:t>Acquired brain injury:</w:t>
            </w:r>
            <w:r>
              <w:rPr>
                <w:spacing w:val="2"/>
                <w:w w:val="105"/>
                <w:sz w:val="19"/>
              </w:rPr>
              <w:t xml:space="preserve"> </w:t>
            </w:r>
            <w:r>
              <w:rPr>
                <w:w w:val="105"/>
                <w:sz w:val="19"/>
              </w:rPr>
              <w:t>11.2%</w:t>
            </w:r>
          </w:p>
          <w:p w:rsidR="00EA1F74" w:rsidRDefault="00FC1CE8">
            <w:pPr>
              <w:pStyle w:val="TableParagraph"/>
              <w:numPr>
                <w:ilvl w:val="0"/>
                <w:numId w:val="81"/>
              </w:numPr>
              <w:tabs>
                <w:tab w:val="left" w:pos="469"/>
                <w:tab w:val="left" w:pos="470"/>
                <w:tab w:val="left" w:pos="5001"/>
                <w:tab w:val="left" w:pos="5361"/>
              </w:tabs>
              <w:spacing w:before="12"/>
              <w:rPr>
                <w:sz w:val="19"/>
              </w:rPr>
            </w:pPr>
            <w:r>
              <w:rPr>
                <w:w w:val="105"/>
                <w:sz w:val="19"/>
              </w:rPr>
              <w:t>Autism:</w:t>
            </w:r>
            <w:r>
              <w:rPr>
                <w:spacing w:val="-2"/>
                <w:w w:val="105"/>
                <w:sz w:val="19"/>
              </w:rPr>
              <w:t xml:space="preserve"> </w:t>
            </w:r>
            <w:r>
              <w:rPr>
                <w:w w:val="105"/>
                <w:sz w:val="19"/>
              </w:rPr>
              <w:t>8.1%</w:t>
            </w:r>
            <w:r>
              <w:rPr>
                <w:w w:val="105"/>
                <w:sz w:val="19"/>
              </w:rPr>
              <w:tab/>
            </w:r>
            <w:r>
              <w:rPr>
                <w:rFonts w:ascii="Symbol" w:hAnsi="Symbol"/>
                <w:w w:val="105"/>
                <w:sz w:val="19"/>
              </w:rPr>
              <w:t></w:t>
            </w:r>
            <w:r>
              <w:rPr>
                <w:rFonts w:ascii="Times New Roman" w:hAnsi="Times New Roman"/>
                <w:w w:val="105"/>
                <w:sz w:val="19"/>
              </w:rPr>
              <w:tab/>
            </w:r>
            <w:r>
              <w:rPr>
                <w:w w:val="105"/>
                <w:sz w:val="19"/>
              </w:rPr>
              <w:t>Autism: 6.6%</w:t>
            </w:r>
          </w:p>
        </w:tc>
      </w:tr>
    </w:tbl>
    <w:p w:rsidR="00EA1F74" w:rsidRDefault="00EA1F74">
      <w:pPr>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0"/>
        </w:rPr>
      </w:pPr>
    </w:p>
    <w:p w:rsidR="00EA1F74" w:rsidRDefault="00FC1CE8">
      <w:pPr>
        <w:pStyle w:val="Heading4"/>
        <w:spacing w:before="93"/>
      </w:pPr>
      <w:bookmarkStart w:id="21" w:name="_TOC_250044"/>
      <w:bookmarkEnd w:id="21"/>
      <w:r>
        <w:rPr>
          <w:color w:val="4472C4"/>
        </w:rPr>
        <w:t>Mental health concerns</w:t>
      </w:r>
    </w:p>
    <w:p w:rsidR="00EA1F74" w:rsidRDefault="00FC1CE8" w:rsidP="00625DA1">
      <w:pPr>
        <w:pStyle w:val="BodyText"/>
      </w:pPr>
      <w:r>
        <w:t>Mental health concerns are outlined in Table 10. Across samples, people were noted to have high levels of co-occurring mental health concerns. In NSW, 43.5% of in-scope deaths that occurred in 2012-2013, and 53.1% of deaths that occurred in 2014-2017 involved people with a diagnosis of ‘psychosocial disability’. Thirty-four percent of the 2017-2018 VIC sample were noted to have mental health concerns. The top 3 mental health concerns in this sample were depression (19%), self-harming behaviours (15%), and anxiety (14%). Schizophrenia was listed as an additional disability for 11% of the VIC 17-18 sample and 7% of the QLD 09-14 sample.</w:t>
      </w:r>
    </w:p>
    <w:p w:rsidR="00EA1F74" w:rsidRDefault="00FC1CE8" w:rsidP="00625DA1">
      <w:pPr>
        <w:pStyle w:val="BodyText"/>
      </w:pPr>
      <w:r>
        <w:t>Table 10: Mental health concerns</w:t>
      </w: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782"/>
      </w:tblGrid>
      <w:tr w:rsidR="00EA1F74">
        <w:trPr>
          <w:trHeight w:val="521"/>
        </w:trPr>
        <w:tc>
          <w:tcPr>
            <w:tcW w:w="960" w:type="dxa"/>
            <w:tcBorders>
              <w:bottom w:val="single" w:sz="18" w:space="0" w:color="A5A5A5"/>
            </w:tcBorders>
          </w:tcPr>
          <w:p w:rsidR="00EA1F74" w:rsidRDefault="00FC1CE8">
            <w:pPr>
              <w:pStyle w:val="TableParagraph"/>
              <w:spacing w:before="8" w:line="247" w:lineRule="auto"/>
              <w:ind w:left="110" w:right="211"/>
              <w:rPr>
                <w:sz w:val="19"/>
              </w:rPr>
            </w:pPr>
            <w:r>
              <w:rPr>
                <w:w w:val="105"/>
                <w:sz w:val="19"/>
              </w:rPr>
              <w:t>Report ID</w:t>
            </w:r>
          </w:p>
        </w:tc>
        <w:tc>
          <w:tcPr>
            <w:tcW w:w="9782" w:type="dxa"/>
            <w:tcBorders>
              <w:bottom w:val="single" w:sz="18" w:space="0" w:color="A5A5A5"/>
            </w:tcBorders>
          </w:tcPr>
          <w:p w:rsidR="00EA1F74" w:rsidRDefault="00FC1CE8">
            <w:pPr>
              <w:pStyle w:val="TableParagraph"/>
              <w:spacing w:before="8"/>
              <w:ind w:left="110"/>
              <w:rPr>
                <w:sz w:val="19"/>
              </w:rPr>
            </w:pPr>
            <w:r>
              <w:rPr>
                <w:w w:val="105"/>
                <w:sz w:val="19"/>
              </w:rPr>
              <w:t>Mental health concern</w:t>
            </w:r>
          </w:p>
        </w:tc>
      </w:tr>
      <w:tr w:rsidR="00EA1F74" w:rsidTr="0049783C">
        <w:trPr>
          <w:trHeight w:val="1798"/>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VIC 17-18</w:t>
            </w:r>
          </w:p>
        </w:tc>
        <w:tc>
          <w:tcPr>
            <w:tcW w:w="9782" w:type="dxa"/>
            <w:tcBorders>
              <w:top w:val="single" w:sz="18" w:space="0" w:color="A5A5A5"/>
            </w:tcBorders>
            <w:shd w:val="clear" w:color="auto" w:fill="F2F2F2" w:themeFill="background1" w:themeFillShade="F2"/>
          </w:tcPr>
          <w:p w:rsidR="00EA1F74" w:rsidRDefault="00FC1CE8">
            <w:pPr>
              <w:pStyle w:val="TableParagraph"/>
              <w:spacing w:before="3"/>
              <w:ind w:left="110"/>
              <w:rPr>
                <w:sz w:val="19"/>
              </w:rPr>
            </w:pPr>
            <w:r>
              <w:rPr>
                <w:w w:val="105"/>
                <w:sz w:val="19"/>
              </w:rPr>
              <w:t>In addition to primary cause of disability, 34% of sample also had a mental health concern:</w:t>
            </w:r>
          </w:p>
          <w:p w:rsidR="00EA1F74" w:rsidRDefault="00FC1CE8">
            <w:pPr>
              <w:pStyle w:val="TableParagraph"/>
              <w:numPr>
                <w:ilvl w:val="0"/>
                <w:numId w:val="80"/>
              </w:numPr>
              <w:tabs>
                <w:tab w:val="left" w:pos="469"/>
                <w:tab w:val="left" w:pos="470"/>
              </w:tabs>
              <w:spacing w:before="76"/>
              <w:rPr>
                <w:sz w:val="19"/>
              </w:rPr>
            </w:pPr>
            <w:r>
              <w:rPr>
                <w:w w:val="105"/>
                <w:sz w:val="19"/>
              </w:rPr>
              <w:t>Schizophrenia: 11%</w:t>
            </w:r>
          </w:p>
          <w:p w:rsidR="00EA1F74" w:rsidRDefault="00FC1CE8">
            <w:pPr>
              <w:pStyle w:val="TableParagraph"/>
              <w:numPr>
                <w:ilvl w:val="0"/>
                <w:numId w:val="80"/>
              </w:numPr>
              <w:tabs>
                <w:tab w:val="left" w:pos="469"/>
                <w:tab w:val="left" w:pos="470"/>
              </w:tabs>
              <w:spacing w:before="7"/>
              <w:rPr>
                <w:sz w:val="19"/>
              </w:rPr>
            </w:pPr>
            <w:r>
              <w:rPr>
                <w:w w:val="105"/>
                <w:sz w:val="19"/>
              </w:rPr>
              <w:t>Depression: 19%</w:t>
            </w:r>
          </w:p>
          <w:p w:rsidR="00EA1F74" w:rsidRDefault="00FC1CE8">
            <w:pPr>
              <w:pStyle w:val="TableParagraph"/>
              <w:numPr>
                <w:ilvl w:val="0"/>
                <w:numId w:val="80"/>
              </w:numPr>
              <w:tabs>
                <w:tab w:val="left" w:pos="469"/>
                <w:tab w:val="left" w:pos="470"/>
              </w:tabs>
              <w:spacing w:before="12"/>
              <w:rPr>
                <w:sz w:val="19"/>
              </w:rPr>
            </w:pPr>
            <w:r>
              <w:rPr>
                <w:w w:val="105"/>
                <w:sz w:val="19"/>
              </w:rPr>
              <w:t>Anxiety: 14%</w:t>
            </w:r>
          </w:p>
          <w:p w:rsidR="00EA1F74" w:rsidRDefault="00FC1CE8">
            <w:pPr>
              <w:pStyle w:val="TableParagraph"/>
              <w:numPr>
                <w:ilvl w:val="0"/>
                <w:numId w:val="80"/>
              </w:numPr>
              <w:tabs>
                <w:tab w:val="left" w:pos="469"/>
                <w:tab w:val="left" w:pos="470"/>
              </w:tabs>
              <w:spacing w:before="12"/>
              <w:rPr>
                <w:sz w:val="19"/>
              </w:rPr>
            </w:pPr>
            <w:r>
              <w:rPr>
                <w:w w:val="105"/>
                <w:sz w:val="19"/>
              </w:rPr>
              <w:t>Bipolar: 7%</w:t>
            </w:r>
          </w:p>
          <w:p w:rsidR="00EA1F74" w:rsidRDefault="00FC1CE8">
            <w:pPr>
              <w:pStyle w:val="TableParagraph"/>
              <w:numPr>
                <w:ilvl w:val="0"/>
                <w:numId w:val="80"/>
              </w:numPr>
              <w:tabs>
                <w:tab w:val="left" w:pos="469"/>
                <w:tab w:val="left" w:pos="470"/>
              </w:tabs>
              <w:spacing w:before="12"/>
              <w:rPr>
                <w:sz w:val="19"/>
              </w:rPr>
            </w:pPr>
            <w:r>
              <w:rPr>
                <w:w w:val="105"/>
                <w:sz w:val="19"/>
              </w:rPr>
              <w:t>Known history of self-harming behaviours:</w:t>
            </w:r>
            <w:r>
              <w:rPr>
                <w:spacing w:val="3"/>
                <w:w w:val="105"/>
                <w:sz w:val="19"/>
              </w:rPr>
              <w:t xml:space="preserve"> </w:t>
            </w:r>
            <w:r>
              <w:rPr>
                <w:w w:val="105"/>
                <w:sz w:val="19"/>
              </w:rPr>
              <w:t>15%</w:t>
            </w:r>
          </w:p>
        </w:tc>
      </w:tr>
      <w:tr w:rsidR="00EA1F74">
        <w:trPr>
          <w:trHeight w:val="580"/>
        </w:trPr>
        <w:tc>
          <w:tcPr>
            <w:tcW w:w="960"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0"/>
              <w:ind w:left="110"/>
              <w:rPr>
                <w:b/>
                <w:sz w:val="19"/>
              </w:rPr>
            </w:pPr>
            <w:r>
              <w:rPr>
                <w:b/>
                <w:w w:val="105"/>
                <w:sz w:val="19"/>
              </w:rPr>
              <w:t>07-16</w:t>
            </w:r>
          </w:p>
        </w:tc>
        <w:tc>
          <w:tcPr>
            <w:tcW w:w="9782" w:type="dxa"/>
          </w:tcPr>
          <w:p w:rsidR="00EA1F74" w:rsidRDefault="00FC1CE8">
            <w:pPr>
              <w:pStyle w:val="TableParagraph"/>
              <w:spacing w:before="3"/>
              <w:ind w:left="110"/>
              <w:rPr>
                <w:sz w:val="19"/>
              </w:rPr>
            </w:pPr>
            <w:r>
              <w:rPr>
                <w:w w:val="105"/>
                <w:sz w:val="19"/>
              </w:rPr>
              <w:t>Not Stated</w:t>
            </w:r>
          </w:p>
        </w:tc>
      </w:tr>
      <w:tr w:rsidR="00EA1F74" w:rsidTr="0049783C">
        <w:trPr>
          <w:trHeight w:val="776"/>
        </w:trPr>
        <w:tc>
          <w:tcPr>
            <w:tcW w:w="960" w:type="dxa"/>
            <w:shd w:val="clear" w:color="auto" w:fill="F2F2F2" w:themeFill="background1" w:themeFillShade="F2"/>
          </w:tcPr>
          <w:p w:rsidR="00EA1F74" w:rsidRDefault="00FC1CE8">
            <w:pPr>
              <w:pStyle w:val="TableParagraph"/>
              <w:spacing w:before="3" w:line="316" w:lineRule="auto"/>
              <w:ind w:left="110" w:right="316"/>
              <w:rPr>
                <w:b/>
                <w:sz w:val="19"/>
              </w:rPr>
            </w:pPr>
            <w:r>
              <w:rPr>
                <w:b/>
                <w:w w:val="105"/>
                <w:sz w:val="19"/>
              </w:rPr>
              <w:t>QLD 09-14</w:t>
            </w:r>
          </w:p>
        </w:tc>
        <w:tc>
          <w:tcPr>
            <w:tcW w:w="9782" w:type="dxa"/>
            <w:shd w:val="clear" w:color="auto" w:fill="F2F2F2" w:themeFill="background1" w:themeFillShade="F2"/>
          </w:tcPr>
          <w:p w:rsidR="00EA1F74" w:rsidRDefault="00FC1CE8">
            <w:pPr>
              <w:pStyle w:val="TableParagraph"/>
              <w:numPr>
                <w:ilvl w:val="0"/>
                <w:numId w:val="79"/>
              </w:numPr>
              <w:tabs>
                <w:tab w:val="left" w:pos="469"/>
                <w:tab w:val="left" w:pos="470"/>
              </w:tabs>
              <w:spacing w:before="5"/>
              <w:rPr>
                <w:sz w:val="19"/>
              </w:rPr>
            </w:pPr>
            <w:r>
              <w:rPr>
                <w:w w:val="105"/>
                <w:sz w:val="19"/>
              </w:rPr>
              <w:t>7% of the sample had “Schizophrenia” listed as an additional</w:t>
            </w:r>
            <w:r>
              <w:rPr>
                <w:spacing w:val="-28"/>
                <w:w w:val="105"/>
                <w:sz w:val="19"/>
              </w:rPr>
              <w:t xml:space="preserve"> </w:t>
            </w:r>
            <w:r>
              <w:rPr>
                <w:w w:val="105"/>
                <w:sz w:val="19"/>
              </w:rPr>
              <w:t>disability.</w:t>
            </w:r>
          </w:p>
          <w:p w:rsidR="00EA1F74" w:rsidRDefault="00FC1CE8">
            <w:pPr>
              <w:pStyle w:val="TableParagraph"/>
              <w:numPr>
                <w:ilvl w:val="0"/>
                <w:numId w:val="79"/>
              </w:numPr>
              <w:tabs>
                <w:tab w:val="left" w:pos="469"/>
                <w:tab w:val="left" w:pos="470"/>
              </w:tabs>
              <w:spacing w:before="12"/>
              <w:rPr>
                <w:sz w:val="19"/>
              </w:rPr>
            </w:pPr>
            <w:r>
              <w:rPr>
                <w:w w:val="105"/>
                <w:sz w:val="19"/>
              </w:rPr>
              <w:t>No other mention of mental health profile of sample made in the</w:t>
            </w:r>
            <w:r>
              <w:rPr>
                <w:spacing w:val="-22"/>
                <w:w w:val="105"/>
                <w:sz w:val="19"/>
              </w:rPr>
              <w:t xml:space="preserve"> </w:t>
            </w:r>
            <w:r>
              <w:rPr>
                <w:w w:val="105"/>
                <w:sz w:val="19"/>
              </w:rPr>
              <w:t>report.</w:t>
            </w:r>
          </w:p>
        </w:tc>
      </w:tr>
      <w:tr w:rsidR="00EA1F74">
        <w:trPr>
          <w:trHeight w:val="1328"/>
        </w:trPr>
        <w:tc>
          <w:tcPr>
            <w:tcW w:w="960" w:type="dxa"/>
          </w:tcPr>
          <w:p w:rsidR="00EA1F74" w:rsidRDefault="00FC1CE8">
            <w:pPr>
              <w:pStyle w:val="TableParagraph"/>
              <w:spacing w:before="3" w:line="316" w:lineRule="auto"/>
              <w:ind w:left="110" w:right="316"/>
              <w:rPr>
                <w:b/>
                <w:sz w:val="19"/>
              </w:rPr>
            </w:pPr>
            <w:r>
              <w:rPr>
                <w:b/>
                <w:w w:val="105"/>
                <w:sz w:val="19"/>
              </w:rPr>
              <w:t>NSW 12-13</w:t>
            </w:r>
          </w:p>
        </w:tc>
        <w:tc>
          <w:tcPr>
            <w:tcW w:w="9782" w:type="dxa"/>
          </w:tcPr>
          <w:p w:rsidR="00EA1F74" w:rsidRDefault="00FC1CE8">
            <w:pPr>
              <w:pStyle w:val="TableParagraph"/>
              <w:spacing w:before="3"/>
              <w:ind w:left="110"/>
              <w:rPr>
                <w:sz w:val="19"/>
              </w:rPr>
            </w:pPr>
            <w:r>
              <w:rPr>
                <w:w w:val="105"/>
                <w:sz w:val="19"/>
              </w:rPr>
              <w:t>43.5% of the sample were listed as having a ‘psychosocial’ disability:</w:t>
            </w:r>
          </w:p>
          <w:p w:rsidR="00EA1F74" w:rsidRDefault="00FC1CE8">
            <w:pPr>
              <w:pStyle w:val="TableParagraph"/>
              <w:spacing w:before="70" w:line="252" w:lineRule="auto"/>
              <w:ind w:left="110"/>
              <w:rPr>
                <w:i/>
                <w:sz w:val="19"/>
              </w:rPr>
            </w:pPr>
            <w:r>
              <w:rPr>
                <w:w w:val="105"/>
                <w:sz w:val="19"/>
              </w:rPr>
              <w:t>“</w:t>
            </w:r>
            <w:r>
              <w:rPr>
                <w:i/>
                <w:w w:val="105"/>
                <w:sz w:val="19"/>
              </w:rPr>
              <w:t>All of the assisted boarding house residents who had a mental illness had schizophrenia or schizoaffective disorder. Most of the people in disability services who had a mental illness had a mood disorder, such as depression or bipolar disorder; schizophrenia or other psychotic disorder; and/or an anxiety disorder”</w:t>
            </w:r>
          </w:p>
        </w:tc>
      </w:tr>
      <w:tr w:rsidR="00EA1F74" w:rsidTr="0049783C">
        <w:trPr>
          <w:trHeight w:val="522"/>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782" w:type="dxa"/>
            <w:shd w:val="clear" w:color="auto" w:fill="F2F2F2" w:themeFill="background1" w:themeFillShade="F2"/>
          </w:tcPr>
          <w:p w:rsidR="00EA1F74" w:rsidRDefault="00FC1CE8">
            <w:pPr>
              <w:pStyle w:val="TableParagraph"/>
              <w:spacing w:before="3"/>
              <w:ind w:left="110"/>
              <w:rPr>
                <w:sz w:val="19"/>
              </w:rPr>
            </w:pPr>
            <w:r>
              <w:rPr>
                <w:w w:val="105"/>
                <w:sz w:val="19"/>
              </w:rPr>
              <w:t>53.1% of the sample were listed as having a ‘psychosocial’ disability.</w:t>
            </w:r>
          </w:p>
        </w:tc>
      </w:tr>
    </w:tbl>
    <w:p w:rsidR="00EA1F74" w:rsidRDefault="00EA1F74" w:rsidP="00625DA1">
      <w:pPr>
        <w:pStyle w:val="BodyText"/>
      </w:pPr>
    </w:p>
    <w:p w:rsidR="00EA1F74" w:rsidRDefault="00EA1F74" w:rsidP="00625DA1">
      <w:pPr>
        <w:pStyle w:val="BodyText"/>
      </w:pPr>
    </w:p>
    <w:p w:rsidR="00EA1F74" w:rsidRDefault="00FC1CE8">
      <w:pPr>
        <w:pStyle w:val="Heading4"/>
        <w:spacing w:before="204"/>
      </w:pPr>
      <w:bookmarkStart w:id="22" w:name="_TOC_250043"/>
      <w:bookmarkEnd w:id="22"/>
      <w:r>
        <w:rPr>
          <w:color w:val="4472C4"/>
        </w:rPr>
        <w:t>Physical health conditions</w:t>
      </w:r>
    </w:p>
    <w:p w:rsidR="00EA1F74" w:rsidRDefault="00FC1CE8" w:rsidP="00FA1F07">
      <w:pPr>
        <w:pStyle w:val="BodyText"/>
      </w:pPr>
      <w:r>
        <w:t>Physical health conditions are outlined in Table 11. Across samples, the vast majority of people who died were reported to experience multiple physical health problems in addition to their disability. The VIC 17-18 report was the only one that attempted to quantify the number of physical co-morbidities per person. They found that, in addition to their disability, 96% of the sample had a known physical health condition. On average, there</w:t>
      </w:r>
      <w:r w:rsidR="00FA1F07">
        <w:t xml:space="preserve"> </w:t>
      </w:r>
      <w:r>
        <w:t>were four physical health conditions per person. Across reports, common physical health problems included dental problems (impacting 51%- 83% of people) and epilepsy (impacting 28%- 49% of people across samples- with the exception of NSW assisted boarding house residents where epilepsy was not recorded). Constipation, urinary incontinence and Gastro Oesophageal Reflux Disease (GORD) were also commonly reported problems across samples.</w:t>
      </w:r>
    </w:p>
    <w:p w:rsidR="00EA1F74" w:rsidRDefault="00EA1F74" w:rsidP="00625DA1">
      <w:pPr>
        <w:pStyle w:val="BodyText"/>
      </w:pPr>
    </w:p>
    <w:p w:rsidR="00EA1F74" w:rsidRDefault="00FC1CE8" w:rsidP="00625DA1">
      <w:pPr>
        <w:pStyle w:val="BodyText"/>
      </w:pPr>
      <w:r>
        <w:t>Table 11: Physical health conditions</w:t>
      </w: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4366"/>
        <w:gridCol w:w="5417"/>
      </w:tblGrid>
      <w:tr w:rsidR="00EA1F74">
        <w:trPr>
          <w:trHeight w:val="509"/>
        </w:trPr>
        <w:tc>
          <w:tcPr>
            <w:tcW w:w="960" w:type="dxa"/>
            <w:tcBorders>
              <w:bottom w:val="single" w:sz="18" w:space="0" w:color="A5A5A5"/>
            </w:tcBorders>
          </w:tcPr>
          <w:p w:rsidR="00EA1F74" w:rsidRDefault="00FC1CE8">
            <w:pPr>
              <w:pStyle w:val="TableParagraph"/>
              <w:spacing w:before="8" w:line="247" w:lineRule="auto"/>
              <w:ind w:left="110" w:right="211"/>
              <w:rPr>
                <w:sz w:val="19"/>
              </w:rPr>
            </w:pPr>
            <w:r>
              <w:rPr>
                <w:w w:val="105"/>
                <w:sz w:val="19"/>
              </w:rPr>
              <w:t>Report ID</w:t>
            </w:r>
          </w:p>
        </w:tc>
        <w:tc>
          <w:tcPr>
            <w:tcW w:w="9783" w:type="dxa"/>
            <w:gridSpan w:val="2"/>
          </w:tcPr>
          <w:p w:rsidR="00EA1F74" w:rsidRDefault="00FC1CE8">
            <w:pPr>
              <w:pStyle w:val="TableParagraph"/>
              <w:spacing w:before="8"/>
              <w:ind w:left="3724" w:right="3703"/>
              <w:jc w:val="center"/>
              <w:rPr>
                <w:sz w:val="19"/>
              </w:rPr>
            </w:pPr>
            <w:r>
              <w:rPr>
                <w:w w:val="105"/>
                <w:sz w:val="19"/>
              </w:rPr>
              <w:t>Physical health conditions</w:t>
            </w:r>
          </w:p>
        </w:tc>
      </w:tr>
      <w:tr w:rsidR="00EA1F74" w:rsidTr="0049783C">
        <w:trPr>
          <w:trHeight w:val="2041"/>
        </w:trPr>
        <w:tc>
          <w:tcPr>
            <w:tcW w:w="960" w:type="dxa"/>
            <w:tcBorders>
              <w:top w:val="single" w:sz="18" w:space="0" w:color="A5A5A5"/>
            </w:tcBorders>
            <w:shd w:val="clear" w:color="auto" w:fill="F2F2F2" w:themeFill="background1" w:themeFillShade="F2"/>
          </w:tcPr>
          <w:p w:rsidR="00EA1F74" w:rsidRDefault="00FC1CE8">
            <w:pPr>
              <w:pStyle w:val="TableParagraph"/>
              <w:spacing w:before="15" w:line="321" w:lineRule="auto"/>
              <w:ind w:left="110" w:right="316"/>
              <w:rPr>
                <w:b/>
                <w:sz w:val="19"/>
              </w:rPr>
            </w:pPr>
            <w:r>
              <w:rPr>
                <w:b/>
                <w:w w:val="105"/>
                <w:sz w:val="19"/>
              </w:rPr>
              <w:t>VIC 17-18</w:t>
            </w:r>
          </w:p>
        </w:tc>
        <w:tc>
          <w:tcPr>
            <w:tcW w:w="4366" w:type="dxa"/>
            <w:tcBorders>
              <w:right w:val="nil"/>
            </w:tcBorders>
            <w:shd w:val="clear" w:color="auto" w:fill="F2F2F2" w:themeFill="background1" w:themeFillShade="F2"/>
          </w:tcPr>
          <w:p w:rsidR="00EA1F74" w:rsidRDefault="00FC1CE8">
            <w:pPr>
              <w:pStyle w:val="TableParagraph"/>
              <w:numPr>
                <w:ilvl w:val="0"/>
                <w:numId w:val="78"/>
              </w:numPr>
              <w:tabs>
                <w:tab w:val="left" w:pos="469"/>
                <w:tab w:val="left" w:pos="470"/>
              </w:tabs>
              <w:spacing w:before="17" w:line="249" w:lineRule="auto"/>
              <w:ind w:right="273"/>
              <w:rPr>
                <w:sz w:val="19"/>
              </w:rPr>
            </w:pPr>
            <w:r>
              <w:rPr>
                <w:w w:val="105"/>
                <w:sz w:val="19"/>
              </w:rPr>
              <w:t>Some teeth missing, no teeth or required dental aids: 51%</w:t>
            </w:r>
          </w:p>
          <w:p w:rsidR="00EA1F74" w:rsidRDefault="00FC1CE8">
            <w:pPr>
              <w:pStyle w:val="TableParagraph"/>
              <w:numPr>
                <w:ilvl w:val="0"/>
                <w:numId w:val="78"/>
              </w:numPr>
              <w:tabs>
                <w:tab w:val="left" w:pos="469"/>
                <w:tab w:val="left" w:pos="470"/>
              </w:tabs>
              <w:spacing w:before="5"/>
              <w:rPr>
                <w:sz w:val="19"/>
              </w:rPr>
            </w:pPr>
            <w:r>
              <w:rPr>
                <w:w w:val="105"/>
                <w:sz w:val="19"/>
              </w:rPr>
              <w:t>Urinary incontinence: 51%</w:t>
            </w:r>
          </w:p>
          <w:p w:rsidR="00EA1F74" w:rsidRDefault="00FC1CE8">
            <w:pPr>
              <w:pStyle w:val="TableParagraph"/>
              <w:numPr>
                <w:ilvl w:val="0"/>
                <w:numId w:val="78"/>
              </w:numPr>
              <w:tabs>
                <w:tab w:val="left" w:pos="469"/>
                <w:tab w:val="left" w:pos="470"/>
              </w:tabs>
              <w:spacing w:before="13"/>
              <w:rPr>
                <w:sz w:val="19"/>
              </w:rPr>
            </w:pPr>
            <w:r>
              <w:rPr>
                <w:w w:val="105"/>
                <w:sz w:val="19"/>
              </w:rPr>
              <w:t>Constipation: 40%</w:t>
            </w:r>
          </w:p>
          <w:p w:rsidR="00EA1F74" w:rsidRDefault="00FC1CE8">
            <w:pPr>
              <w:pStyle w:val="TableParagraph"/>
              <w:numPr>
                <w:ilvl w:val="0"/>
                <w:numId w:val="78"/>
              </w:numPr>
              <w:tabs>
                <w:tab w:val="left" w:pos="469"/>
                <w:tab w:val="left" w:pos="470"/>
              </w:tabs>
              <w:spacing w:before="7"/>
              <w:rPr>
                <w:sz w:val="19"/>
              </w:rPr>
            </w:pPr>
            <w:r>
              <w:rPr>
                <w:w w:val="105"/>
                <w:sz w:val="19"/>
              </w:rPr>
              <w:t>Faecal incontinence:</w:t>
            </w:r>
            <w:r>
              <w:rPr>
                <w:spacing w:val="-1"/>
                <w:w w:val="105"/>
                <w:sz w:val="19"/>
              </w:rPr>
              <w:t xml:space="preserve"> </w:t>
            </w:r>
            <w:r>
              <w:rPr>
                <w:w w:val="105"/>
                <w:sz w:val="19"/>
              </w:rPr>
              <w:t>40%</w:t>
            </w:r>
          </w:p>
          <w:p w:rsidR="00EA1F74" w:rsidRDefault="00FC1CE8">
            <w:pPr>
              <w:pStyle w:val="TableParagraph"/>
              <w:numPr>
                <w:ilvl w:val="0"/>
                <w:numId w:val="78"/>
              </w:numPr>
              <w:tabs>
                <w:tab w:val="left" w:pos="469"/>
                <w:tab w:val="left" w:pos="470"/>
              </w:tabs>
              <w:spacing w:before="12"/>
              <w:rPr>
                <w:sz w:val="19"/>
              </w:rPr>
            </w:pPr>
            <w:r>
              <w:rPr>
                <w:w w:val="105"/>
                <w:sz w:val="19"/>
              </w:rPr>
              <w:t>Epilepsy: 28%</w:t>
            </w:r>
          </w:p>
        </w:tc>
        <w:tc>
          <w:tcPr>
            <w:tcW w:w="5417" w:type="dxa"/>
            <w:tcBorders>
              <w:left w:val="nil"/>
            </w:tcBorders>
            <w:shd w:val="clear" w:color="auto" w:fill="F2F2F2" w:themeFill="background1" w:themeFillShade="F2"/>
          </w:tcPr>
          <w:p w:rsidR="00EA1F74" w:rsidRDefault="00FC1CE8">
            <w:pPr>
              <w:pStyle w:val="TableParagraph"/>
              <w:numPr>
                <w:ilvl w:val="0"/>
                <w:numId w:val="77"/>
              </w:numPr>
              <w:tabs>
                <w:tab w:val="left" w:pos="654"/>
                <w:tab w:val="left" w:pos="655"/>
              </w:tabs>
              <w:spacing w:before="17"/>
              <w:ind w:hanging="361"/>
              <w:rPr>
                <w:sz w:val="19"/>
              </w:rPr>
            </w:pPr>
            <w:r>
              <w:rPr>
                <w:w w:val="105"/>
                <w:sz w:val="19"/>
              </w:rPr>
              <w:t>History of respiratory infections:</w:t>
            </w:r>
            <w:r>
              <w:rPr>
                <w:spacing w:val="1"/>
                <w:w w:val="105"/>
                <w:sz w:val="19"/>
              </w:rPr>
              <w:t xml:space="preserve"> </w:t>
            </w:r>
            <w:r>
              <w:rPr>
                <w:w w:val="105"/>
                <w:sz w:val="19"/>
              </w:rPr>
              <w:t>27%</w:t>
            </w:r>
          </w:p>
          <w:p w:rsidR="00EA1F74" w:rsidRDefault="00FC1CE8">
            <w:pPr>
              <w:pStyle w:val="TableParagraph"/>
              <w:numPr>
                <w:ilvl w:val="0"/>
                <w:numId w:val="77"/>
              </w:numPr>
              <w:tabs>
                <w:tab w:val="left" w:pos="654"/>
                <w:tab w:val="left" w:pos="655"/>
              </w:tabs>
              <w:spacing w:before="12"/>
              <w:ind w:hanging="361"/>
              <w:rPr>
                <w:sz w:val="19"/>
              </w:rPr>
            </w:pPr>
            <w:r>
              <w:rPr>
                <w:w w:val="105"/>
                <w:sz w:val="19"/>
              </w:rPr>
              <w:t>Heart problems: 21%</w:t>
            </w:r>
          </w:p>
          <w:p w:rsidR="00EA1F74" w:rsidRDefault="00FC1CE8">
            <w:pPr>
              <w:pStyle w:val="TableParagraph"/>
              <w:numPr>
                <w:ilvl w:val="0"/>
                <w:numId w:val="77"/>
              </w:numPr>
              <w:tabs>
                <w:tab w:val="left" w:pos="654"/>
                <w:tab w:val="left" w:pos="655"/>
              </w:tabs>
              <w:spacing w:before="12"/>
              <w:ind w:hanging="361"/>
              <w:rPr>
                <w:sz w:val="19"/>
              </w:rPr>
            </w:pPr>
            <w:r>
              <w:rPr>
                <w:w w:val="105"/>
                <w:sz w:val="19"/>
              </w:rPr>
              <w:t>GORD: 19%</w:t>
            </w:r>
          </w:p>
          <w:p w:rsidR="00EA1F74" w:rsidRDefault="00FC1CE8">
            <w:pPr>
              <w:pStyle w:val="TableParagraph"/>
              <w:numPr>
                <w:ilvl w:val="0"/>
                <w:numId w:val="77"/>
              </w:numPr>
              <w:tabs>
                <w:tab w:val="left" w:pos="654"/>
                <w:tab w:val="left" w:pos="655"/>
              </w:tabs>
              <w:spacing w:before="7"/>
              <w:ind w:hanging="361"/>
              <w:rPr>
                <w:sz w:val="19"/>
              </w:rPr>
            </w:pPr>
            <w:r>
              <w:rPr>
                <w:w w:val="105"/>
                <w:sz w:val="19"/>
              </w:rPr>
              <w:t>Hypertension: 19%</w:t>
            </w:r>
          </w:p>
          <w:p w:rsidR="00EA1F74" w:rsidRDefault="00FC1CE8">
            <w:pPr>
              <w:pStyle w:val="TableParagraph"/>
              <w:numPr>
                <w:ilvl w:val="0"/>
                <w:numId w:val="77"/>
              </w:numPr>
              <w:tabs>
                <w:tab w:val="left" w:pos="654"/>
                <w:tab w:val="left" w:pos="655"/>
              </w:tabs>
              <w:spacing w:before="12"/>
              <w:ind w:hanging="361"/>
              <w:rPr>
                <w:sz w:val="19"/>
              </w:rPr>
            </w:pPr>
            <w:r>
              <w:rPr>
                <w:w w:val="105"/>
                <w:sz w:val="19"/>
              </w:rPr>
              <w:t>Diabetes: 14%</w:t>
            </w:r>
          </w:p>
          <w:p w:rsidR="00EA1F74" w:rsidRDefault="00FC1CE8">
            <w:pPr>
              <w:pStyle w:val="TableParagraph"/>
              <w:numPr>
                <w:ilvl w:val="0"/>
                <w:numId w:val="77"/>
              </w:numPr>
              <w:tabs>
                <w:tab w:val="left" w:pos="654"/>
                <w:tab w:val="left" w:pos="655"/>
              </w:tabs>
              <w:spacing w:before="12"/>
              <w:ind w:hanging="361"/>
              <w:rPr>
                <w:sz w:val="19"/>
              </w:rPr>
            </w:pPr>
            <w:r>
              <w:rPr>
                <w:w w:val="105"/>
                <w:sz w:val="19"/>
              </w:rPr>
              <w:t>Diseases of the eye:</w:t>
            </w:r>
            <w:r>
              <w:rPr>
                <w:spacing w:val="2"/>
                <w:w w:val="105"/>
                <w:sz w:val="19"/>
              </w:rPr>
              <w:t xml:space="preserve"> </w:t>
            </w:r>
            <w:r>
              <w:rPr>
                <w:w w:val="105"/>
                <w:sz w:val="19"/>
              </w:rPr>
              <w:t>14%</w:t>
            </w:r>
          </w:p>
        </w:tc>
      </w:tr>
      <w:tr w:rsidR="00EA1F74">
        <w:trPr>
          <w:trHeight w:val="580"/>
        </w:trPr>
        <w:tc>
          <w:tcPr>
            <w:tcW w:w="960"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0"/>
              <w:ind w:left="110"/>
              <w:rPr>
                <w:b/>
                <w:sz w:val="19"/>
              </w:rPr>
            </w:pPr>
            <w:r>
              <w:rPr>
                <w:b/>
                <w:w w:val="105"/>
                <w:sz w:val="19"/>
              </w:rPr>
              <w:t>07-16</w:t>
            </w:r>
          </w:p>
        </w:tc>
        <w:tc>
          <w:tcPr>
            <w:tcW w:w="4366" w:type="dxa"/>
            <w:tcBorders>
              <w:right w:val="nil"/>
            </w:tcBorders>
          </w:tcPr>
          <w:p w:rsidR="00EA1F74" w:rsidRDefault="00FC1CE8">
            <w:pPr>
              <w:pStyle w:val="TableParagraph"/>
              <w:spacing w:before="3"/>
              <w:ind w:left="110"/>
              <w:rPr>
                <w:sz w:val="19"/>
              </w:rPr>
            </w:pPr>
            <w:r>
              <w:rPr>
                <w:w w:val="103"/>
                <w:sz w:val="19"/>
              </w:rPr>
              <w:t>-</w:t>
            </w:r>
          </w:p>
        </w:tc>
        <w:tc>
          <w:tcPr>
            <w:tcW w:w="5417" w:type="dxa"/>
            <w:tcBorders>
              <w:left w:val="nil"/>
            </w:tcBorders>
          </w:tcPr>
          <w:p w:rsidR="00EA1F74" w:rsidRDefault="00FC1CE8">
            <w:pPr>
              <w:pStyle w:val="TableParagraph"/>
              <w:spacing w:before="3"/>
              <w:ind w:left="294"/>
              <w:rPr>
                <w:sz w:val="19"/>
              </w:rPr>
            </w:pPr>
            <w:r>
              <w:rPr>
                <w:w w:val="103"/>
                <w:sz w:val="19"/>
              </w:rPr>
              <w:t>-</w:t>
            </w:r>
          </w:p>
        </w:tc>
      </w:tr>
      <w:tr w:rsidR="00EA1F74" w:rsidTr="0049783C">
        <w:trPr>
          <w:trHeight w:val="259"/>
        </w:trPr>
        <w:tc>
          <w:tcPr>
            <w:tcW w:w="960" w:type="dxa"/>
            <w:tcBorders>
              <w:bottom w:val="nil"/>
            </w:tcBorders>
            <w:shd w:val="clear" w:color="auto" w:fill="F2F2F2" w:themeFill="background1" w:themeFillShade="F2"/>
          </w:tcPr>
          <w:p w:rsidR="00EA1F74" w:rsidRDefault="00FC1CE8">
            <w:pPr>
              <w:pStyle w:val="TableParagraph"/>
              <w:spacing w:before="3"/>
              <w:ind w:left="110"/>
              <w:rPr>
                <w:b/>
                <w:sz w:val="19"/>
              </w:rPr>
            </w:pPr>
            <w:r>
              <w:rPr>
                <w:b/>
                <w:w w:val="105"/>
                <w:sz w:val="19"/>
              </w:rPr>
              <w:t>QLD</w:t>
            </w:r>
          </w:p>
        </w:tc>
        <w:tc>
          <w:tcPr>
            <w:tcW w:w="4366" w:type="dxa"/>
            <w:tcBorders>
              <w:bottom w:val="nil"/>
              <w:right w:val="nil"/>
            </w:tcBorders>
            <w:shd w:val="clear" w:color="auto" w:fill="F2F2F2" w:themeFill="background1" w:themeFillShade="F2"/>
          </w:tcPr>
          <w:p w:rsidR="00EA1F74" w:rsidRDefault="00FC1CE8">
            <w:pPr>
              <w:pStyle w:val="TableParagraph"/>
              <w:numPr>
                <w:ilvl w:val="0"/>
                <w:numId w:val="76"/>
              </w:numPr>
              <w:tabs>
                <w:tab w:val="left" w:pos="469"/>
                <w:tab w:val="left" w:pos="470"/>
              </w:tabs>
              <w:spacing w:before="5"/>
              <w:rPr>
                <w:sz w:val="19"/>
              </w:rPr>
            </w:pPr>
            <w:r>
              <w:rPr>
                <w:w w:val="105"/>
                <w:sz w:val="19"/>
              </w:rPr>
              <w:t>Epilepsy: 49%</w:t>
            </w:r>
          </w:p>
        </w:tc>
        <w:tc>
          <w:tcPr>
            <w:tcW w:w="5417" w:type="dxa"/>
            <w:tcBorders>
              <w:left w:val="nil"/>
              <w:bottom w:val="nil"/>
            </w:tcBorders>
            <w:shd w:val="clear" w:color="auto" w:fill="F2F2F2" w:themeFill="background1" w:themeFillShade="F2"/>
          </w:tcPr>
          <w:p w:rsidR="00EA1F74" w:rsidRDefault="00FC1CE8">
            <w:pPr>
              <w:pStyle w:val="TableParagraph"/>
              <w:numPr>
                <w:ilvl w:val="0"/>
                <w:numId w:val="75"/>
              </w:numPr>
              <w:tabs>
                <w:tab w:val="left" w:pos="654"/>
                <w:tab w:val="left" w:pos="655"/>
              </w:tabs>
              <w:spacing w:before="5"/>
              <w:ind w:hanging="361"/>
              <w:rPr>
                <w:sz w:val="19"/>
              </w:rPr>
            </w:pPr>
            <w:r>
              <w:rPr>
                <w:w w:val="105"/>
                <w:sz w:val="19"/>
              </w:rPr>
              <w:t>Hearing impairment:</w:t>
            </w:r>
            <w:r>
              <w:rPr>
                <w:spacing w:val="1"/>
                <w:w w:val="105"/>
                <w:sz w:val="19"/>
              </w:rPr>
              <w:t xml:space="preserve"> </w:t>
            </w:r>
            <w:r>
              <w:rPr>
                <w:w w:val="105"/>
                <w:sz w:val="19"/>
              </w:rPr>
              <w:t>3%</w:t>
            </w:r>
          </w:p>
        </w:tc>
      </w:tr>
      <w:tr w:rsidR="00EA1F74" w:rsidTr="0049783C">
        <w:trPr>
          <w:trHeight w:val="484"/>
        </w:trPr>
        <w:tc>
          <w:tcPr>
            <w:tcW w:w="960" w:type="dxa"/>
            <w:tcBorders>
              <w:top w:val="nil"/>
              <w:bottom w:val="nil"/>
            </w:tcBorders>
            <w:shd w:val="clear" w:color="auto" w:fill="F2F2F2" w:themeFill="background1" w:themeFillShade="F2"/>
          </w:tcPr>
          <w:p w:rsidR="00EA1F74" w:rsidRDefault="00FC1CE8">
            <w:pPr>
              <w:pStyle w:val="TableParagraph"/>
              <w:spacing w:before="32"/>
              <w:ind w:left="110"/>
              <w:rPr>
                <w:b/>
                <w:sz w:val="19"/>
              </w:rPr>
            </w:pPr>
            <w:r>
              <w:rPr>
                <w:b/>
                <w:w w:val="105"/>
                <w:sz w:val="19"/>
              </w:rPr>
              <w:t>09-14</w:t>
            </w:r>
          </w:p>
        </w:tc>
        <w:tc>
          <w:tcPr>
            <w:tcW w:w="4366" w:type="dxa"/>
            <w:tcBorders>
              <w:top w:val="nil"/>
              <w:bottom w:val="nil"/>
              <w:right w:val="nil"/>
            </w:tcBorders>
            <w:shd w:val="clear" w:color="auto" w:fill="F2F2F2" w:themeFill="background1" w:themeFillShade="F2"/>
          </w:tcPr>
          <w:p w:rsidR="00EA1F74" w:rsidRDefault="00FC1CE8">
            <w:pPr>
              <w:pStyle w:val="TableParagraph"/>
              <w:numPr>
                <w:ilvl w:val="0"/>
                <w:numId w:val="74"/>
              </w:numPr>
              <w:tabs>
                <w:tab w:val="left" w:pos="469"/>
                <w:tab w:val="left" w:pos="470"/>
              </w:tabs>
              <w:spacing w:line="224" w:lineRule="exact"/>
              <w:rPr>
                <w:sz w:val="19"/>
              </w:rPr>
            </w:pPr>
            <w:r>
              <w:rPr>
                <w:w w:val="105"/>
                <w:sz w:val="19"/>
              </w:rPr>
              <w:t>Cerebral palsy: 32%</w:t>
            </w:r>
          </w:p>
          <w:p w:rsidR="00EA1F74" w:rsidRDefault="00FC1CE8">
            <w:pPr>
              <w:pStyle w:val="TableParagraph"/>
              <w:numPr>
                <w:ilvl w:val="0"/>
                <w:numId w:val="74"/>
              </w:numPr>
              <w:tabs>
                <w:tab w:val="left" w:pos="469"/>
                <w:tab w:val="left" w:pos="470"/>
              </w:tabs>
              <w:spacing w:before="7"/>
              <w:rPr>
                <w:sz w:val="19"/>
              </w:rPr>
            </w:pPr>
            <w:r>
              <w:rPr>
                <w:w w:val="105"/>
                <w:sz w:val="19"/>
              </w:rPr>
              <w:t>Down Syndrome:</w:t>
            </w:r>
            <w:r>
              <w:rPr>
                <w:spacing w:val="1"/>
                <w:w w:val="105"/>
                <w:sz w:val="19"/>
              </w:rPr>
              <w:t xml:space="preserve"> </w:t>
            </w:r>
            <w:r>
              <w:rPr>
                <w:w w:val="105"/>
                <w:sz w:val="19"/>
              </w:rPr>
              <w:t>15%</w:t>
            </w:r>
          </w:p>
        </w:tc>
        <w:tc>
          <w:tcPr>
            <w:tcW w:w="5417" w:type="dxa"/>
            <w:tcBorders>
              <w:top w:val="nil"/>
              <w:left w:val="nil"/>
              <w:bottom w:val="nil"/>
            </w:tcBorders>
            <w:shd w:val="clear" w:color="auto" w:fill="F2F2F2" w:themeFill="background1" w:themeFillShade="F2"/>
          </w:tcPr>
          <w:p w:rsidR="00EA1F74" w:rsidRDefault="00FC1CE8">
            <w:pPr>
              <w:pStyle w:val="TableParagraph"/>
              <w:numPr>
                <w:ilvl w:val="0"/>
                <w:numId w:val="73"/>
              </w:numPr>
              <w:tabs>
                <w:tab w:val="left" w:pos="654"/>
                <w:tab w:val="left" w:pos="655"/>
              </w:tabs>
              <w:spacing w:line="224" w:lineRule="exact"/>
              <w:ind w:hanging="361"/>
              <w:rPr>
                <w:sz w:val="19"/>
              </w:rPr>
            </w:pPr>
            <w:r>
              <w:rPr>
                <w:w w:val="105"/>
                <w:sz w:val="19"/>
              </w:rPr>
              <w:t>Spastic Quadriplegia:</w:t>
            </w:r>
            <w:r>
              <w:rPr>
                <w:spacing w:val="1"/>
                <w:w w:val="105"/>
                <w:sz w:val="19"/>
              </w:rPr>
              <w:t xml:space="preserve"> </w:t>
            </w:r>
            <w:r>
              <w:rPr>
                <w:w w:val="105"/>
                <w:sz w:val="19"/>
              </w:rPr>
              <w:t>3%</w:t>
            </w:r>
          </w:p>
          <w:p w:rsidR="00EA1F74" w:rsidRDefault="00FC1CE8">
            <w:pPr>
              <w:pStyle w:val="TableParagraph"/>
              <w:numPr>
                <w:ilvl w:val="0"/>
                <w:numId w:val="73"/>
              </w:numPr>
              <w:tabs>
                <w:tab w:val="left" w:pos="654"/>
                <w:tab w:val="left" w:pos="655"/>
              </w:tabs>
              <w:spacing w:before="7"/>
              <w:ind w:hanging="361"/>
              <w:rPr>
                <w:sz w:val="19"/>
              </w:rPr>
            </w:pPr>
            <w:r>
              <w:rPr>
                <w:w w:val="105"/>
                <w:sz w:val="19"/>
              </w:rPr>
              <w:t>Other: 11%</w:t>
            </w:r>
          </w:p>
        </w:tc>
      </w:tr>
      <w:tr w:rsidR="00EA1F74" w:rsidTr="0049783C">
        <w:trPr>
          <w:trHeight w:val="460"/>
        </w:trPr>
        <w:tc>
          <w:tcPr>
            <w:tcW w:w="960" w:type="dxa"/>
            <w:tcBorders>
              <w:top w:val="nil"/>
            </w:tcBorders>
            <w:shd w:val="clear" w:color="auto" w:fill="F2F2F2" w:themeFill="background1" w:themeFillShade="F2"/>
          </w:tcPr>
          <w:p w:rsidR="00EA1F74" w:rsidRDefault="00EA1F74">
            <w:pPr>
              <w:pStyle w:val="TableParagraph"/>
              <w:rPr>
                <w:rFonts w:ascii="Times New Roman"/>
                <w:sz w:val="20"/>
              </w:rPr>
            </w:pPr>
          </w:p>
        </w:tc>
        <w:tc>
          <w:tcPr>
            <w:tcW w:w="4366" w:type="dxa"/>
            <w:tcBorders>
              <w:top w:val="nil"/>
              <w:right w:val="nil"/>
            </w:tcBorders>
            <w:shd w:val="clear" w:color="auto" w:fill="F2F2F2" w:themeFill="background1" w:themeFillShade="F2"/>
          </w:tcPr>
          <w:p w:rsidR="00EA1F74" w:rsidRDefault="00FC1CE8">
            <w:pPr>
              <w:pStyle w:val="TableParagraph"/>
              <w:numPr>
                <w:ilvl w:val="0"/>
                <w:numId w:val="72"/>
              </w:numPr>
              <w:tabs>
                <w:tab w:val="left" w:pos="469"/>
                <w:tab w:val="left" w:pos="470"/>
              </w:tabs>
              <w:spacing w:line="224" w:lineRule="exact"/>
              <w:rPr>
                <w:sz w:val="19"/>
              </w:rPr>
            </w:pPr>
            <w:r>
              <w:rPr>
                <w:w w:val="105"/>
                <w:sz w:val="19"/>
              </w:rPr>
              <w:t>Vision impairment:</w:t>
            </w:r>
            <w:r>
              <w:rPr>
                <w:spacing w:val="1"/>
                <w:w w:val="105"/>
                <w:sz w:val="19"/>
              </w:rPr>
              <w:t xml:space="preserve"> </w:t>
            </w:r>
            <w:r>
              <w:rPr>
                <w:w w:val="105"/>
                <w:sz w:val="19"/>
              </w:rPr>
              <w:t>5%</w:t>
            </w:r>
          </w:p>
        </w:tc>
        <w:tc>
          <w:tcPr>
            <w:tcW w:w="5417" w:type="dxa"/>
            <w:tcBorders>
              <w:top w:val="nil"/>
              <w:left w:val="nil"/>
            </w:tcBorders>
            <w:shd w:val="clear" w:color="auto" w:fill="F2F2F2" w:themeFill="background1" w:themeFillShade="F2"/>
          </w:tcPr>
          <w:p w:rsidR="00EA1F74" w:rsidRDefault="00EA1F74">
            <w:pPr>
              <w:pStyle w:val="TableParagraph"/>
              <w:rPr>
                <w:rFonts w:ascii="Times New Roman"/>
                <w:sz w:val="20"/>
              </w:rPr>
            </w:pPr>
          </w:p>
        </w:tc>
      </w:tr>
      <w:tr w:rsidR="00EA1F74">
        <w:trPr>
          <w:trHeight w:val="257"/>
        </w:trPr>
        <w:tc>
          <w:tcPr>
            <w:tcW w:w="960" w:type="dxa"/>
            <w:tcBorders>
              <w:bottom w:val="nil"/>
            </w:tcBorders>
          </w:tcPr>
          <w:p w:rsidR="00EA1F74" w:rsidRDefault="00FC1CE8">
            <w:pPr>
              <w:pStyle w:val="TableParagraph"/>
              <w:spacing w:before="3"/>
              <w:ind w:left="110"/>
              <w:rPr>
                <w:b/>
                <w:sz w:val="19"/>
              </w:rPr>
            </w:pPr>
            <w:r>
              <w:rPr>
                <w:b/>
                <w:w w:val="105"/>
                <w:sz w:val="19"/>
              </w:rPr>
              <w:t>NSW</w:t>
            </w:r>
          </w:p>
        </w:tc>
        <w:tc>
          <w:tcPr>
            <w:tcW w:w="4366" w:type="dxa"/>
            <w:tcBorders>
              <w:bottom w:val="nil"/>
              <w:right w:val="nil"/>
            </w:tcBorders>
          </w:tcPr>
          <w:p w:rsidR="00EA1F74" w:rsidRDefault="00FC1CE8">
            <w:pPr>
              <w:pStyle w:val="TableParagraph"/>
              <w:spacing w:before="3"/>
              <w:ind w:left="110"/>
              <w:rPr>
                <w:b/>
                <w:sz w:val="19"/>
              </w:rPr>
            </w:pPr>
            <w:r>
              <w:rPr>
                <w:b/>
                <w:w w:val="105"/>
                <w:sz w:val="19"/>
              </w:rPr>
              <w:t>For disability service residents:</w:t>
            </w:r>
          </w:p>
        </w:tc>
        <w:tc>
          <w:tcPr>
            <w:tcW w:w="5417" w:type="dxa"/>
            <w:tcBorders>
              <w:left w:val="nil"/>
              <w:bottom w:val="nil"/>
            </w:tcBorders>
          </w:tcPr>
          <w:p w:rsidR="00EA1F74" w:rsidRDefault="00FC1CE8">
            <w:pPr>
              <w:pStyle w:val="TableParagraph"/>
              <w:spacing w:before="3"/>
              <w:ind w:left="294"/>
              <w:rPr>
                <w:b/>
                <w:sz w:val="19"/>
              </w:rPr>
            </w:pPr>
            <w:r>
              <w:rPr>
                <w:b/>
                <w:w w:val="105"/>
                <w:sz w:val="19"/>
              </w:rPr>
              <w:t>For assisted boarding house sample:</w:t>
            </w:r>
          </w:p>
        </w:tc>
      </w:tr>
      <w:tr w:rsidR="00EA1F74">
        <w:trPr>
          <w:trHeight w:val="3787"/>
        </w:trPr>
        <w:tc>
          <w:tcPr>
            <w:tcW w:w="960" w:type="dxa"/>
            <w:tcBorders>
              <w:top w:val="nil"/>
            </w:tcBorders>
          </w:tcPr>
          <w:p w:rsidR="00EA1F74" w:rsidRDefault="00FC1CE8">
            <w:pPr>
              <w:pStyle w:val="TableParagraph"/>
              <w:spacing w:before="34"/>
              <w:ind w:left="110"/>
              <w:rPr>
                <w:b/>
                <w:sz w:val="19"/>
              </w:rPr>
            </w:pPr>
            <w:r>
              <w:rPr>
                <w:b/>
                <w:w w:val="105"/>
                <w:sz w:val="19"/>
              </w:rPr>
              <w:t>12-13</w:t>
            </w:r>
          </w:p>
        </w:tc>
        <w:tc>
          <w:tcPr>
            <w:tcW w:w="4366" w:type="dxa"/>
            <w:tcBorders>
              <w:top w:val="nil"/>
              <w:right w:val="nil"/>
            </w:tcBorders>
          </w:tcPr>
          <w:p w:rsidR="00EA1F74" w:rsidRDefault="00FC1CE8">
            <w:pPr>
              <w:pStyle w:val="TableParagraph"/>
              <w:numPr>
                <w:ilvl w:val="0"/>
                <w:numId w:val="71"/>
              </w:numPr>
              <w:tabs>
                <w:tab w:val="left" w:pos="466"/>
                <w:tab w:val="left" w:pos="467"/>
              </w:tabs>
              <w:spacing w:before="35"/>
              <w:rPr>
                <w:sz w:val="19"/>
              </w:rPr>
            </w:pPr>
            <w:r>
              <w:rPr>
                <w:w w:val="105"/>
                <w:sz w:val="19"/>
              </w:rPr>
              <w:t>Incontinence:</w:t>
            </w:r>
            <w:r>
              <w:rPr>
                <w:spacing w:val="-11"/>
                <w:w w:val="105"/>
                <w:sz w:val="19"/>
              </w:rPr>
              <w:t xml:space="preserve"> </w:t>
            </w:r>
            <w:r>
              <w:rPr>
                <w:w w:val="105"/>
                <w:sz w:val="19"/>
              </w:rPr>
              <w:t>71%</w:t>
            </w:r>
          </w:p>
          <w:p w:rsidR="00EA1F74" w:rsidRDefault="00FC1CE8">
            <w:pPr>
              <w:pStyle w:val="TableParagraph"/>
              <w:numPr>
                <w:ilvl w:val="0"/>
                <w:numId w:val="71"/>
              </w:numPr>
              <w:tabs>
                <w:tab w:val="left" w:pos="466"/>
                <w:tab w:val="left" w:pos="467"/>
              </w:tabs>
              <w:spacing w:before="12"/>
              <w:rPr>
                <w:sz w:val="19"/>
              </w:rPr>
            </w:pPr>
            <w:r>
              <w:rPr>
                <w:w w:val="105"/>
                <w:sz w:val="19"/>
              </w:rPr>
              <w:t>Constipation:</w:t>
            </w:r>
            <w:r>
              <w:rPr>
                <w:spacing w:val="-10"/>
                <w:w w:val="105"/>
                <w:sz w:val="19"/>
              </w:rPr>
              <w:t xml:space="preserve"> </w:t>
            </w:r>
            <w:r>
              <w:rPr>
                <w:w w:val="105"/>
                <w:sz w:val="19"/>
              </w:rPr>
              <w:t>69%</w:t>
            </w:r>
          </w:p>
          <w:p w:rsidR="00EA1F74" w:rsidRDefault="00FC1CE8">
            <w:pPr>
              <w:pStyle w:val="TableParagraph"/>
              <w:numPr>
                <w:ilvl w:val="0"/>
                <w:numId w:val="71"/>
              </w:numPr>
              <w:tabs>
                <w:tab w:val="left" w:pos="466"/>
                <w:tab w:val="left" w:pos="467"/>
              </w:tabs>
              <w:spacing w:before="12"/>
              <w:rPr>
                <w:sz w:val="19"/>
              </w:rPr>
            </w:pPr>
            <w:r>
              <w:rPr>
                <w:w w:val="105"/>
                <w:sz w:val="19"/>
              </w:rPr>
              <w:t>GORD: 62%</w:t>
            </w:r>
          </w:p>
          <w:p w:rsidR="00EA1F74" w:rsidRDefault="00FC1CE8">
            <w:pPr>
              <w:pStyle w:val="TableParagraph"/>
              <w:numPr>
                <w:ilvl w:val="0"/>
                <w:numId w:val="71"/>
              </w:numPr>
              <w:tabs>
                <w:tab w:val="left" w:pos="466"/>
                <w:tab w:val="left" w:pos="467"/>
              </w:tabs>
              <w:spacing w:before="8"/>
              <w:rPr>
                <w:sz w:val="19"/>
              </w:rPr>
            </w:pPr>
            <w:r>
              <w:rPr>
                <w:w w:val="105"/>
                <w:sz w:val="19"/>
              </w:rPr>
              <w:t>Epilepsy: 48%</w:t>
            </w:r>
          </w:p>
          <w:p w:rsidR="00EA1F74" w:rsidRDefault="00FC1CE8">
            <w:pPr>
              <w:pStyle w:val="TableParagraph"/>
              <w:numPr>
                <w:ilvl w:val="0"/>
                <w:numId w:val="71"/>
              </w:numPr>
              <w:tabs>
                <w:tab w:val="left" w:pos="466"/>
                <w:tab w:val="left" w:pos="467"/>
              </w:tabs>
              <w:spacing w:before="12"/>
              <w:rPr>
                <w:sz w:val="19"/>
              </w:rPr>
            </w:pPr>
            <w:r>
              <w:rPr>
                <w:w w:val="105"/>
                <w:sz w:val="19"/>
              </w:rPr>
              <w:t>Recurrent respiratory infections:</w:t>
            </w:r>
            <w:r>
              <w:rPr>
                <w:spacing w:val="-2"/>
                <w:w w:val="105"/>
                <w:sz w:val="19"/>
              </w:rPr>
              <w:t xml:space="preserve"> </w:t>
            </w:r>
            <w:r>
              <w:rPr>
                <w:w w:val="105"/>
                <w:sz w:val="19"/>
              </w:rPr>
              <w:t>46%</w:t>
            </w:r>
          </w:p>
          <w:p w:rsidR="00EA1F74" w:rsidRDefault="00FC1CE8">
            <w:pPr>
              <w:pStyle w:val="TableParagraph"/>
              <w:numPr>
                <w:ilvl w:val="0"/>
                <w:numId w:val="71"/>
              </w:numPr>
              <w:tabs>
                <w:tab w:val="left" w:pos="466"/>
                <w:tab w:val="left" w:pos="467"/>
              </w:tabs>
              <w:spacing w:before="12"/>
              <w:rPr>
                <w:sz w:val="19"/>
              </w:rPr>
            </w:pPr>
            <w:r>
              <w:rPr>
                <w:w w:val="105"/>
                <w:sz w:val="19"/>
              </w:rPr>
              <w:t>Osteoporosis:</w:t>
            </w:r>
            <w:r>
              <w:rPr>
                <w:spacing w:val="-9"/>
                <w:w w:val="105"/>
                <w:sz w:val="19"/>
              </w:rPr>
              <w:t xml:space="preserve"> </w:t>
            </w:r>
            <w:r>
              <w:rPr>
                <w:w w:val="105"/>
                <w:sz w:val="19"/>
              </w:rPr>
              <w:t>36%</w:t>
            </w:r>
          </w:p>
          <w:p w:rsidR="00EA1F74" w:rsidRDefault="00FC1CE8">
            <w:pPr>
              <w:pStyle w:val="TableParagraph"/>
              <w:numPr>
                <w:ilvl w:val="0"/>
                <w:numId w:val="71"/>
              </w:numPr>
              <w:tabs>
                <w:tab w:val="left" w:pos="466"/>
                <w:tab w:val="left" w:pos="467"/>
              </w:tabs>
              <w:spacing w:before="12"/>
              <w:rPr>
                <w:sz w:val="19"/>
              </w:rPr>
            </w:pPr>
            <w:r>
              <w:rPr>
                <w:w w:val="105"/>
                <w:sz w:val="19"/>
              </w:rPr>
              <w:t>Hypertension:</w:t>
            </w:r>
            <w:r>
              <w:rPr>
                <w:spacing w:val="-9"/>
                <w:w w:val="105"/>
                <w:sz w:val="19"/>
              </w:rPr>
              <w:t xml:space="preserve"> </w:t>
            </w:r>
            <w:r>
              <w:rPr>
                <w:w w:val="105"/>
                <w:sz w:val="19"/>
              </w:rPr>
              <w:t>29%</w:t>
            </w:r>
          </w:p>
          <w:p w:rsidR="00EA1F74" w:rsidRDefault="00FC1CE8">
            <w:pPr>
              <w:pStyle w:val="TableParagraph"/>
              <w:numPr>
                <w:ilvl w:val="0"/>
                <w:numId w:val="71"/>
              </w:numPr>
              <w:tabs>
                <w:tab w:val="left" w:pos="466"/>
                <w:tab w:val="left" w:pos="467"/>
              </w:tabs>
              <w:spacing w:before="7"/>
              <w:rPr>
                <w:sz w:val="19"/>
              </w:rPr>
            </w:pPr>
            <w:r>
              <w:rPr>
                <w:w w:val="105"/>
                <w:sz w:val="19"/>
              </w:rPr>
              <w:t>High cholesterol:</w:t>
            </w:r>
            <w:r>
              <w:rPr>
                <w:spacing w:val="1"/>
                <w:w w:val="105"/>
                <w:sz w:val="19"/>
              </w:rPr>
              <w:t xml:space="preserve"> </w:t>
            </w:r>
            <w:r>
              <w:rPr>
                <w:w w:val="105"/>
                <w:sz w:val="19"/>
              </w:rPr>
              <w:t>20%</w:t>
            </w:r>
          </w:p>
          <w:p w:rsidR="00EA1F74" w:rsidRDefault="00FC1CE8">
            <w:pPr>
              <w:pStyle w:val="TableParagraph"/>
              <w:numPr>
                <w:ilvl w:val="0"/>
                <w:numId w:val="71"/>
              </w:numPr>
              <w:tabs>
                <w:tab w:val="left" w:pos="466"/>
                <w:tab w:val="left" w:pos="467"/>
              </w:tabs>
              <w:spacing w:before="12"/>
              <w:rPr>
                <w:sz w:val="19"/>
              </w:rPr>
            </w:pPr>
            <w:r>
              <w:rPr>
                <w:w w:val="105"/>
                <w:sz w:val="19"/>
              </w:rPr>
              <w:t>Hypothyroidism:</w:t>
            </w:r>
            <w:r>
              <w:rPr>
                <w:spacing w:val="-10"/>
                <w:w w:val="105"/>
                <w:sz w:val="19"/>
              </w:rPr>
              <w:t xml:space="preserve"> </w:t>
            </w:r>
            <w:r>
              <w:rPr>
                <w:w w:val="105"/>
                <w:sz w:val="19"/>
              </w:rPr>
              <w:t>19%</w:t>
            </w:r>
          </w:p>
          <w:p w:rsidR="00EA1F74" w:rsidRDefault="00FC1CE8">
            <w:pPr>
              <w:pStyle w:val="TableParagraph"/>
              <w:numPr>
                <w:ilvl w:val="0"/>
                <w:numId w:val="71"/>
              </w:numPr>
              <w:tabs>
                <w:tab w:val="left" w:pos="466"/>
                <w:tab w:val="left" w:pos="467"/>
              </w:tabs>
              <w:spacing w:before="12"/>
              <w:rPr>
                <w:sz w:val="19"/>
              </w:rPr>
            </w:pPr>
            <w:r>
              <w:rPr>
                <w:w w:val="105"/>
                <w:sz w:val="19"/>
              </w:rPr>
              <w:t>Heart problems:</w:t>
            </w:r>
            <w:r>
              <w:rPr>
                <w:spacing w:val="-9"/>
                <w:w w:val="105"/>
                <w:sz w:val="19"/>
              </w:rPr>
              <w:t xml:space="preserve"> </w:t>
            </w:r>
            <w:r>
              <w:rPr>
                <w:w w:val="105"/>
                <w:sz w:val="19"/>
              </w:rPr>
              <w:t>19%</w:t>
            </w:r>
          </w:p>
          <w:p w:rsidR="00EA1F74" w:rsidRDefault="00FC1CE8">
            <w:pPr>
              <w:pStyle w:val="TableParagraph"/>
              <w:numPr>
                <w:ilvl w:val="0"/>
                <w:numId w:val="71"/>
              </w:numPr>
              <w:tabs>
                <w:tab w:val="left" w:pos="466"/>
                <w:tab w:val="left" w:pos="467"/>
              </w:tabs>
              <w:spacing w:before="7"/>
              <w:rPr>
                <w:sz w:val="19"/>
              </w:rPr>
            </w:pPr>
            <w:r>
              <w:rPr>
                <w:w w:val="105"/>
                <w:sz w:val="19"/>
              </w:rPr>
              <w:t>Arthritis: 41%</w:t>
            </w:r>
          </w:p>
          <w:p w:rsidR="00EA1F74" w:rsidRDefault="00FC1CE8">
            <w:pPr>
              <w:pStyle w:val="TableParagraph"/>
              <w:numPr>
                <w:ilvl w:val="0"/>
                <w:numId w:val="71"/>
              </w:numPr>
              <w:tabs>
                <w:tab w:val="left" w:pos="466"/>
                <w:tab w:val="left" w:pos="467"/>
              </w:tabs>
              <w:spacing w:before="12"/>
              <w:rPr>
                <w:sz w:val="19"/>
              </w:rPr>
            </w:pPr>
            <w:r>
              <w:rPr>
                <w:w w:val="105"/>
                <w:sz w:val="19"/>
              </w:rPr>
              <w:t>Urinary tract infections: 18%</w:t>
            </w:r>
          </w:p>
          <w:p w:rsidR="00EA1F74" w:rsidRDefault="00FC1CE8">
            <w:pPr>
              <w:pStyle w:val="TableParagraph"/>
              <w:numPr>
                <w:ilvl w:val="0"/>
                <w:numId w:val="71"/>
              </w:numPr>
              <w:tabs>
                <w:tab w:val="left" w:pos="466"/>
                <w:tab w:val="left" w:pos="467"/>
              </w:tabs>
              <w:spacing w:before="12"/>
              <w:rPr>
                <w:sz w:val="19"/>
              </w:rPr>
            </w:pPr>
            <w:r>
              <w:rPr>
                <w:w w:val="105"/>
                <w:sz w:val="19"/>
              </w:rPr>
              <w:t>Asthma: 16%</w:t>
            </w:r>
          </w:p>
          <w:p w:rsidR="00EA1F74" w:rsidRDefault="00FC1CE8">
            <w:pPr>
              <w:pStyle w:val="TableParagraph"/>
              <w:numPr>
                <w:ilvl w:val="0"/>
                <w:numId w:val="71"/>
              </w:numPr>
              <w:tabs>
                <w:tab w:val="left" w:pos="466"/>
                <w:tab w:val="left" w:pos="467"/>
              </w:tabs>
              <w:spacing w:before="12"/>
              <w:rPr>
                <w:sz w:val="19"/>
              </w:rPr>
            </w:pPr>
            <w:r>
              <w:rPr>
                <w:w w:val="105"/>
                <w:sz w:val="19"/>
              </w:rPr>
              <w:t>Diabetes: 15%</w:t>
            </w:r>
          </w:p>
        </w:tc>
        <w:tc>
          <w:tcPr>
            <w:tcW w:w="5417" w:type="dxa"/>
            <w:tcBorders>
              <w:top w:val="nil"/>
              <w:left w:val="nil"/>
            </w:tcBorders>
          </w:tcPr>
          <w:p w:rsidR="00EA1F74" w:rsidRDefault="00FC1CE8">
            <w:pPr>
              <w:pStyle w:val="TableParagraph"/>
              <w:numPr>
                <w:ilvl w:val="0"/>
                <w:numId w:val="70"/>
              </w:numPr>
              <w:tabs>
                <w:tab w:val="left" w:pos="651"/>
                <w:tab w:val="left" w:pos="652"/>
              </w:tabs>
              <w:spacing w:before="35"/>
              <w:ind w:hanging="358"/>
              <w:rPr>
                <w:sz w:val="19"/>
              </w:rPr>
            </w:pPr>
            <w:r>
              <w:rPr>
                <w:w w:val="105"/>
                <w:sz w:val="19"/>
              </w:rPr>
              <w:t>Hypertension: 40%</w:t>
            </w:r>
          </w:p>
          <w:p w:rsidR="00EA1F74" w:rsidRDefault="00FC1CE8">
            <w:pPr>
              <w:pStyle w:val="TableParagraph"/>
              <w:numPr>
                <w:ilvl w:val="0"/>
                <w:numId w:val="70"/>
              </w:numPr>
              <w:tabs>
                <w:tab w:val="left" w:pos="651"/>
                <w:tab w:val="left" w:pos="652"/>
              </w:tabs>
              <w:spacing w:before="12"/>
              <w:ind w:hanging="358"/>
              <w:rPr>
                <w:sz w:val="19"/>
              </w:rPr>
            </w:pPr>
            <w:r>
              <w:rPr>
                <w:w w:val="105"/>
                <w:sz w:val="19"/>
              </w:rPr>
              <w:t>High cholesterol:</w:t>
            </w:r>
            <w:r>
              <w:rPr>
                <w:spacing w:val="1"/>
                <w:w w:val="105"/>
                <w:sz w:val="19"/>
              </w:rPr>
              <w:t xml:space="preserve"> </w:t>
            </w:r>
            <w:r>
              <w:rPr>
                <w:w w:val="105"/>
                <w:sz w:val="19"/>
              </w:rPr>
              <w:t>40%</w:t>
            </w:r>
          </w:p>
          <w:p w:rsidR="00EA1F74" w:rsidRDefault="00FC1CE8">
            <w:pPr>
              <w:pStyle w:val="TableParagraph"/>
              <w:numPr>
                <w:ilvl w:val="0"/>
                <w:numId w:val="70"/>
              </w:numPr>
              <w:tabs>
                <w:tab w:val="left" w:pos="651"/>
                <w:tab w:val="left" w:pos="652"/>
              </w:tabs>
              <w:spacing w:before="12"/>
              <w:ind w:hanging="358"/>
              <w:rPr>
                <w:sz w:val="19"/>
              </w:rPr>
            </w:pPr>
            <w:r>
              <w:rPr>
                <w:w w:val="105"/>
                <w:sz w:val="19"/>
              </w:rPr>
              <w:t>Constipation: 33%</w:t>
            </w:r>
          </w:p>
          <w:p w:rsidR="00EA1F74" w:rsidRDefault="00FC1CE8">
            <w:pPr>
              <w:pStyle w:val="TableParagraph"/>
              <w:numPr>
                <w:ilvl w:val="0"/>
                <w:numId w:val="70"/>
              </w:numPr>
              <w:tabs>
                <w:tab w:val="left" w:pos="651"/>
                <w:tab w:val="left" w:pos="652"/>
              </w:tabs>
              <w:spacing w:before="8"/>
              <w:ind w:hanging="358"/>
              <w:rPr>
                <w:sz w:val="19"/>
              </w:rPr>
            </w:pPr>
            <w:r>
              <w:rPr>
                <w:w w:val="105"/>
                <w:sz w:val="19"/>
              </w:rPr>
              <w:t>GORD: 33%</w:t>
            </w:r>
          </w:p>
          <w:p w:rsidR="00EA1F74" w:rsidRDefault="00FC1CE8">
            <w:pPr>
              <w:pStyle w:val="TableParagraph"/>
              <w:numPr>
                <w:ilvl w:val="0"/>
                <w:numId w:val="70"/>
              </w:numPr>
              <w:tabs>
                <w:tab w:val="left" w:pos="651"/>
                <w:tab w:val="left" w:pos="652"/>
              </w:tabs>
              <w:spacing w:before="12"/>
              <w:ind w:hanging="358"/>
              <w:rPr>
                <w:sz w:val="19"/>
              </w:rPr>
            </w:pPr>
            <w:r>
              <w:rPr>
                <w:w w:val="105"/>
                <w:sz w:val="19"/>
              </w:rPr>
              <w:t>Asthma: 33%</w:t>
            </w:r>
          </w:p>
          <w:p w:rsidR="00EA1F74" w:rsidRDefault="00FC1CE8">
            <w:pPr>
              <w:pStyle w:val="TableParagraph"/>
              <w:numPr>
                <w:ilvl w:val="0"/>
                <w:numId w:val="70"/>
              </w:numPr>
              <w:tabs>
                <w:tab w:val="left" w:pos="651"/>
                <w:tab w:val="left" w:pos="652"/>
              </w:tabs>
              <w:spacing w:before="12"/>
              <w:ind w:hanging="358"/>
              <w:rPr>
                <w:sz w:val="19"/>
              </w:rPr>
            </w:pPr>
            <w:r>
              <w:rPr>
                <w:w w:val="105"/>
                <w:sz w:val="19"/>
              </w:rPr>
              <w:t>Diabetes: 27%</w:t>
            </w:r>
          </w:p>
          <w:p w:rsidR="00EA1F74" w:rsidRDefault="00FC1CE8">
            <w:pPr>
              <w:pStyle w:val="TableParagraph"/>
              <w:numPr>
                <w:ilvl w:val="0"/>
                <w:numId w:val="70"/>
              </w:numPr>
              <w:tabs>
                <w:tab w:val="left" w:pos="651"/>
                <w:tab w:val="left" w:pos="652"/>
              </w:tabs>
              <w:spacing w:before="12"/>
              <w:ind w:hanging="358"/>
              <w:rPr>
                <w:sz w:val="19"/>
              </w:rPr>
            </w:pPr>
            <w:r>
              <w:rPr>
                <w:w w:val="105"/>
                <w:sz w:val="19"/>
              </w:rPr>
              <w:t>COPD: 27%</w:t>
            </w:r>
          </w:p>
        </w:tc>
      </w:tr>
      <w:tr w:rsidR="00EA1F74" w:rsidTr="0049783C">
        <w:trPr>
          <w:trHeight w:val="1266"/>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4366" w:type="dxa"/>
            <w:tcBorders>
              <w:right w:val="nil"/>
            </w:tcBorders>
            <w:shd w:val="clear" w:color="auto" w:fill="F2F2F2" w:themeFill="background1" w:themeFillShade="F2"/>
          </w:tcPr>
          <w:p w:rsidR="00EA1F74" w:rsidRDefault="00FC1CE8">
            <w:pPr>
              <w:pStyle w:val="TableParagraph"/>
              <w:spacing w:before="3"/>
              <w:ind w:left="110"/>
              <w:rPr>
                <w:b/>
                <w:sz w:val="19"/>
              </w:rPr>
            </w:pPr>
            <w:r>
              <w:rPr>
                <w:b/>
                <w:w w:val="105"/>
                <w:sz w:val="19"/>
              </w:rPr>
              <w:t>For disability service residents:</w:t>
            </w:r>
          </w:p>
          <w:p w:rsidR="00EA1F74" w:rsidRDefault="00FC1CE8">
            <w:pPr>
              <w:pStyle w:val="TableParagraph"/>
              <w:numPr>
                <w:ilvl w:val="0"/>
                <w:numId w:val="69"/>
              </w:numPr>
              <w:tabs>
                <w:tab w:val="left" w:pos="466"/>
                <w:tab w:val="left" w:pos="467"/>
              </w:tabs>
              <w:spacing w:before="76"/>
              <w:rPr>
                <w:sz w:val="19"/>
              </w:rPr>
            </w:pPr>
            <w:r>
              <w:rPr>
                <w:w w:val="105"/>
                <w:sz w:val="19"/>
              </w:rPr>
              <w:t>Constipation: 75%</w:t>
            </w:r>
          </w:p>
          <w:p w:rsidR="00EA1F74" w:rsidRDefault="00FC1CE8">
            <w:pPr>
              <w:pStyle w:val="TableParagraph"/>
              <w:numPr>
                <w:ilvl w:val="0"/>
                <w:numId w:val="69"/>
              </w:numPr>
              <w:tabs>
                <w:tab w:val="left" w:pos="466"/>
                <w:tab w:val="left" w:pos="467"/>
              </w:tabs>
              <w:spacing w:before="12"/>
              <w:rPr>
                <w:sz w:val="19"/>
              </w:rPr>
            </w:pPr>
            <w:r>
              <w:rPr>
                <w:w w:val="105"/>
                <w:sz w:val="19"/>
              </w:rPr>
              <w:t>Mobility problems: 70%</w:t>
            </w:r>
          </w:p>
          <w:p w:rsidR="00EA1F74" w:rsidRDefault="00FC1CE8">
            <w:pPr>
              <w:pStyle w:val="TableParagraph"/>
              <w:numPr>
                <w:ilvl w:val="0"/>
                <w:numId w:val="69"/>
              </w:numPr>
              <w:tabs>
                <w:tab w:val="left" w:pos="466"/>
                <w:tab w:val="left" w:pos="467"/>
              </w:tabs>
              <w:spacing w:before="8"/>
              <w:rPr>
                <w:sz w:val="19"/>
              </w:rPr>
            </w:pPr>
            <w:r>
              <w:rPr>
                <w:w w:val="105"/>
                <w:sz w:val="19"/>
              </w:rPr>
              <w:t>Incontinence: 69%</w:t>
            </w:r>
          </w:p>
          <w:p w:rsidR="00EA1F74" w:rsidRDefault="00FC1CE8">
            <w:pPr>
              <w:pStyle w:val="TableParagraph"/>
              <w:numPr>
                <w:ilvl w:val="0"/>
                <w:numId w:val="69"/>
              </w:numPr>
              <w:tabs>
                <w:tab w:val="left" w:pos="466"/>
                <w:tab w:val="left" w:pos="467"/>
              </w:tabs>
              <w:spacing w:before="12" w:line="219" w:lineRule="exact"/>
              <w:rPr>
                <w:sz w:val="19"/>
              </w:rPr>
            </w:pPr>
            <w:r>
              <w:rPr>
                <w:w w:val="105"/>
                <w:sz w:val="19"/>
              </w:rPr>
              <w:t>Dental problems: 67%</w:t>
            </w:r>
          </w:p>
        </w:tc>
        <w:tc>
          <w:tcPr>
            <w:tcW w:w="5417" w:type="dxa"/>
            <w:tcBorders>
              <w:left w:val="nil"/>
            </w:tcBorders>
            <w:shd w:val="clear" w:color="auto" w:fill="F2F2F2" w:themeFill="background1" w:themeFillShade="F2"/>
          </w:tcPr>
          <w:p w:rsidR="00EA1F74" w:rsidRDefault="00FC1CE8">
            <w:pPr>
              <w:pStyle w:val="TableParagraph"/>
              <w:spacing w:before="3"/>
              <w:ind w:left="294"/>
              <w:rPr>
                <w:b/>
                <w:sz w:val="19"/>
              </w:rPr>
            </w:pPr>
            <w:r>
              <w:rPr>
                <w:b/>
                <w:w w:val="105"/>
                <w:sz w:val="19"/>
              </w:rPr>
              <w:t>For assisted boarding house sample:</w:t>
            </w:r>
          </w:p>
          <w:p w:rsidR="00EA1F74" w:rsidRDefault="00FC1CE8">
            <w:pPr>
              <w:pStyle w:val="TableParagraph"/>
              <w:numPr>
                <w:ilvl w:val="0"/>
                <w:numId w:val="68"/>
              </w:numPr>
              <w:tabs>
                <w:tab w:val="left" w:pos="651"/>
                <w:tab w:val="left" w:pos="652"/>
              </w:tabs>
              <w:spacing w:before="76"/>
              <w:ind w:hanging="358"/>
              <w:rPr>
                <w:sz w:val="19"/>
              </w:rPr>
            </w:pPr>
            <w:r>
              <w:rPr>
                <w:w w:val="105"/>
                <w:sz w:val="19"/>
              </w:rPr>
              <w:t>Dental problems: 83%</w:t>
            </w:r>
          </w:p>
          <w:p w:rsidR="00EA1F74" w:rsidRDefault="00FC1CE8">
            <w:pPr>
              <w:pStyle w:val="TableParagraph"/>
              <w:numPr>
                <w:ilvl w:val="0"/>
                <w:numId w:val="68"/>
              </w:numPr>
              <w:tabs>
                <w:tab w:val="left" w:pos="651"/>
                <w:tab w:val="left" w:pos="652"/>
              </w:tabs>
              <w:spacing w:before="12"/>
              <w:ind w:hanging="358"/>
              <w:rPr>
                <w:sz w:val="19"/>
              </w:rPr>
            </w:pPr>
            <w:r>
              <w:rPr>
                <w:w w:val="105"/>
                <w:sz w:val="19"/>
              </w:rPr>
              <w:t>COPD/CAL/COAD: 50%</w:t>
            </w:r>
          </w:p>
          <w:p w:rsidR="00EA1F74" w:rsidRDefault="00FC1CE8">
            <w:pPr>
              <w:pStyle w:val="TableParagraph"/>
              <w:numPr>
                <w:ilvl w:val="0"/>
                <w:numId w:val="68"/>
              </w:numPr>
              <w:tabs>
                <w:tab w:val="left" w:pos="651"/>
                <w:tab w:val="left" w:pos="652"/>
              </w:tabs>
              <w:spacing w:before="8"/>
              <w:ind w:hanging="358"/>
              <w:rPr>
                <w:sz w:val="19"/>
              </w:rPr>
            </w:pPr>
            <w:r>
              <w:rPr>
                <w:w w:val="105"/>
                <w:sz w:val="19"/>
              </w:rPr>
              <w:t>Overweight: 50%</w:t>
            </w:r>
          </w:p>
          <w:p w:rsidR="00EA1F74" w:rsidRDefault="00FC1CE8">
            <w:pPr>
              <w:pStyle w:val="TableParagraph"/>
              <w:numPr>
                <w:ilvl w:val="0"/>
                <w:numId w:val="68"/>
              </w:numPr>
              <w:tabs>
                <w:tab w:val="left" w:pos="651"/>
                <w:tab w:val="left" w:pos="652"/>
              </w:tabs>
              <w:spacing w:before="12" w:line="219" w:lineRule="exact"/>
              <w:ind w:hanging="358"/>
              <w:rPr>
                <w:sz w:val="19"/>
              </w:rPr>
            </w:pPr>
            <w:r>
              <w:rPr>
                <w:w w:val="105"/>
                <w:sz w:val="19"/>
              </w:rPr>
              <w:t>High cholesterol:</w:t>
            </w:r>
            <w:r>
              <w:rPr>
                <w:spacing w:val="1"/>
                <w:w w:val="105"/>
                <w:sz w:val="19"/>
              </w:rPr>
              <w:t xml:space="preserve"> </w:t>
            </w:r>
            <w:r>
              <w:rPr>
                <w:w w:val="105"/>
                <w:sz w:val="19"/>
              </w:rPr>
              <w:t>33%</w:t>
            </w:r>
          </w:p>
        </w:tc>
      </w:tr>
    </w:tbl>
    <w:p w:rsidR="00EA1F74" w:rsidRDefault="00EA1F74">
      <w:pPr>
        <w:spacing w:line="219" w:lineRule="exact"/>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782"/>
      </w:tblGrid>
      <w:tr w:rsidR="00EA1F74" w:rsidTr="0049783C">
        <w:trPr>
          <w:trHeight w:val="3959"/>
        </w:trPr>
        <w:tc>
          <w:tcPr>
            <w:tcW w:w="960" w:type="dxa"/>
            <w:shd w:val="clear" w:color="auto" w:fill="F2F2F2" w:themeFill="background1" w:themeFillShade="F2"/>
          </w:tcPr>
          <w:p w:rsidR="00EA1F74" w:rsidRDefault="00EA1F74">
            <w:pPr>
              <w:pStyle w:val="TableParagraph"/>
              <w:rPr>
                <w:rFonts w:ascii="Times New Roman"/>
              </w:rPr>
            </w:pPr>
          </w:p>
        </w:tc>
        <w:tc>
          <w:tcPr>
            <w:tcW w:w="9782" w:type="dxa"/>
            <w:shd w:val="clear" w:color="auto" w:fill="F2F2F2" w:themeFill="background1" w:themeFillShade="F2"/>
          </w:tcPr>
          <w:p w:rsidR="00EA1F74" w:rsidRDefault="00FC1CE8">
            <w:pPr>
              <w:pStyle w:val="TableParagraph"/>
              <w:numPr>
                <w:ilvl w:val="0"/>
                <w:numId w:val="67"/>
              </w:numPr>
              <w:tabs>
                <w:tab w:val="left" w:pos="466"/>
                <w:tab w:val="left" w:pos="467"/>
                <w:tab w:val="left" w:pos="4650"/>
                <w:tab w:val="left" w:pos="5007"/>
              </w:tabs>
              <w:spacing w:before="5"/>
              <w:rPr>
                <w:sz w:val="19"/>
              </w:rPr>
            </w:pPr>
            <w:r>
              <w:rPr>
                <w:w w:val="105"/>
                <w:sz w:val="19"/>
              </w:rPr>
              <w:t>Swallowing</w:t>
            </w:r>
            <w:r>
              <w:rPr>
                <w:spacing w:val="-3"/>
                <w:w w:val="105"/>
                <w:sz w:val="19"/>
              </w:rPr>
              <w:t xml:space="preserve"> </w:t>
            </w:r>
            <w:r>
              <w:rPr>
                <w:w w:val="105"/>
                <w:sz w:val="19"/>
              </w:rPr>
              <w:t>difficulties:</w:t>
            </w:r>
            <w:r>
              <w:rPr>
                <w:spacing w:val="-3"/>
                <w:w w:val="105"/>
                <w:sz w:val="19"/>
              </w:rPr>
              <w:t xml:space="preserve"> </w:t>
            </w:r>
            <w:r>
              <w:rPr>
                <w:w w:val="105"/>
                <w:sz w:val="19"/>
              </w:rPr>
              <w:t>65%</w:t>
            </w:r>
            <w:r>
              <w:rPr>
                <w:w w:val="105"/>
                <w:sz w:val="19"/>
              </w:rPr>
              <w:tab/>
            </w:r>
            <w:r>
              <w:rPr>
                <w:rFonts w:ascii="Symbol" w:hAnsi="Symbol"/>
                <w:w w:val="105"/>
                <w:sz w:val="19"/>
              </w:rPr>
              <w:t></w:t>
            </w:r>
            <w:r>
              <w:rPr>
                <w:rFonts w:ascii="Times New Roman" w:hAnsi="Times New Roman"/>
                <w:w w:val="105"/>
                <w:sz w:val="19"/>
              </w:rPr>
              <w:tab/>
            </w:r>
            <w:r>
              <w:rPr>
                <w:w w:val="105"/>
                <w:sz w:val="19"/>
              </w:rPr>
              <w:t>GORD: 33%</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GORD:</w:t>
            </w:r>
            <w:r>
              <w:rPr>
                <w:spacing w:val="-1"/>
                <w:w w:val="105"/>
                <w:sz w:val="19"/>
              </w:rPr>
              <w:t xml:space="preserve"> </w:t>
            </w:r>
            <w:r>
              <w:rPr>
                <w:w w:val="105"/>
                <w:sz w:val="19"/>
              </w:rPr>
              <w:t>62%</w:t>
            </w:r>
            <w:r>
              <w:rPr>
                <w:w w:val="105"/>
                <w:sz w:val="19"/>
              </w:rPr>
              <w:tab/>
            </w:r>
            <w:r>
              <w:rPr>
                <w:rFonts w:ascii="Symbol" w:hAnsi="Symbol"/>
                <w:w w:val="105"/>
                <w:sz w:val="19"/>
              </w:rPr>
              <w:t></w:t>
            </w:r>
            <w:r>
              <w:rPr>
                <w:rFonts w:ascii="Times New Roman" w:hAnsi="Times New Roman"/>
                <w:w w:val="105"/>
                <w:sz w:val="19"/>
              </w:rPr>
              <w:tab/>
            </w:r>
            <w:r>
              <w:rPr>
                <w:w w:val="105"/>
                <w:sz w:val="19"/>
              </w:rPr>
              <w:t>Hypertension: 28%</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Eating</w:t>
            </w:r>
            <w:r>
              <w:rPr>
                <w:spacing w:val="-2"/>
                <w:w w:val="105"/>
                <w:sz w:val="19"/>
              </w:rPr>
              <w:t xml:space="preserve"> </w:t>
            </w:r>
            <w:r>
              <w:rPr>
                <w:w w:val="105"/>
                <w:sz w:val="19"/>
              </w:rPr>
              <w:t>problems:</w:t>
            </w:r>
            <w:r>
              <w:rPr>
                <w:spacing w:val="-2"/>
                <w:w w:val="105"/>
                <w:sz w:val="19"/>
              </w:rPr>
              <w:t xml:space="preserve"> </w:t>
            </w:r>
            <w:r>
              <w:rPr>
                <w:w w:val="105"/>
                <w:sz w:val="19"/>
              </w:rPr>
              <w:t>51%</w:t>
            </w:r>
            <w:r>
              <w:rPr>
                <w:w w:val="105"/>
                <w:sz w:val="19"/>
              </w:rPr>
              <w:tab/>
            </w:r>
            <w:r>
              <w:rPr>
                <w:rFonts w:ascii="Symbol" w:hAnsi="Symbol"/>
                <w:w w:val="105"/>
                <w:sz w:val="19"/>
              </w:rPr>
              <w:t></w:t>
            </w:r>
            <w:r>
              <w:rPr>
                <w:rFonts w:ascii="Times New Roman" w:hAnsi="Times New Roman"/>
                <w:w w:val="105"/>
                <w:sz w:val="19"/>
              </w:rPr>
              <w:tab/>
            </w:r>
            <w:r>
              <w:rPr>
                <w:w w:val="105"/>
                <w:sz w:val="19"/>
              </w:rPr>
              <w:t>Incontinence: 22%</w:t>
            </w:r>
          </w:p>
          <w:p w:rsidR="00EA1F74" w:rsidRDefault="00FC1CE8">
            <w:pPr>
              <w:pStyle w:val="TableParagraph"/>
              <w:numPr>
                <w:ilvl w:val="0"/>
                <w:numId w:val="67"/>
              </w:numPr>
              <w:tabs>
                <w:tab w:val="left" w:pos="466"/>
                <w:tab w:val="left" w:pos="467"/>
                <w:tab w:val="left" w:pos="4650"/>
                <w:tab w:val="left" w:pos="5007"/>
              </w:tabs>
              <w:spacing w:before="7"/>
              <w:rPr>
                <w:sz w:val="19"/>
              </w:rPr>
            </w:pPr>
            <w:r>
              <w:rPr>
                <w:w w:val="105"/>
                <w:sz w:val="19"/>
              </w:rPr>
              <w:t>Epilepsy:</w:t>
            </w:r>
            <w:r>
              <w:rPr>
                <w:spacing w:val="-2"/>
                <w:w w:val="105"/>
                <w:sz w:val="19"/>
              </w:rPr>
              <w:t xml:space="preserve"> </w:t>
            </w:r>
            <w:r>
              <w:rPr>
                <w:w w:val="105"/>
                <w:sz w:val="19"/>
              </w:rPr>
              <w:t>48%</w:t>
            </w:r>
            <w:r>
              <w:rPr>
                <w:w w:val="105"/>
                <w:sz w:val="19"/>
              </w:rPr>
              <w:tab/>
            </w:r>
            <w:r>
              <w:rPr>
                <w:rFonts w:ascii="Symbol" w:hAnsi="Symbol"/>
                <w:w w:val="105"/>
                <w:sz w:val="19"/>
              </w:rPr>
              <w:t></w:t>
            </w:r>
            <w:r>
              <w:rPr>
                <w:rFonts w:ascii="Times New Roman" w:hAnsi="Times New Roman"/>
                <w:w w:val="105"/>
                <w:sz w:val="19"/>
              </w:rPr>
              <w:tab/>
            </w:r>
            <w:r>
              <w:rPr>
                <w:w w:val="105"/>
                <w:sz w:val="19"/>
              </w:rPr>
              <w:t>Arthritis: 17%</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Osteoporosis:</w:t>
            </w:r>
            <w:r>
              <w:rPr>
                <w:spacing w:val="-3"/>
                <w:w w:val="105"/>
                <w:sz w:val="19"/>
              </w:rPr>
              <w:t xml:space="preserve"> </w:t>
            </w:r>
            <w:r>
              <w:rPr>
                <w:w w:val="105"/>
                <w:sz w:val="19"/>
              </w:rPr>
              <w:t>37%</w:t>
            </w:r>
            <w:r>
              <w:rPr>
                <w:w w:val="105"/>
                <w:sz w:val="19"/>
              </w:rPr>
              <w:tab/>
            </w:r>
            <w:r>
              <w:rPr>
                <w:rFonts w:ascii="Symbol" w:hAnsi="Symbol"/>
                <w:w w:val="105"/>
                <w:sz w:val="19"/>
              </w:rPr>
              <w:t></w:t>
            </w:r>
            <w:r>
              <w:rPr>
                <w:rFonts w:ascii="Times New Roman" w:hAnsi="Times New Roman"/>
                <w:w w:val="105"/>
                <w:sz w:val="19"/>
              </w:rPr>
              <w:tab/>
            </w:r>
            <w:r>
              <w:rPr>
                <w:w w:val="105"/>
                <w:sz w:val="19"/>
              </w:rPr>
              <w:t>Osteoporosis: 17%</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Overweight:</w:t>
            </w:r>
            <w:r>
              <w:rPr>
                <w:spacing w:val="-3"/>
                <w:w w:val="105"/>
                <w:sz w:val="19"/>
              </w:rPr>
              <w:t xml:space="preserve"> </w:t>
            </w:r>
            <w:r>
              <w:rPr>
                <w:w w:val="105"/>
                <w:sz w:val="19"/>
              </w:rPr>
              <w:t>37%</w:t>
            </w:r>
            <w:r>
              <w:rPr>
                <w:w w:val="105"/>
                <w:sz w:val="19"/>
              </w:rPr>
              <w:tab/>
            </w:r>
            <w:r>
              <w:rPr>
                <w:rFonts w:ascii="Symbol" w:hAnsi="Symbol"/>
                <w:w w:val="105"/>
                <w:sz w:val="19"/>
              </w:rPr>
              <w:t></w:t>
            </w:r>
            <w:r>
              <w:rPr>
                <w:rFonts w:ascii="Times New Roman" w:hAnsi="Times New Roman"/>
                <w:w w:val="105"/>
                <w:sz w:val="19"/>
              </w:rPr>
              <w:tab/>
            </w:r>
            <w:r>
              <w:rPr>
                <w:w w:val="105"/>
                <w:sz w:val="19"/>
              </w:rPr>
              <w:t>Constipation:</w:t>
            </w:r>
            <w:r>
              <w:rPr>
                <w:spacing w:val="1"/>
                <w:w w:val="105"/>
                <w:sz w:val="19"/>
              </w:rPr>
              <w:t xml:space="preserve"> </w:t>
            </w:r>
            <w:r>
              <w:rPr>
                <w:w w:val="105"/>
                <w:sz w:val="19"/>
              </w:rPr>
              <w:t>17%</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Vitamin</w:t>
            </w:r>
            <w:r>
              <w:rPr>
                <w:spacing w:val="-2"/>
                <w:w w:val="105"/>
                <w:sz w:val="19"/>
              </w:rPr>
              <w:t xml:space="preserve"> </w:t>
            </w:r>
            <w:r>
              <w:rPr>
                <w:w w:val="105"/>
                <w:sz w:val="19"/>
              </w:rPr>
              <w:t>deficiency:</w:t>
            </w:r>
            <w:r>
              <w:rPr>
                <w:spacing w:val="-3"/>
                <w:w w:val="105"/>
                <w:sz w:val="19"/>
              </w:rPr>
              <w:t xml:space="preserve"> </w:t>
            </w:r>
            <w:r>
              <w:rPr>
                <w:w w:val="105"/>
                <w:sz w:val="19"/>
              </w:rPr>
              <w:t>36%</w:t>
            </w:r>
            <w:r>
              <w:rPr>
                <w:w w:val="105"/>
                <w:sz w:val="19"/>
              </w:rPr>
              <w:tab/>
            </w:r>
            <w:r>
              <w:rPr>
                <w:rFonts w:ascii="Symbol" w:hAnsi="Symbol"/>
                <w:w w:val="105"/>
                <w:sz w:val="19"/>
              </w:rPr>
              <w:t></w:t>
            </w:r>
            <w:r>
              <w:rPr>
                <w:rFonts w:ascii="Times New Roman" w:hAnsi="Times New Roman"/>
                <w:w w:val="105"/>
                <w:sz w:val="19"/>
              </w:rPr>
              <w:tab/>
            </w:r>
            <w:r>
              <w:rPr>
                <w:w w:val="105"/>
                <w:sz w:val="19"/>
              </w:rPr>
              <w:t>Ischaemic heart disease:</w:t>
            </w:r>
            <w:r>
              <w:rPr>
                <w:spacing w:val="1"/>
                <w:w w:val="105"/>
                <w:sz w:val="19"/>
              </w:rPr>
              <w:t xml:space="preserve"> </w:t>
            </w:r>
            <w:r>
              <w:rPr>
                <w:w w:val="105"/>
                <w:sz w:val="19"/>
              </w:rPr>
              <w:t>11%</w:t>
            </w:r>
          </w:p>
          <w:p w:rsidR="00EA1F74" w:rsidRDefault="00FC1CE8">
            <w:pPr>
              <w:pStyle w:val="TableParagraph"/>
              <w:numPr>
                <w:ilvl w:val="0"/>
                <w:numId w:val="67"/>
              </w:numPr>
              <w:tabs>
                <w:tab w:val="left" w:pos="466"/>
                <w:tab w:val="left" w:pos="467"/>
                <w:tab w:val="left" w:pos="4650"/>
                <w:tab w:val="left" w:pos="5007"/>
              </w:tabs>
              <w:spacing w:before="8"/>
              <w:rPr>
                <w:sz w:val="19"/>
              </w:rPr>
            </w:pPr>
            <w:r>
              <w:rPr>
                <w:w w:val="105"/>
                <w:sz w:val="19"/>
              </w:rPr>
              <w:t>Hypertension:</w:t>
            </w:r>
            <w:r>
              <w:rPr>
                <w:spacing w:val="-3"/>
                <w:w w:val="105"/>
                <w:sz w:val="19"/>
              </w:rPr>
              <w:t xml:space="preserve"> </w:t>
            </w:r>
            <w:r>
              <w:rPr>
                <w:w w:val="105"/>
                <w:sz w:val="19"/>
              </w:rPr>
              <w:t>30%</w:t>
            </w:r>
            <w:r>
              <w:rPr>
                <w:w w:val="105"/>
                <w:sz w:val="19"/>
              </w:rPr>
              <w:tab/>
            </w:r>
            <w:r>
              <w:rPr>
                <w:rFonts w:ascii="Symbol" w:hAnsi="Symbol"/>
                <w:w w:val="105"/>
                <w:sz w:val="19"/>
              </w:rPr>
              <w:t></w:t>
            </w:r>
            <w:r>
              <w:rPr>
                <w:rFonts w:ascii="Times New Roman" w:hAnsi="Times New Roman"/>
                <w:w w:val="105"/>
                <w:sz w:val="19"/>
              </w:rPr>
              <w:tab/>
            </w:r>
            <w:r>
              <w:rPr>
                <w:w w:val="105"/>
                <w:sz w:val="19"/>
              </w:rPr>
              <w:t>Diabetes: 11%</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Aspiration</w:t>
            </w:r>
            <w:r>
              <w:rPr>
                <w:spacing w:val="-2"/>
                <w:w w:val="105"/>
                <w:sz w:val="19"/>
              </w:rPr>
              <w:t xml:space="preserve"> </w:t>
            </w:r>
            <w:r>
              <w:rPr>
                <w:w w:val="105"/>
                <w:sz w:val="19"/>
              </w:rPr>
              <w:t>pneumonia:</w:t>
            </w:r>
            <w:r>
              <w:rPr>
                <w:spacing w:val="-3"/>
                <w:w w:val="105"/>
                <w:sz w:val="19"/>
              </w:rPr>
              <w:t xml:space="preserve"> </w:t>
            </w:r>
            <w:r>
              <w:rPr>
                <w:w w:val="105"/>
                <w:sz w:val="19"/>
              </w:rPr>
              <w:t>23%</w:t>
            </w:r>
            <w:r>
              <w:rPr>
                <w:w w:val="105"/>
                <w:sz w:val="19"/>
              </w:rPr>
              <w:tab/>
            </w:r>
            <w:r>
              <w:rPr>
                <w:rFonts w:ascii="Symbol" w:hAnsi="Symbol"/>
                <w:w w:val="105"/>
                <w:sz w:val="19"/>
              </w:rPr>
              <w:t></w:t>
            </w:r>
            <w:r>
              <w:rPr>
                <w:rFonts w:ascii="Times New Roman" w:hAnsi="Times New Roman"/>
                <w:w w:val="105"/>
                <w:sz w:val="19"/>
              </w:rPr>
              <w:tab/>
            </w:r>
            <w:r>
              <w:rPr>
                <w:w w:val="105"/>
                <w:sz w:val="19"/>
              </w:rPr>
              <w:t>Cellulitis: 11%</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Arthritis/osteoarthritis:</w:t>
            </w:r>
            <w:r>
              <w:rPr>
                <w:spacing w:val="-5"/>
                <w:w w:val="105"/>
                <w:sz w:val="19"/>
              </w:rPr>
              <w:t xml:space="preserve"> </w:t>
            </w:r>
            <w:r>
              <w:rPr>
                <w:w w:val="105"/>
                <w:sz w:val="19"/>
              </w:rPr>
              <w:t>21%</w:t>
            </w:r>
            <w:r>
              <w:rPr>
                <w:w w:val="105"/>
                <w:sz w:val="19"/>
              </w:rPr>
              <w:tab/>
            </w:r>
            <w:r>
              <w:rPr>
                <w:rFonts w:ascii="Symbol" w:hAnsi="Symbol"/>
                <w:w w:val="105"/>
                <w:sz w:val="19"/>
              </w:rPr>
              <w:t></w:t>
            </w:r>
            <w:r>
              <w:rPr>
                <w:rFonts w:ascii="Times New Roman" w:hAnsi="Times New Roman"/>
                <w:w w:val="105"/>
                <w:sz w:val="19"/>
              </w:rPr>
              <w:tab/>
            </w:r>
            <w:r>
              <w:rPr>
                <w:w w:val="105"/>
                <w:sz w:val="19"/>
              </w:rPr>
              <w:t>Hep C:</w:t>
            </w:r>
            <w:r>
              <w:rPr>
                <w:spacing w:val="2"/>
                <w:w w:val="105"/>
                <w:sz w:val="19"/>
              </w:rPr>
              <w:t xml:space="preserve"> </w:t>
            </w:r>
            <w:r>
              <w:rPr>
                <w:w w:val="105"/>
                <w:sz w:val="19"/>
              </w:rPr>
              <w:t>11%</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Heart</w:t>
            </w:r>
            <w:r>
              <w:rPr>
                <w:spacing w:val="-2"/>
                <w:w w:val="105"/>
                <w:sz w:val="19"/>
              </w:rPr>
              <w:t xml:space="preserve"> </w:t>
            </w:r>
            <w:r>
              <w:rPr>
                <w:w w:val="105"/>
                <w:sz w:val="19"/>
              </w:rPr>
              <w:t>problems:</w:t>
            </w:r>
            <w:r>
              <w:rPr>
                <w:spacing w:val="-2"/>
                <w:w w:val="105"/>
                <w:sz w:val="19"/>
              </w:rPr>
              <w:t xml:space="preserve"> </w:t>
            </w:r>
            <w:r>
              <w:rPr>
                <w:w w:val="105"/>
                <w:sz w:val="19"/>
              </w:rPr>
              <w:t>20%</w:t>
            </w:r>
            <w:r>
              <w:rPr>
                <w:w w:val="105"/>
                <w:sz w:val="19"/>
              </w:rPr>
              <w:tab/>
            </w:r>
            <w:r>
              <w:rPr>
                <w:rFonts w:ascii="Symbol" w:hAnsi="Symbol"/>
                <w:w w:val="105"/>
                <w:sz w:val="19"/>
              </w:rPr>
              <w:t></w:t>
            </w:r>
            <w:r>
              <w:rPr>
                <w:rFonts w:ascii="Times New Roman" w:hAnsi="Times New Roman"/>
                <w:w w:val="105"/>
                <w:sz w:val="19"/>
              </w:rPr>
              <w:tab/>
            </w:r>
            <w:r>
              <w:rPr>
                <w:w w:val="105"/>
                <w:sz w:val="19"/>
              </w:rPr>
              <w:t>Kidney disease:</w:t>
            </w:r>
            <w:r>
              <w:rPr>
                <w:spacing w:val="-9"/>
                <w:w w:val="105"/>
                <w:sz w:val="19"/>
              </w:rPr>
              <w:t xml:space="preserve"> </w:t>
            </w:r>
            <w:r>
              <w:rPr>
                <w:w w:val="105"/>
                <w:sz w:val="19"/>
              </w:rPr>
              <w:t>11%</w:t>
            </w:r>
          </w:p>
          <w:p w:rsidR="00EA1F74" w:rsidRDefault="00FC1CE8">
            <w:pPr>
              <w:pStyle w:val="TableParagraph"/>
              <w:numPr>
                <w:ilvl w:val="0"/>
                <w:numId w:val="67"/>
              </w:numPr>
              <w:tabs>
                <w:tab w:val="left" w:pos="466"/>
                <w:tab w:val="left" w:pos="467"/>
                <w:tab w:val="left" w:pos="4650"/>
                <w:tab w:val="left" w:pos="5007"/>
              </w:tabs>
              <w:spacing w:before="7"/>
              <w:rPr>
                <w:sz w:val="19"/>
              </w:rPr>
            </w:pPr>
            <w:r>
              <w:rPr>
                <w:w w:val="105"/>
                <w:sz w:val="19"/>
              </w:rPr>
              <w:t>Hypothyroidism:</w:t>
            </w:r>
            <w:r>
              <w:rPr>
                <w:spacing w:val="-3"/>
                <w:w w:val="105"/>
                <w:sz w:val="19"/>
              </w:rPr>
              <w:t xml:space="preserve"> </w:t>
            </w:r>
            <w:r>
              <w:rPr>
                <w:w w:val="105"/>
                <w:sz w:val="19"/>
              </w:rPr>
              <w:t>20%</w:t>
            </w:r>
            <w:r>
              <w:rPr>
                <w:w w:val="105"/>
                <w:sz w:val="19"/>
              </w:rPr>
              <w:tab/>
            </w:r>
            <w:r>
              <w:rPr>
                <w:rFonts w:ascii="Symbol" w:hAnsi="Symbol"/>
                <w:w w:val="105"/>
                <w:sz w:val="19"/>
              </w:rPr>
              <w:t></w:t>
            </w:r>
            <w:r>
              <w:rPr>
                <w:rFonts w:ascii="Times New Roman" w:hAnsi="Times New Roman"/>
                <w:w w:val="105"/>
                <w:sz w:val="19"/>
              </w:rPr>
              <w:tab/>
            </w:r>
            <w:r>
              <w:rPr>
                <w:w w:val="105"/>
                <w:sz w:val="19"/>
              </w:rPr>
              <w:t>Hypothyroidism:</w:t>
            </w:r>
            <w:r>
              <w:rPr>
                <w:spacing w:val="-10"/>
                <w:w w:val="105"/>
                <w:sz w:val="19"/>
              </w:rPr>
              <w:t xml:space="preserve"> </w:t>
            </w:r>
            <w:r>
              <w:rPr>
                <w:w w:val="105"/>
                <w:sz w:val="19"/>
              </w:rPr>
              <w:t>11%</w:t>
            </w:r>
          </w:p>
          <w:p w:rsidR="00EA1F74" w:rsidRDefault="00FC1CE8">
            <w:pPr>
              <w:pStyle w:val="TableParagraph"/>
              <w:numPr>
                <w:ilvl w:val="0"/>
                <w:numId w:val="67"/>
              </w:numPr>
              <w:tabs>
                <w:tab w:val="left" w:pos="466"/>
                <w:tab w:val="left" w:pos="467"/>
                <w:tab w:val="left" w:pos="4650"/>
                <w:tab w:val="left" w:pos="5007"/>
              </w:tabs>
              <w:spacing w:before="12"/>
              <w:rPr>
                <w:sz w:val="19"/>
              </w:rPr>
            </w:pPr>
            <w:r>
              <w:rPr>
                <w:w w:val="105"/>
                <w:sz w:val="19"/>
              </w:rPr>
              <w:t>High</w:t>
            </w:r>
            <w:r>
              <w:rPr>
                <w:spacing w:val="-2"/>
                <w:w w:val="105"/>
                <w:sz w:val="19"/>
              </w:rPr>
              <w:t xml:space="preserve"> </w:t>
            </w:r>
            <w:r>
              <w:rPr>
                <w:w w:val="105"/>
                <w:sz w:val="19"/>
              </w:rPr>
              <w:t>cholesterol:</w:t>
            </w:r>
            <w:r>
              <w:rPr>
                <w:spacing w:val="-2"/>
                <w:w w:val="105"/>
                <w:sz w:val="19"/>
              </w:rPr>
              <w:t xml:space="preserve"> </w:t>
            </w:r>
            <w:r>
              <w:rPr>
                <w:w w:val="105"/>
                <w:sz w:val="19"/>
              </w:rPr>
              <w:t>19%</w:t>
            </w:r>
            <w:r>
              <w:rPr>
                <w:w w:val="105"/>
                <w:sz w:val="19"/>
              </w:rPr>
              <w:tab/>
            </w:r>
            <w:r>
              <w:rPr>
                <w:rFonts w:ascii="Symbol" w:hAnsi="Symbol"/>
                <w:w w:val="105"/>
                <w:sz w:val="19"/>
              </w:rPr>
              <w:t></w:t>
            </w:r>
            <w:r>
              <w:rPr>
                <w:rFonts w:ascii="Times New Roman" w:hAnsi="Times New Roman"/>
                <w:w w:val="105"/>
                <w:sz w:val="19"/>
              </w:rPr>
              <w:tab/>
            </w:r>
            <w:r>
              <w:rPr>
                <w:w w:val="105"/>
                <w:sz w:val="19"/>
              </w:rPr>
              <w:t>Vitamin deficiency:</w:t>
            </w:r>
            <w:r>
              <w:rPr>
                <w:spacing w:val="1"/>
                <w:w w:val="105"/>
                <w:sz w:val="19"/>
              </w:rPr>
              <w:t xml:space="preserve"> </w:t>
            </w:r>
            <w:r>
              <w:rPr>
                <w:w w:val="105"/>
                <w:sz w:val="19"/>
              </w:rPr>
              <w:t>11%</w:t>
            </w:r>
          </w:p>
          <w:p w:rsidR="00EA1F74" w:rsidRDefault="00FC1CE8">
            <w:pPr>
              <w:pStyle w:val="TableParagraph"/>
              <w:numPr>
                <w:ilvl w:val="0"/>
                <w:numId w:val="67"/>
              </w:numPr>
              <w:tabs>
                <w:tab w:val="left" w:pos="466"/>
                <w:tab w:val="left" w:pos="467"/>
              </w:tabs>
              <w:spacing w:before="12"/>
              <w:rPr>
                <w:sz w:val="19"/>
              </w:rPr>
            </w:pPr>
            <w:r>
              <w:rPr>
                <w:w w:val="105"/>
                <w:sz w:val="19"/>
              </w:rPr>
              <w:t>Underweight: 17%</w:t>
            </w:r>
          </w:p>
          <w:p w:rsidR="00EA1F74" w:rsidRDefault="00FC1CE8">
            <w:pPr>
              <w:pStyle w:val="TableParagraph"/>
              <w:numPr>
                <w:ilvl w:val="0"/>
                <w:numId w:val="67"/>
              </w:numPr>
              <w:tabs>
                <w:tab w:val="left" w:pos="466"/>
                <w:tab w:val="left" w:pos="467"/>
              </w:tabs>
              <w:spacing w:before="7"/>
              <w:rPr>
                <w:sz w:val="19"/>
              </w:rPr>
            </w:pPr>
            <w:r>
              <w:rPr>
                <w:w w:val="105"/>
                <w:sz w:val="19"/>
              </w:rPr>
              <w:t>Urinary tract infection:</w:t>
            </w:r>
            <w:r>
              <w:rPr>
                <w:spacing w:val="1"/>
                <w:w w:val="105"/>
                <w:sz w:val="19"/>
              </w:rPr>
              <w:t xml:space="preserve"> </w:t>
            </w:r>
            <w:r>
              <w:rPr>
                <w:w w:val="105"/>
                <w:sz w:val="19"/>
              </w:rPr>
              <w:t>17%</w:t>
            </w:r>
          </w:p>
          <w:p w:rsidR="00EA1F74" w:rsidRDefault="00FC1CE8">
            <w:pPr>
              <w:pStyle w:val="TableParagraph"/>
              <w:numPr>
                <w:ilvl w:val="0"/>
                <w:numId w:val="67"/>
              </w:numPr>
              <w:tabs>
                <w:tab w:val="left" w:pos="466"/>
                <w:tab w:val="left" w:pos="467"/>
              </w:tabs>
              <w:spacing w:before="12"/>
              <w:rPr>
                <w:sz w:val="19"/>
              </w:rPr>
            </w:pPr>
            <w:r>
              <w:rPr>
                <w:w w:val="105"/>
                <w:sz w:val="19"/>
              </w:rPr>
              <w:t>Asthma: 15%</w:t>
            </w:r>
          </w:p>
        </w:tc>
      </w:tr>
    </w:tbl>
    <w:p w:rsidR="00EA1F74" w:rsidRDefault="00EA1F74" w:rsidP="00625DA1">
      <w:pPr>
        <w:pStyle w:val="BodyText"/>
      </w:pPr>
    </w:p>
    <w:p w:rsidR="00EA1F74" w:rsidRDefault="00EA1F74" w:rsidP="00625DA1">
      <w:pPr>
        <w:pStyle w:val="BodyText"/>
      </w:pPr>
    </w:p>
    <w:p w:rsidR="00EA1F74" w:rsidRDefault="00FC1CE8">
      <w:pPr>
        <w:pStyle w:val="Heading4"/>
      </w:pPr>
      <w:bookmarkStart w:id="23" w:name="_TOC_250042"/>
      <w:bookmarkEnd w:id="23"/>
      <w:r>
        <w:rPr>
          <w:color w:val="4472C4"/>
        </w:rPr>
        <w:t>Medication prescriptions</w:t>
      </w:r>
    </w:p>
    <w:p w:rsidR="00EA1F74" w:rsidRDefault="00FC1CE8" w:rsidP="00625DA1">
      <w:pPr>
        <w:pStyle w:val="BodyText"/>
      </w:pPr>
      <w:r>
        <w:t>Medication patterns are outlined in Table 12. Only the QLD 09-14 report and the NSW 14- 17 report provided a detailed analysis of medication usage across their sample. Based on these two reports, it appears that psychotropic medications were commonly prescribed to people with disability who had died, often in the absence of a diagnosed mental illness. In the QLD sample, for example, 49% were prescribed psychotropic medications at the time of their death, most without a diagnosis of mental illness. In the NSW 14-17 sample, 87% were taking psychotropic medication at the time of their death. Notable, of these 87%, almost half (42%) had behaviours of concern but did not have a behaviour support plan- including 32 people who did not have any identified mental health condition.</w:t>
      </w:r>
    </w:p>
    <w:p w:rsidR="00EA1F74" w:rsidRDefault="00FC1CE8" w:rsidP="00625DA1">
      <w:pPr>
        <w:pStyle w:val="BodyText"/>
      </w:pPr>
      <w:r>
        <w:t>High rates of polypharmacy were also noted in both reports. People in the QLD 09-14 sample were taking an average of 3.2 psychotropic medications per individual, and 11% were being administered five or more different psychotropics at the time of their death. In the NSW 14-17 sample, 84% were taking three or more medications at the time of their death, including 37% who received 10 or more medications, nine of whom were receiving 20 or more medications when they died.</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FC1CE8" w:rsidP="00625DA1">
      <w:pPr>
        <w:pStyle w:val="BodyText"/>
      </w:pPr>
      <w:r>
        <w:t>Table 12: Number and types of medications</w:t>
      </w: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521"/>
        </w:trPr>
        <w:tc>
          <w:tcPr>
            <w:tcW w:w="960" w:type="dxa"/>
            <w:tcBorders>
              <w:bottom w:val="single" w:sz="18" w:space="0" w:color="A5A5A5"/>
            </w:tcBorders>
          </w:tcPr>
          <w:p w:rsidR="00EA1F74" w:rsidRDefault="00FC1CE8">
            <w:pPr>
              <w:pStyle w:val="TableParagraph"/>
              <w:spacing w:before="8" w:line="252" w:lineRule="auto"/>
              <w:ind w:left="110" w:right="211"/>
              <w:rPr>
                <w:sz w:val="19"/>
              </w:rPr>
            </w:pPr>
            <w:r>
              <w:rPr>
                <w:w w:val="105"/>
                <w:sz w:val="19"/>
              </w:rPr>
              <w:t>Report ID</w:t>
            </w:r>
          </w:p>
        </w:tc>
        <w:tc>
          <w:tcPr>
            <w:tcW w:w="9547" w:type="dxa"/>
            <w:tcBorders>
              <w:bottom w:val="single" w:sz="18" w:space="0" w:color="A5A5A5"/>
            </w:tcBorders>
          </w:tcPr>
          <w:p w:rsidR="00EA1F74" w:rsidRDefault="00FC1CE8">
            <w:pPr>
              <w:pStyle w:val="TableParagraph"/>
              <w:spacing w:before="8"/>
              <w:ind w:left="110"/>
              <w:rPr>
                <w:sz w:val="19"/>
              </w:rPr>
            </w:pPr>
            <w:r>
              <w:rPr>
                <w:w w:val="105"/>
                <w:sz w:val="19"/>
              </w:rPr>
              <w:t>Number and types of medications at time of death</w:t>
            </w:r>
          </w:p>
        </w:tc>
      </w:tr>
      <w:tr w:rsidR="00EA1F74" w:rsidTr="0049783C">
        <w:trPr>
          <w:trHeight w:val="809"/>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VIC 17-18</w:t>
            </w:r>
          </w:p>
        </w:tc>
        <w:tc>
          <w:tcPr>
            <w:tcW w:w="9547" w:type="dxa"/>
            <w:tcBorders>
              <w:top w:val="single" w:sz="18" w:space="0" w:color="A5A5A5"/>
            </w:tcBorders>
            <w:shd w:val="clear" w:color="auto" w:fill="F2F2F2" w:themeFill="background1" w:themeFillShade="F2"/>
          </w:tcPr>
          <w:p w:rsidR="00EA1F74" w:rsidRDefault="00FC1CE8">
            <w:pPr>
              <w:pStyle w:val="TableParagraph"/>
              <w:spacing w:before="3" w:line="252" w:lineRule="auto"/>
              <w:ind w:left="110" w:right="71"/>
              <w:rPr>
                <w:sz w:val="19"/>
              </w:rPr>
            </w:pPr>
            <w:r>
              <w:rPr>
                <w:w w:val="105"/>
                <w:sz w:val="19"/>
              </w:rPr>
              <w:t>No specific information provided regarding numbers and/or type of medications prescribed at time of death.</w:t>
            </w:r>
          </w:p>
        </w:tc>
      </w:tr>
      <w:tr w:rsidR="00EA1F74">
        <w:trPr>
          <w:trHeight w:val="810"/>
        </w:trPr>
        <w:tc>
          <w:tcPr>
            <w:tcW w:w="960" w:type="dxa"/>
          </w:tcPr>
          <w:p w:rsidR="00EA1F74" w:rsidRDefault="00FC1CE8">
            <w:pPr>
              <w:pStyle w:val="TableParagraph"/>
              <w:spacing w:before="3" w:line="321" w:lineRule="auto"/>
              <w:ind w:left="110" w:right="316"/>
              <w:rPr>
                <w:b/>
                <w:sz w:val="19"/>
              </w:rPr>
            </w:pPr>
            <w:r>
              <w:rPr>
                <w:b/>
                <w:w w:val="105"/>
                <w:sz w:val="19"/>
              </w:rPr>
              <w:t>VIC 07-16</w:t>
            </w:r>
          </w:p>
        </w:tc>
        <w:tc>
          <w:tcPr>
            <w:tcW w:w="9547" w:type="dxa"/>
          </w:tcPr>
          <w:p w:rsidR="00EA1F74" w:rsidRDefault="00FC1CE8">
            <w:pPr>
              <w:pStyle w:val="TableParagraph"/>
              <w:spacing w:before="3" w:line="252" w:lineRule="auto"/>
              <w:ind w:left="110" w:right="71"/>
              <w:rPr>
                <w:sz w:val="19"/>
              </w:rPr>
            </w:pPr>
            <w:r>
              <w:rPr>
                <w:w w:val="105"/>
                <w:sz w:val="19"/>
              </w:rPr>
              <w:t>No specific information provided regarding numbers and/or type of medications prescribed at time of death.</w:t>
            </w:r>
          </w:p>
        </w:tc>
      </w:tr>
      <w:tr w:rsidR="00EA1F74" w:rsidTr="0049783C">
        <w:trPr>
          <w:trHeight w:val="1938"/>
        </w:trPr>
        <w:tc>
          <w:tcPr>
            <w:tcW w:w="960" w:type="dxa"/>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QLD 09-14</w:t>
            </w:r>
          </w:p>
        </w:tc>
        <w:tc>
          <w:tcPr>
            <w:tcW w:w="9547" w:type="dxa"/>
            <w:shd w:val="clear" w:color="auto" w:fill="F2F2F2" w:themeFill="background1" w:themeFillShade="F2"/>
          </w:tcPr>
          <w:p w:rsidR="00EA1F74" w:rsidRDefault="00FC1CE8">
            <w:pPr>
              <w:pStyle w:val="TableParagraph"/>
              <w:numPr>
                <w:ilvl w:val="0"/>
                <w:numId w:val="66"/>
              </w:numPr>
              <w:tabs>
                <w:tab w:val="left" w:pos="469"/>
                <w:tab w:val="left" w:pos="470"/>
              </w:tabs>
              <w:spacing w:before="5"/>
              <w:rPr>
                <w:sz w:val="19"/>
              </w:rPr>
            </w:pPr>
            <w:r>
              <w:rPr>
                <w:w w:val="105"/>
                <w:sz w:val="19"/>
              </w:rPr>
              <w:t>49% were prescribed psychotropic medication, most without a diagnosis of mental</w:t>
            </w:r>
            <w:r>
              <w:rPr>
                <w:spacing w:val="-4"/>
                <w:w w:val="105"/>
                <w:sz w:val="19"/>
              </w:rPr>
              <w:t xml:space="preserve"> </w:t>
            </w:r>
            <w:r>
              <w:rPr>
                <w:w w:val="105"/>
                <w:sz w:val="19"/>
              </w:rPr>
              <w:t>illness:</w:t>
            </w:r>
          </w:p>
          <w:p w:rsidR="00EA1F74" w:rsidRDefault="00FC1CE8">
            <w:pPr>
              <w:pStyle w:val="TableParagraph"/>
              <w:numPr>
                <w:ilvl w:val="1"/>
                <w:numId w:val="66"/>
              </w:numPr>
              <w:tabs>
                <w:tab w:val="left" w:pos="925"/>
                <w:tab w:val="left" w:pos="926"/>
              </w:tabs>
              <w:spacing w:before="11" w:line="233" w:lineRule="exact"/>
              <w:rPr>
                <w:sz w:val="19"/>
              </w:rPr>
            </w:pPr>
            <w:r>
              <w:rPr>
                <w:w w:val="105"/>
                <w:sz w:val="19"/>
              </w:rPr>
              <w:t>anti-convulsants: 29%</w:t>
            </w:r>
          </w:p>
          <w:p w:rsidR="00EA1F74" w:rsidRDefault="00FC1CE8">
            <w:pPr>
              <w:pStyle w:val="TableParagraph"/>
              <w:numPr>
                <w:ilvl w:val="1"/>
                <w:numId w:val="66"/>
              </w:numPr>
              <w:tabs>
                <w:tab w:val="left" w:pos="925"/>
                <w:tab w:val="left" w:pos="926"/>
              </w:tabs>
              <w:spacing w:line="230" w:lineRule="exact"/>
              <w:rPr>
                <w:sz w:val="19"/>
              </w:rPr>
            </w:pPr>
            <w:r>
              <w:rPr>
                <w:w w:val="105"/>
                <w:sz w:val="19"/>
              </w:rPr>
              <w:t>anxiolytics: 27%</w:t>
            </w:r>
          </w:p>
          <w:p w:rsidR="00EA1F74" w:rsidRDefault="00FC1CE8">
            <w:pPr>
              <w:pStyle w:val="TableParagraph"/>
              <w:numPr>
                <w:ilvl w:val="1"/>
                <w:numId w:val="66"/>
              </w:numPr>
              <w:tabs>
                <w:tab w:val="left" w:pos="925"/>
                <w:tab w:val="left" w:pos="926"/>
              </w:tabs>
              <w:spacing w:line="230" w:lineRule="exact"/>
              <w:rPr>
                <w:sz w:val="19"/>
              </w:rPr>
            </w:pPr>
            <w:r>
              <w:rPr>
                <w:w w:val="105"/>
                <w:sz w:val="19"/>
              </w:rPr>
              <w:t>antipsychotics: 18% (85% of which were atypical</w:t>
            </w:r>
            <w:r>
              <w:rPr>
                <w:spacing w:val="5"/>
                <w:w w:val="105"/>
                <w:sz w:val="19"/>
              </w:rPr>
              <w:t xml:space="preserve"> </w:t>
            </w:r>
            <w:r>
              <w:rPr>
                <w:w w:val="105"/>
                <w:sz w:val="19"/>
              </w:rPr>
              <w:t>antipsychotics)</w:t>
            </w:r>
          </w:p>
          <w:p w:rsidR="00EA1F74" w:rsidRDefault="00FC1CE8">
            <w:pPr>
              <w:pStyle w:val="TableParagraph"/>
              <w:numPr>
                <w:ilvl w:val="1"/>
                <w:numId w:val="66"/>
              </w:numPr>
              <w:tabs>
                <w:tab w:val="left" w:pos="925"/>
                <w:tab w:val="left" w:pos="926"/>
              </w:tabs>
              <w:spacing w:line="231" w:lineRule="exact"/>
              <w:rPr>
                <w:sz w:val="19"/>
              </w:rPr>
            </w:pPr>
            <w:r>
              <w:rPr>
                <w:w w:val="105"/>
                <w:sz w:val="19"/>
              </w:rPr>
              <w:t>antidepressants: 15%.</w:t>
            </w:r>
          </w:p>
          <w:p w:rsidR="00EA1F74" w:rsidRDefault="00FC1CE8">
            <w:pPr>
              <w:pStyle w:val="TableParagraph"/>
              <w:numPr>
                <w:ilvl w:val="0"/>
                <w:numId w:val="66"/>
              </w:numPr>
              <w:tabs>
                <w:tab w:val="left" w:pos="469"/>
                <w:tab w:val="left" w:pos="470"/>
              </w:tabs>
              <w:spacing w:line="231" w:lineRule="exact"/>
              <w:rPr>
                <w:sz w:val="19"/>
              </w:rPr>
            </w:pPr>
            <w:r>
              <w:rPr>
                <w:w w:val="105"/>
                <w:sz w:val="19"/>
              </w:rPr>
              <w:t>The average number of psychotropic medications administered per individual was</w:t>
            </w:r>
            <w:r>
              <w:rPr>
                <w:spacing w:val="1"/>
                <w:w w:val="105"/>
                <w:sz w:val="19"/>
              </w:rPr>
              <w:t xml:space="preserve"> </w:t>
            </w:r>
            <w:r>
              <w:rPr>
                <w:w w:val="105"/>
                <w:sz w:val="19"/>
              </w:rPr>
              <w:t>3.2.</w:t>
            </w:r>
          </w:p>
          <w:p w:rsidR="00EA1F74" w:rsidRDefault="00FC1CE8">
            <w:pPr>
              <w:pStyle w:val="TableParagraph"/>
              <w:numPr>
                <w:ilvl w:val="0"/>
                <w:numId w:val="66"/>
              </w:numPr>
              <w:tabs>
                <w:tab w:val="left" w:pos="469"/>
                <w:tab w:val="left" w:pos="470"/>
              </w:tabs>
              <w:spacing w:before="7"/>
              <w:rPr>
                <w:sz w:val="19"/>
              </w:rPr>
            </w:pPr>
            <w:r>
              <w:rPr>
                <w:w w:val="105"/>
                <w:sz w:val="19"/>
              </w:rPr>
              <w:t>11% were being administered five or more different psychotropic</w:t>
            </w:r>
            <w:r>
              <w:rPr>
                <w:spacing w:val="3"/>
                <w:w w:val="105"/>
                <w:sz w:val="19"/>
              </w:rPr>
              <w:t xml:space="preserve"> </w:t>
            </w:r>
            <w:r>
              <w:rPr>
                <w:w w:val="105"/>
                <w:sz w:val="19"/>
              </w:rPr>
              <w:t>medications.</w:t>
            </w:r>
          </w:p>
        </w:tc>
      </w:tr>
      <w:tr w:rsidR="00EA1F74">
        <w:trPr>
          <w:trHeight w:val="1271"/>
        </w:trPr>
        <w:tc>
          <w:tcPr>
            <w:tcW w:w="960" w:type="dxa"/>
          </w:tcPr>
          <w:p w:rsidR="00EA1F74" w:rsidRDefault="00FC1CE8">
            <w:pPr>
              <w:pStyle w:val="TableParagraph"/>
              <w:spacing w:before="8" w:line="316" w:lineRule="auto"/>
              <w:ind w:left="110" w:right="316"/>
              <w:rPr>
                <w:b/>
                <w:sz w:val="19"/>
              </w:rPr>
            </w:pPr>
            <w:r>
              <w:rPr>
                <w:b/>
                <w:w w:val="105"/>
                <w:sz w:val="19"/>
              </w:rPr>
              <w:t>NSW 12-13</w:t>
            </w:r>
          </w:p>
        </w:tc>
        <w:tc>
          <w:tcPr>
            <w:tcW w:w="9547" w:type="dxa"/>
          </w:tcPr>
          <w:p w:rsidR="00EA1F74" w:rsidRDefault="00FC1CE8">
            <w:pPr>
              <w:pStyle w:val="TableParagraph"/>
              <w:spacing w:before="8" w:line="252" w:lineRule="auto"/>
              <w:ind w:left="110" w:right="71"/>
              <w:rPr>
                <w:sz w:val="19"/>
              </w:rPr>
            </w:pPr>
            <w:r>
              <w:rPr>
                <w:w w:val="105"/>
                <w:sz w:val="19"/>
              </w:rPr>
              <w:t>No specific information provided regarding numbers and/or type of medications prescribed at time of death. The report does note, however, that “most” of the 10 people who had choking identified as a factor in their deaths were taking psychotropic medication, including three people who were taking two or more psychotropic medications.</w:t>
            </w:r>
          </w:p>
        </w:tc>
      </w:tr>
      <w:tr w:rsidR="00EA1F74" w:rsidTr="0049783C">
        <w:trPr>
          <w:trHeight w:val="3383"/>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547" w:type="dxa"/>
            <w:shd w:val="clear" w:color="auto" w:fill="F2F2F2" w:themeFill="background1" w:themeFillShade="F2"/>
          </w:tcPr>
          <w:p w:rsidR="00EA1F74" w:rsidRDefault="00FC1CE8">
            <w:pPr>
              <w:pStyle w:val="TableParagraph"/>
              <w:spacing w:before="3" w:line="252" w:lineRule="auto"/>
              <w:ind w:left="110"/>
              <w:rPr>
                <w:sz w:val="19"/>
              </w:rPr>
            </w:pPr>
            <w:r>
              <w:rPr>
                <w:w w:val="105"/>
                <w:sz w:val="19"/>
              </w:rPr>
              <w:t>In 2014-2017 the following medication patterns were noted across the full sample (combining disability service and assisted boarding house groups):</w:t>
            </w:r>
          </w:p>
          <w:p w:rsidR="00EA1F74" w:rsidRDefault="00FC1CE8">
            <w:pPr>
              <w:pStyle w:val="TableParagraph"/>
              <w:numPr>
                <w:ilvl w:val="0"/>
                <w:numId w:val="65"/>
              </w:numPr>
              <w:tabs>
                <w:tab w:val="left" w:pos="469"/>
                <w:tab w:val="left" w:pos="470"/>
              </w:tabs>
              <w:spacing w:before="66" w:line="249" w:lineRule="auto"/>
              <w:ind w:right="394"/>
              <w:rPr>
                <w:sz w:val="19"/>
              </w:rPr>
            </w:pPr>
            <w:r>
              <w:rPr>
                <w:w w:val="105"/>
                <w:sz w:val="19"/>
              </w:rPr>
              <w:t>84% were taking three or more medications at the time of their death (This included 37% who received 10 or more medications, nine of whom were receiving 20 or more medications when they died)</w:t>
            </w:r>
          </w:p>
          <w:p w:rsidR="00EA1F74" w:rsidRDefault="00FC1CE8">
            <w:pPr>
              <w:pStyle w:val="TableParagraph"/>
              <w:numPr>
                <w:ilvl w:val="0"/>
                <w:numId w:val="65"/>
              </w:numPr>
              <w:tabs>
                <w:tab w:val="left" w:pos="469"/>
                <w:tab w:val="left" w:pos="470"/>
              </w:tabs>
              <w:spacing w:before="5"/>
              <w:rPr>
                <w:sz w:val="19"/>
              </w:rPr>
            </w:pPr>
            <w:r>
              <w:rPr>
                <w:w w:val="105"/>
                <w:sz w:val="19"/>
              </w:rPr>
              <w:t>87% were taking psychotropic medication at the time of their</w:t>
            </w:r>
            <w:r>
              <w:rPr>
                <w:spacing w:val="6"/>
                <w:w w:val="105"/>
                <w:sz w:val="19"/>
              </w:rPr>
              <w:t xml:space="preserve"> </w:t>
            </w:r>
            <w:r>
              <w:rPr>
                <w:w w:val="105"/>
                <w:sz w:val="19"/>
              </w:rPr>
              <w:t>death:</w:t>
            </w:r>
          </w:p>
          <w:p w:rsidR="00EA1F74" w:rsidRDefault="00FC1CE8">
            <w:pPr>
              <w:pStyle w:val="TableParagraph"/>
              <w:numPr>
                <w:ilvl w:val="1"/>
                <w:numId w:val="65"/>
              </w:numPr>
              <w:tabs>
                <w:tab w:val="left" w:pos="925"/>
                <w:tab w:val="left" w:pos="926"/>
              </w:tabs>
              <w:spacing w:before="10" w:line="233" w:lineRule="exact"/>
              <w:rPr>
                <w:sz w:val="19"/>
              </w:rPr>
            </w:pPr>
            <w:r>
              <w:rPr>
                <w:w w:val="105"/>
                <w:sz w:val="19"/>
              </w:rPr>
              <w:t>30% antipsychotic</w:t>
            </w:r>
            <w:r>
              <w:rPr>
                <w:spacing w:val="3"/>
                <w:w w:val="105"/>
                <w:sz w:val="19"/>
              </w:rPr>
              <w:t xml:space="preserve"> </w:t>
            </w:r>
            <w:r>
              <w:rPr>
                <w:w w:val="105"/>
                <w:sz w:val="19"/>
              </w:rPr>
              <w:t>medication</w:t>
            </w:r>
          </w:p>
          <w:p w:rsidR="00EA1F74" w:rsidRDefault="00FC1CE8">
            <w:pPr>
              <w:pStyle w:val="TableParagraph"/>
              <w:numPr>
                <w:ilvl w:val="1"/>
                <w:numId w:val="65"/>
              </w:numPr>
              <w:tabs>
                <w:tab w:val="left" w:pos="925"/>
                <w:tab w:val="left" w:pos="926"/>
              </w:tabs>
              <w:spacing w:line="230" w:lineRule="exact"/>
              <w:rPr>
                <w:sz w:val="19"/>
              </w:rPr>
            </w:pPr>
            <w:r>
              <w:rPr>
                <w:w w:val="105"/>
                <w:sz w:val="19"/>
              </w:rPr>
              <w:t>22% antidepressant</w:t>
            </w:r>
            <w:r>
              <w:rPr>
                <w:spacing w:val="2"/>
                <w:w w:val="105"/>
                <w:sz w:val="19"/>
              </w:rPr>
              <w:t xml:space="preserve"> </w:t>
            </w:r>
            <w:r>
              <w:rPr>
                <w:w w:val="105"/>
                <w:sz w:val="19"/>
              </w:rPr>
              <w:t>medication</w:t>
            </w:r>
          </w:p>
          <w:p w:rsidR="00EA1F74" w:rsidRDefault="00FC1CE8">
            <w:pPr>
              <w:pStyle w:val="TableParagraph"/>
              <w:numPr>
                <w:ilvl w:val="1"/>
                <w:numId w:val="65"/>
              </w:numPr>
              <w:tabs>
                <w:tab w:val="left" w:pos="925"/>
                <w:tab w:val="left" w:pos="926"/>
              </w:tabs>
              <w:spacing w:line="230" w:lineRule="exact"/>
              <w:rPr>
                <w:sz w:val="19"/>
              </w:rPr>
            </w:pPr>
            <w:r>
              <w:rPr>
                <w:w w:val="105"/>
                <w:sz w:val="19"/>
              </w:rPr>
              <w:t>14% antianxiety</w:t>
            </w:r>
            <w:r>
              <w:rPr>
                <w:spacing w:val="3"/>
                <w:w w:val="105"/>
                <w:sz w:val="19"/>
              </w:rPr>
              <w:t xml:space="preserve"> </w:t>
            </w:r>
            <w:r>
              <w:rPr>
                <w:w w:val="105"/>
                <w:sz w:val="19"/>
              </w:rPr>
              <w:t>medication</w:t>
            </w:r>
          </w:p>
          <w:p w:rsidR="00EA1F74" w:rsidRDefault="00FC1CE8">
            <w:pPr>
              <w:pStyle w:val="TableParagraph"/>
              <w:numPr>
                <w:ilvl w:val="1"/>
                <w:numId w:val="65"/>
              </w:numPr>
              <w:tabs>
                <w:tab w:val="left" w:pos="925"/>
                <w:tab w:val="left" w:pos="926"/>
              </w:tabs>
              <w:spacing w:line="231" w:lineRule="exact"/>
              <w:rPr>
                <w:sz w:val="19"/>
              </w:rPr>
            </w:pPr>
            <w:r>
              <w:rPr>
                <w:w w:val="105"/>
                <w:sz w:val="19"/>
              </w:rPr>
              <w:t>8%</w:t>
            </w:r>
            <w:r>
              <w:rPr>
                <w:spacing w:val="2"/>
                <w:w w:val="105"/>
                <w:sz w:val="19"/>
              </w:rPr>
              <w:t xml:space="preserve"> </w:t>
            </w:r>
            <w:r>
              <w:rPr>
                <w:w w:val="105"/>
                <w:sz w:val="19"/>
              </w:rPr>
              <w:t>sedatives.</w:t>
            </w:r>
          </w:p>
          <w:p w:rsidR="00EA1F74" w:rsidRDefault="00FC1CE8">
            <w:pPr>
              <w:pStyle w:val="TableParagraph"/>
              <w:numPr>
                <w:ilvl w:val="0"/>
                <w:numId w:val="65"/>
              </w:numPr>
              <w:tabs>
                <w:tab w:val="left" w:pos="469"/>
                <w:tab w:val="left" w:pos="470"/>
              </w:tabs>
              <w:spacing w:line="249" w:lineRule="auto"/>
              <w:ind w:right="327"/>
              <w:rPr>
                <w:sz w:val="19"/>
              </w:rPr>
            </w:pPr>
            <w:r>
              <w:rPr>
                <w:w w:val="105"/>
                <w:sz w:val="19"/>
              </w:rPr>
              <w:t>Of the 206 people who were taking psychotropic medication at the time of their death, 42% had behaviours of concern but did not have a behaviour support plan, including 32 of these people who did not have an identified mental health</w:t>
            </w:r>
            <w:r>
              <w:rPr>
                <w:spacing w:val="5"/>
                <w:w w:val="105"/>
                <w:sz w:val="19"/>
              </w:rPr>
              <w:t xml:space="preserve"> </w:t>
            </w:r>
            <w:r>
              <w:rPr>
                <w:w w:val="105"/>
                <w:sz w:val="19"/>
              </w:rPr>
              <w:t>condition.</w:t>
            </w:r>
          </w:p>
        </w:tc>
      </w:tr>
    </w:tbl>
    <w:p w:rsidR="00FA1F07" w:rsidRDefault="00FA1F07" w:rsidP="00FA1EF3">
      <w:pPr>
        <w:pStyle w:val="BodyText"/>
      </w:pPr>
      <w:bookmarkStart w:id="24" w:name="_TOC_250041"/>
      <w:bookmarkEnd w:id="24"/>
    </w:p>
    <w:p w:rsidR="00EA1F74" w:rsidRDefault="00FC1CE8">
      <w:pPr>
        <w:pStyle w:val="Heading4"/>
        <w:spacing w:before="209"/>
      </w:pPr>
      <w:r>
        <w:rPr>
          <w:color w:val="4472C4"/>
        </w:rPr>
        <w:t>Influenza and Pneumococcal vaccine status</w:t>
      </w:r>
    </w:p>
    <w:p w:rsidR="00EA1F74" w:rsidRDefault="00FC1CE8" w:rsidP="00625DA1">
      <w:pPr>
        <w:pStyle w:val="BodyText"/>
      </w:pPr>
      <w:r>
        <w:t>The vaccination status of people whose deaths were in-scope are outlined in Table 13. A significant proportion of people did not have current vaccination protection. Across jurisdictional samples, between 14% and 48% of people had not received an influenza vaccination in the 12 months before their death. Where reported, it appeared that between 25% and 83% had not received a pneumococcal vaccination in the last 12 months.</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FC1CE8" w:rsidP="00625DA1">
      <w:pPr>
        <w:pStyle w:val="BodyText"/>
      </w:pPr>
      <w:r>
        <w:t>Table 13: Influenza and Pneumococcal vaccine status</w:t>
      </w:r>
    </w:p>
    <w:tbl>
      <w:tblPr>
        <w:tblW w:w="0" w:type="auto"/>
        <w:tblInd w:w="68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521"/>
        </w:trPr>
        <w:tc>
          <w:tcPr>
            <w:tcW w:w="960" w:type="dxa"/>
            <w:tcBorders>
              <w:bottom w:val="single" w:sz="18" w:space="0" w:color="A5A5A5"/>
            </w:tcBorders>
          </w:tcPr>
          <w:p w:rsidR="00EA1F74" w:rsidRDefault="00FC1CE8">
            <w:pPr>
              <w:pStyle w:val="TableParagraph"/>
              <w:spacing w:before="8" w:line="252" w:lineRule="auto"/>
              <w:ind w:left="110" w:right="211"/>
              <w:rPr>
                <w:sz w:val="19"/>
              </w:rPr>
            </w:pPr>
            <w:r>
              <w:rPr>
                <w:w w:val="105"/>
                <w:sz w:val="19"/>
              </w:rPr>
              <w:t>Report ID</w:t>
            </w:r>
          </w:p>
        </w:tc>
        <w:tc>
          <w:tcPr>
            <w:tcW w:w="9547" w:type="dxa"/>
            <w:tcBorders>
              <w:bottom w:val="single" w:sz="18" w:space="0" w:color="A5A5A5"/>
            </w:tcBorders>
          </w:tcPr>
          <w:p w:rsidR="00EA1F74" w:rsidRDefault="00FC1CE8">
            <w:pPr>
              <w:pStyle w:val="TableParagraph"/>
              <w:spacing w:before="8"/>
              <w:ind w:left="110"/>
              <w:rPr>
                <w:sz w:val="19"/>
              </w:rPr>
            </w:pPr>
            <w:r>
              <w:rPr>
                <w:w w:val="105"/>
                <w:sz w:val="19"/>
              </w:rPr>
              <w:t>Influenza and Pneumococcal vaccine status</w:t>
            </w:r>
          </w:p>
        </w:tc>
      </w:tr>
      <w:tr w:rsidR="00EA1F74" w:rsidTr="0049783C">
        <w:trPr>
          <w:trHeight w:val="2225"/>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VIC 17-18</w:t>
            </w:r>
          </w:p>
        </w:tc>
        <w:tc>
          <w:tcPr>
            <w:tcW w:w="9547" w:type="dxa"/>
            <w:tcBorders>
              <w:top w:val="single" w:sz="18" w:space="0" w:color="A5A5A5"/>
            </w:tcBorders>
            <w:shd w:val="clear" w:color="auto" w:fill="F2F2F2" w:themeFill="background1" w:themeFillShade="F2"/>
          </w:tcPr>
          <w:p w:rsidR="00EA1F74" w:rsidRDefault="00FC1CE8">
            <w:pPr>
              <w:pStyle w:val="TableParagraph"/>
              <w:spacing w:before="3"/>
              <w:ind w:left="110"/>
              <w:rPr>
                <w:b/>
                <w:sz w:val="19"/>
              </w:rPr>
            </w:pPr>
            <w:r>
              <w:rPr>
                <w:b/>
                <w:w w:val="105"/>
                <w:sz w:val="19"/>
              </w:rPr>
              <w:t>Influenza vaccine status:</w:t>
            </w:r>
          </w:p>
          <w:p w:rsidR="00EA1F74" w:rsidRDefault="00FC1CE8">
            <w:pPr>
              <w:pStyle w:val="TableParagraph"/>
              <w:spacing w:before="74"/>
              <w:ind w:left="110"/>
              <w:rPr>
                <w:sz w:val="19"/>
              </w:rPr>
            </w:pPr>
            <w:r>
              <w:rPr>
                <w:w w:val="105"/>
                <w:sz w:val="19"/>
              </w:rPr>
              <w:t>Of the 72 people residing in shared accommodation, respite or a nursing home at the time of their death:</w:t>
            </w:r>
          </w:p>
          <w:p w:rsidR="00EA1F74" w:rsidRDefault="00FC1CE8">
            <w:pPr>
              <w:pStyle w:val="TableParagraph"/>
              <w:numPr>
                <w:ilvl w:val="0"/>
                <w:numId w:val="64"/>
              </w:numPr>
              <w:tabs>
                <w:tab w:val="left" w:pos="469"/>
                <w:tab w:val="left" w:pos="470"/>
              </w:tabs>
              <w:spacing w:before="71"/>
              <w:rPr>
                <w:sz w:val="19"/>
              </w:rPr>
            </w:pPr>
            <w:r>
              <w:rPr>
                <w:w w:val="105"/>
                <w:sz w:val="19"/>
              </w:rPr>
              <w:t>22% had not received an influenza immunization in the last 12</w:t>
            </w:r>
            <w:r>
              <w:rPr>
                <w:spacing w:val="7"/>
                <w:w w:val="105"/>
                <w:sz w:val="19"/>
              </w:rPr>
              <w:t xml:space="preserve"> </w:t>
            </w:r>
            <w:r>
              <w:rPr>
                <w:w w:val="105"/>
                <w:sz w:val="19"/>
              </w:rPr>
              <w:t>months.</w:t>
            </w:r>
          </w:p>
          <w:p w:rsidR="00EA1F74" w:rsidRDefault="00EA1F74">
            <w:pPr>
              <w:pStyle w:val="TableParagraph"/>
              <w:rPr>
                <w:sz w:val="26"/>
              </w:rPr>
            </w:pPr>
          </w:p>
          <w:p w:rsidR="00EA1F74" w:rsidRDefault="00FC1CE8">
            <w:pPr>
              <w:pStyle w:val="TableParagraph"/>
              <w:ind w:left="110"/>
              <w:rPr>
                <w:b/>
                <w:sz w:val="19"/>
              </w:rPr>
            </w:pPr>
            <w:r>
              <w:rPr>
                <w:b/>
                <w:w w:val="105"/>
                <w:sz w:val="19"/>
              </w:rPr>
              <w:t>Pneumococcal vaccine status:</w:t>
            </w:r>
          </w:p>
          <w:p w:rsidR="00EA1F74" w:rsidRDefault="00FC1CE8">
            <w:pPr>
              <w:pStyle w:val="TableParagraph"/>
              <w:spacing w:before="74"/>
              <w:ind w:left="110"/>
              <w:rPr>
                <w:sz w:val="19"/>
              </w:rPr>
            </w:pPr>
            <w:r>
              <w:rPr>
                <w:w w:val="105"/>
                <w:sz w:val="19"/>
              </w:rPr>
              <w:t>Of the 72 people residing in shared accommodation, respite or a nursing home at the time of their death:</w:t>
            </w:r>
          </w:p>
          <w:p w:rsidR="00EA1F74" w:rsidRDefault="00FC1CE8">
            <w:pPr>
              <w:pStyle w:val="TableParagraph"/>
              <w:numPr>
                <w:ilvl w:val="0"/>
                <w:numId w:val="64"/>
              </w:numPr>
              <w:tabs>
                <w:tab w:val="left" w:pos="469"/>
                <w:tab w:val="left" w:pos="470"/>
              </w:tabs>
              <w:spacing w:before="71"/>
              <w:rPr>
                <w:sz w:val="19"/>
              </w:rPr>
            </w:pPr>
            <w:r>
              <w:rPr>
                <w:w w:val="105"/>
                <w:sz w:val="19"/>
              </w:rPr>
              <w:t>83% had not received a pneumococcal vaccination in the last 12</w:t>
            </w:r>
            <w:r>
              <w:rPr>
                <w:spacing w:val="5"/>
                <w:w w:val="105"/>
                <w:sz w:val="19"/>
              </w:rPr>
              <w:t xml:space="preserve"> </w:t>
            </w:r>
            <w:r>
              <w:rPr>
                <w:w w:val="105"/>
                <w:sz w:val="19"/>
              </w:rPr>
              <w:t>months.</w:t>
            </w:r>
          </w:p>
        </w:tc>
      </w:tr>
      <w:tr w:rsidR="00EA1F74">
        <w:trPr>
          <w:trHeight w:val="580"/>
        </w:trPr>
        <w:tc>
          <w:tcPr>
            <w:tcW w:w="960"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5"/>
              <w:ind w:left="110"/>
              <w:rPr>
                <w:b/>
                <w:sz w:val="19"/>
              </w:rPr>
            </w:pPr>
            <w:r>
              <w:rPr>
                <w:b/>
                <w:w w:val="105"/>
                <w:sz w:val="19"/>
              </w:rPr>
              <w:t>07-16</w:t>
            </w:r>
          </w:p>
        </w:tc>
        <w:tc>
          <w:tcPr>
            <w:tcW w:w="9547" w:type="dxa"/>
          </w:tcPr>
          <w:p w:rsidR="00EA1F74" w:rsidRDefault="00FC1CE8">
            <w:pPr>
              <w:pStyle w:val="TableParagraph"/>
              <w:spacing w:before="3"/>
              <w:ind w:left="110"/>
              <w:rPr>
                <w:sz w:val="19"/>
              </w:rPr>
            </w:pPr>
            <w:r>
              <w:rPr>
                <w:w w:val="105"/>
                <w:sz w:val="19"/>
              </w:rPr>
              <w:t>Not stated</w:t>
            </w:r>
          </w:p>
        </w:tc>
      </w:tr>
      <w:tr w:rsidR="00EA1F74" w:rsidTr="0049783C">
        <w:trPr>
          <w:trHeight w:val="580"/>
        </w:trPr>
        <w:tc>
          <w:tcPr>
            <w:tcW w:w="960" w:type="dxa"/>
            <w:shd w:val="clear" w:color="auto" w:fill="F2F2F2" w:themeFill="background1" w:themeFillShade="F2"/>
          </w:tcPr>
          <w:p w:rsidR="00EA1F74" w:rsidRDefault="00FC1CE8">
            <w:pPr>
              <w:pStyle w:val="TableParagraph"/>
              <w:spacing w:before="3"/>
              <w:ind w:left="110"/>
              <w:rPr>
                <w:b/>
                <w:sz w:val="19"/>
              </w:rPr>
            </w:pPr>
            <w:r>
              <w:rPr>
                <w:b/>
                <w:w w:val="105"/>
                <w:sz w:val="19"/>
              </w:rPr>
              <w:t>QLD</w:t>
            </w:r>
          </w:p>
          <w:p w:rsidR="00EA1F74" w:rsidRDefault="00FC1CE8">
            <w:pPr>
              <w:pStyle w:val="TableParagraph"/>
              <w:spacing w:before="75"/>
              <w:ind w:left="110"/>
              <w:rPr>
                <w:b/>
                <w:sz w:val="19"/>
              </w:rPr>
            </w:pPr>
            <w:r>
              <w:rPr>
                <w:b/>
                <w:w w:val="105"/>
                <w:sz w:val="19"/>
              </w:rPr>
              <w:t>09-14</w:t>
            </w:r>
          </w:p>
        </w:tc>
        <w:tc>
          <w:tcPr>
            <w:tcW w:w="9547" w:type="dxa"/>
            <w:shd w:val="clear" w:color="auto" w:fill="F2F2F2" w:themeFill="background1" w:themeFillShade="F2"/>
          </w:tcPr>
          <w:p w:rsidR="00EA1F74" w:rsidRDefault="00FC1CE8">
            <w:pPr>
              <w:pStyle w:val="TableParagraph"/>
              <w:spacing w:before="3"/>
              <w:ind w:left="110"/>
              <w:rPr>
                <w:sz w:val="19"/>
              </w:rPr>
            </w:pPr>
            <w:r>
              <w:rPr>
                <w:w w:val="105"/>
                <w:sz w:val="19"/>
              </w:rPr>
              <w:t>Not stated</w:t>
            </w:r>
          </w:p>
        </w:tc>
      </w:tr>
      <w:tr w:rsidR="00EA1F74">
        <w:trPr>
          <w:trHeight w:val="2135"/>
        </w:trPr>
        <w:tc>
          <w:tcPr>
            <w:tcW w:w="960" w:type="dxa"/>
          </w:tcPr>
          <w:p w:rsidR="00EA1F74" w:rsidRDefault="00FC1CE8">
            <w:pPr>
              <w:pStyle w:val="TableParagraph"/>
              <w:spacing w:before="3" w:line="321" w:lineRule="auto"/>
              <w:ind w:left="110" w:right="316"/>
              <w:rPr>
                <w:b/>
                <w:sz w:val="19"/>
              </w:rPr>
            </w:pPr>
            <w:r>
              <w:rPr>
                <w:b/>
                <w:w w:val="105"/>
                <w:sz w:val="19"/>
              </w:rPr>
              <w:t>NSW 12-13</w:t>
            </w:r>
          </w:p>
        </w:tc>
        <w:tc>
          <w:tcPr>
            <w:tcW w:w="9547" w:type="dxa"/>
          </w:tcPr>
          <w:p w:rsidR="00EA1F74" w:rsidRDefault="00FC1CE8">
            <w:pPr>
              <w:pStyle w:val="TableParagraph"/>
              <w:spacing w:before="3"/>
              <w:ind w:left="110"/>
              <w:rPr>
                <w:sz w:val="19"/>
              </w:rPr>
            </w:pPr>
            <w:r>
              <w:rPr>
                <w:b/>
                <w:w w:val="105"/>
                <w:sz w:val="19"/>
              </w:rPr>
              <w:t>Influenza vaccine status</w:t>
            </w:r>
            <w:r>
              <w:rPr>
                <w:w w:val="105"/>
                <w:sz w:val="19"/>
              </w:rPr>
              <w:t>:</w:t>
            </w:r>
          </w:p>
          <w:p w:rsidR="00EA1F74" w:rsidRDefault="00FC1CE8">
            <w:pPr>
              <w:pStyle w:val="TableParagraph"/>
              <w:numPr>
                <w:ilvl w:val="0"/>
                <w:numId w:val="63"/>
              </w:numPr>
              <w:tabs>
                <w:tab w:val="left" w:pos="469"/>
                <w:tab w:val="left" w:pos="470"/>
              </w:tabs>
              <w:spacing w:before="76"/>
              <w:rPr>
                <w:sz w:val="19"/>
              </w:rPr>
            </w:pPr>
            <w:r>
              <w:rPr>
                <w:w w:val="105"/>
                <w:sz w:val="19"/>
              </w:rPr>
              <w:t xml:space="preserve">73% of </w:t>
            </w:r>
            <w:r>
              <w:rPr>
                <w:i/>
                <w:w w:val="105"/>
                <w:sz w:val="19"/>
              </w:rPr>
              <w:t xml:space="preserve">Disability Services Sample </w:t>
            </w:r>
            <w:r>
              <w:rPr>
                <w:w w:val="105"/>
                <w:sz w:val="19"/>
              </w:rPr>
              <w:t>were vaccinated in the 12 month period before</w:t>
            </w:r>
            <w:r>
              <w:rPr>
                <w:spacing w:val="3"/>
                <w:w w:val="105"/>
                <w:sz w:val="19"/>
              </w:rPr>
              <w:t xml:space="preserve"> </w:t>
            </w:r>
            <w:r>
              <w:rPr>
                <w:w w:val="105"/>
                <w:sz w:val="19"/>
              </w:rPr>
              <w:t>death.</w:t>
            </w:r>
          </w:p>
          <w:p w:rsidR="00EA1F74" w:rsidRDefault="00FC1CE8">
            <w:pPr>
              <w:pStyle w:val="TableParagraph"/>
              <w:numPr>
                <w:ilvl w:val="0"/>
                <w:numId w:val="63"/>
              </w:numPr>
              <w:tabs>
                <w:tab w:val="left" w:pos="469"/>
                <w:tab w:val="left" w:pos="470"/>
              </w:tabs>
              <w:spacing w:before="12"/>
              <w:rPr>
                <w:sz w:val="19"/>
              </w:rPr>
            </w:pPr>
            <w:r>
              <w:rPr>
                <w:w w:val="105"/>
                <w:sz w:val="19"/>
              </w:rPr>
              <w:t xml:space="preserve">86% of the </w:t>
            </w:r>
            <w:r>
              <w:rPr>
                <w:i/>
                <w:w w:val="105"/>
                <w:sz w:val="19"/>
              </w:rPr>
              <w:t xml:space="preserve">Assisted Boarding House Sample </w:t>
            </w:r>
            <w:r>
              <w:rPr>
                <w:w w:val="105"/>
                <w:sz w:val="19"/>
              </w:rPr>
              <w:t>were vaccinated in the 12 month period before</w:t>
            </w:r>
            <w:r>
              <w:rPr>
                <w:spacing w:val="-15"/>
                <w:w w:val="105"/>
                <w:sz w:val="19"/>
              </w:rPr>
              <w:t xml:space="preserve"> </w:t>
            </w:r>
            <w:r>
              <w:rPr>
                <w:w w:val="105"/>
                <w:sz w:val="19"/>
              </w:rPr>
              <w:t>death.</w:t>
            </w:r>
          </w:p>
          <w:p w:rsidR="00EA1F74" w:rsidRDefault="00EA1F74">
            <w:pPr>
              <w:pStyle w:val="TableParagraph"/>
              <w:rPr>
                <w:sz w:val="26"/>
              </w:rPr>
            </w:pPr>
          </w:p>
          <w:p w:rsidR="00EA1F74" w:rsidRDefault="00FC1CE8">
            <w:pPr>
              <w:pStyle w:val="TableParagraph"/>
              <w:ind w:left="110"/>
              <w:rPr>
                <w:b/>
                <w:sz w:val="19"/>
              </w:rPr>
            </w:pPr>
            <w:r>
              <w:rPr>
                <w:b/>
                <w:w w:val="105"/>
                <w:sz w:val="19"/>
              </w:rPr>
              <w:t>Pneumococcal vaccine status:</w:t>
            </w:r>
          </w:p>
          <w:p w:rsidR="00EA1F74" w:rsidRDefault="00FC1CE8">
            <w:pPr>
              <w:pStyle w:val="TableParagraph"/>
              <w:numPr>
                <w:ilvl w:val="0"/>
                <w:numId w:val="63"/>
              </w:numPr>
              <w:tabs>
                <w:tab w:val="left" w:pos="469"/>
                <w:tab w:val="left" w:pos="470"/>
              </w:tabs>
              <w:spacing w:before="71"/>
              <w:rPr>
                <w:sz w:val="19"/>
              </w:rPr>
            </w:pPr>
            <w:r>
              <w:rPr>
                <w:w w:val="105"/>
                <w:sz w:val="19"/>
              </w:rPr>
              <w:t xml:space="preserve">37% of the </w:t>
            </w:r>
            <w:r>
              <w:rPr>
                <w:i/>
                <w:w w:val="105"/>
                <w:sz w:val="19"/>
              </w:rPr>
              <w:t xml:space="preserve">Disability Services Sample </w:t>
            </w:r>
            <w:r>
              <w:rPr>
                <w:w w:val="105"/>
                <w:sz w:val="19"/>
              </w:rPr>
              <w:t>were vaccinated in the in the 5 year period before</w:t>
            </w:r>
            <w:r>
              <w:rPr>
                <w:spacing w:val="-6"/>
                <w:w w:val="105"/>
                <w:sz w:val="19"/>
              </w:rPr>
              <w:t xml:space="preserve"> </w:t>
            </w:r>
            <w:r>
              <w:rPr>
                <w:w w:val="105"/>
                <w:sz w:val="19"/>
              </w:rPr>
              <w:t>death.</w:t>
            </w:r>
          </w:p>
          <w:p w:rsidR="00EA1F74" w:rsidRDefault="00FC1CE8">
            <w:pPr>
              <w:pStyle w:val="TableParagraph"/>
              <w:numPr>
                <w:ilvl w:val="0"/>
                <w:numId w:val="63"/>
              </w:numPr>
              <w:tabs>
                <w:tab w:val="left" w:pos="469"/>
                <w:tab w:val="left" w:pos="470"/>
              </w:tabs>
              <w:spacing w:before="12"/>
              <w:rPr>
                <w:sz w:val="19"/>
              </w:rPr>
            </w:pPr>
            <w:r>
              <w:rPr>
                <w:w w:val="105"/>
                <w:sz w:val="19"/>
              </w:rPr>
              <w:t xml:space="preserve">21% of the </w:t>
            </w:r>
            <w:r>
              <w:rPr>
                <w:i/>
                <w:w w:val="105"/>
                <w:sz w:val="19"/>
              </w:rPr>
              <w:t xml:space="preserve">Assisted Boarding House Sample </w:t>
            </w:r>
            <w:r>
              <w:rPr>
                <w:w w:val="105"/>
                <w:sz w:val="19"/>
              </w:rPr>
              <w:t>were vaccinated in the 5 years period before</w:t>
            </w:r>
            <w:r>
              <w:rPr>
                <w:spacing w:val="-7"/>
                <w:w w:val="105"/>
                <w:sz w:val="19"/>
              </w:rPr>
              <w:t xml:space="preserve"> </w:t>
            </w:r>
            <w:r>
              <w:rPr>
                <w:w w:val="105"/>
                <w:sz w:val="19"/>
              </w:rPr>
              <w:t>death.</w:t>
            </w:r>
          </w:p>
        </w:tc>
      </w:tr>
      <w:tr w:rsidR="00EA1F74" w:rsidTr="0049783C">
        <w:trPr>
          <w:trHeight w:val="2596"/>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547" w:type="dxa"/>
            <w:shd w:val="clear" w:color="auto" w:fill="F2F2F2" w:themeFill="background1" w:themeFillShade="F2"/>
          </w:tcPr>
          <w:p w:rsidR="00EA1F74" w:rsidRDefault="00FC1CE8">
            <w:pPr>
              <w:pStyle w:val="TableParagraph"/>
              <w:spacing w:before="3"/>
              <w:ind w:left="110"/>
              <w:rPr>
                <w:sz w:val="19"/>
              </w:rPr>
            </w:pPr>
            <w:r>
              <w:rPr>
                <w:b/>
                <w:w w:val="105"/>
                <w:sz w:val="19"/>
              </w:rPr>
              <w:t xml:space="preserve">Influenza vaccine status: </w:t>
            </w:r>
            <w:r>
              <w:rPr>
                <w:w w:val="105"/>
                <w:sz w:val="19"/>
              </w:rPr>
              <w:t>In 2014- 2017:</w:t>
            </w:r>
          </w:p>
          <w:p w:rsidR="00EA1F74" w:rsidRDefault="00FC1CE8">
            <w:pPr>
              <w:pStyle w:val="TableParagraph"/>
              <w:numPr>
                <w:ilvl w:val="0"/>
                <w:numId w:val="62"/>
              </w:numPr>
              <w:tabs>
                <w:tab w:val="left" w:pos="469"/>
                <w:tab w:val="left" w:pos="470"/>
              </w:tabs>
              <w:spacing w:before="76"/>
              <w:rPr>
                <w:sz w:val="19"/>
              </w:rPr>
            </w:pPr>
            <w:r>
              <w:rPr>
                <w:w w:val="105"/>
                <w:sz w:val="19"/>
              </w:rPr>
              <w:t xml:space="preserve">76% of the </w:t>
            </w:r>
            <w:r>
              <w:rPr>
                <w:i/>
                <w:w w:val="105"/>
                <w:sz w:val="19"/>
              </w:rPr>
              <w:t xml:space="preserve">Disability Services Sample </w:t>
            </w:r>
            <w:r>
              <w:rPr>
                <w:w w:val="105"/>
                <w:sz w:val="19"/>
              </w:rPr>
              <w:t>were vaccinated in the 12 month period before</w:t>
            </w:r>
            <w:r>
              <w:rPr>
                <w:spacing w:val="-1"/>
                <w:w w:val="105"/>
                <w:sz w:val="19"/>
              </w:rPr>
              <w:t xml:space="preserve"> </w:t>
            </w:r>
            <w:r>
              <w:rPr>
                <w:w w:val="105"/>
                <w:sz w:val="19"/>
              </w:rPr>
              <w:t>death</w:t>
            </w:r>
          </w:p>
          <w:p w:rsidR="00EA1F74" w:rsidRDefault="00FC1CE8">
            <w:pPr>
              <w:pStyle w:val="TableParagraph"/>
              <w:numPr>
                <w:ilvl w:val="0"/>
                <w:numId w:val="62"/>
              </w:numPr>
              <w:tabs>
                <w:tab w:val="left" w:pos="469"/>
                <w:tab w:val="left" w:pos="470"/>
              </w:tabs>
              <w:spacing w:before="8"/>
              <w:rPr>
                <w:sz w:val="19"/>
              </w:rPr>
            </w:pPr>
            <w:r>
              <w:rPr>
                <w:w w:val="105"/>
                <w:sz w:val="19"/>
              </w:rPr>
              <w:t xml:space="preserve">52% of the </w:t>
            </w:r>
            <w:r>
              <w:rPr>
                <w:i/>
                <w:w w:val="105"/>
                <w:sz w:val="19"/>
              </w:rPr>
              <w:t xml:space="preserve">Assisted Boarding House Sample </w:t>
            </w:r>
            <w:r>
              <w:rPr>
                <w:w w:val="105"/>
                <w:sz w:val="19"/>
              </w:rPr>
              <w:t>were vaccinated in the 12 month period before</w:t>
            </w:r>
            <w:r>
              <w:rPr>
                <w:spacing w:val="-13"/>
                <w:w w:val="105"/>
                <w:sz w:val="19"/>
              </w:rPr>
              <w:t xml:space="preserve"> </w:t>
            </w:r>
            <w:r>
              <w:rPr>
                <w:w w:val="105"/>
                <w:sz w:val="19"/>
              </w:rPr>
              <w:t>death.</w:t>
            </w:r>
          </w:p>
          <w:p w:rsidR="00EA1F74" w:rsidRDefault="00EA1F74">
            <w:pPr>
              <w:pStyle w:val="TableParagraph"/>
              <w:spacing w:before="10"/>
              <w:rPr>
                <w:sz w:val="25"/>
              </w:rPr>
            </w:pPr>
          </w:p>
          <w:p w:rsidR="00EA1F74" w:rsidRDefault="00FC1CE8">
            <w:pPr>
              <w:pStyle w:val="TableParagraph"/>
              <w:spacing w:before="1"/>
              <w:ind w:left="110"/>
              <w:rPr>
                <w:sz w:val="19"/>
              </w:rPr>
            </w:pPr>
            <w:r>
              <w:rPr>
                <w:b/>
                <w:w w:val="105"/>
                <w:sz w:val="19"/>
              </w:rPr>
              <w:t xml:space="preserve">Pneumococcal vaccine status: </w:t>
            </w:r>
            <w:r>
              <w:rPr>
                <w:w w:val="105"/>
                <w:sz w:val="19"/>
              </w:rPr>
              <w:t>In 2014- 2017:</w:t>
            </w:r>
          </w:p>
          <w:p w:rsidR="00EA1F74" w:rsidRDefault="00FC1CE8">
            <w:pPr>
              <w:pStyle w:val="TableParagraph"/>
              <w:numPr>
                <w:ilvl w:val="0"/>
                <w:numId w:val="62"/>
              </w:numPr>
              <w:tabs>
                <w:tab w:val="left" w:pos="469"/>
                <w:tab w:val="left" w:pos="470"/>
              </w:tabs>
              <w:spacing w:before="76" w:line="249" w:lineRule="auto"/>
              <w:ind w:right="607"/>
              <w:rPr>
                <w:sz w:val="19"/>
              </w:rPr>
            </w:pPr>
            <w:r>
              <w:rPr>
                <w:w w:val="105"/>
                <w:sz w:val="19"/>
              </w:rPr>
              <w:t xml:space="preserve">28% of the </w:t>
            </w:r>
            <w:r>
              <w:rPr>
                <w:i/>
                <w:w w:val="105"/>
                <w:sz w:val="19"/>
              </w:rPr>
              <w:t xml:space="preserve">Disability Services Sample </w:t>
            </w:r>
            <w:r>
              <w:rPr>
                <w:w w:val="105"/>
                <w:sz w:val="19"/>
              </w:rPr>
              <w:t>were vaccinated (recency of vaccination not stated in the report)</w:t>
            </w:r>
          </w:p>
          <w:p w:rsidR="00EA1F74" w:rsidRDefault="00FC1CE8">
            <w:pPr>
              <w:pStyle w:val="TableParagraph"/>
              <w:numPr>
                <w:ilvl w:val="0"/>
                <w:numId w:val="62"/>
              </w:numPr>
              <w:tabs>
                <w:tab w:val="left" w:pos="469"/>
                <w:tab w:val="left" w:pos="470"/>
              </w:tabs>
              <w:spacing w:before="1" w:line="249" w:lineRule="auto"/>
              <w:ind w:right="318"/>
              <w:rPr>
                <w:sz w:val="19"/>
              </w:rPr>
            </w:pPr>
            <w:r>
              <w:rPr>
                <w:w w:val="105"/>
                <w:sz w:val="19"/>
              </w:rPr>
              <w:t xml:space="preserve">75% of the </w:t>
            </w:r>
            <w:r>
              <w:rPr>
                <w:i/>
                <w:w w:val="105"/>
                <w:sz w:val="19"/>
              </w:rPr>
              <w:t xml:space="preserve">Assisted Boarding House Sample </w:t>
            </w:r>
            <w:r>
              <w:rPr>
                <w:w w:val="105"/>
                <w:sz w:val="19"/>
              </w:rPr>
              <w:t>were vaccinated (recency of vaccination not stated in the</w:t>
            </w:r>
            <w:r>
              <w:rPr>
                <w:spacing w:val="1"/>
                <w:w w:val="105"/>
                <w:sz w:val="19"/>
              </w:rPr>
              <w:t xml:space="preserve"> </w:t>
            </w:r>
            <w:r>
              <w:rPr>
                <w:w w:val="105"/>
                <w:sz w:val="19"/>
              </w:rPr>
              <w:t>report).</w:t>
            </w:r>
          </w:p>
        </w:tc>
      </w:tr>
    </w:tbl>
    <w:p w:rsidR="00FA1F07" w:rsidRDefault="00FA1F07" w:rsidP="00FA1EF3">
      <w:pPr>
        <w:pStyle w:val="BodyText"/>
      </w:pPr>
      <w:bookmarkStart w:id="25" w:name="_TOC_250040"/>
      <w:bookmarkEnd w:id="25"/>
    </w:p>
    <w:p w:rsidR="00EA1F74" w:rsidRDefault="00FC1CE8">
      <w:pPr>
        <w:pStyle w:val="Heading4"/>
        <w:spacing w:before="209"/>
      </w:pPr>
      <w:r>
        <w:rPr>
          <w:color w:val="4472C4"/>
        </w:rPr>
        <w:t>Weight, smoking and other lifestyle risks</w:t>
      </w:r>
    </w:p>
    <w:p w:rsidR="00EA1F74" w:rsidRDefault="00FC1CE8" w:rsidP="00625DA1">
      <w:pPr>
        <w:pStyle w:val="BodyText"/>
      </w:pPr>
      <w:r>
        <w:t xml:space="preserve">Identified lifestyle risks are reported in Table 14. No report systematically attempted to identify or report on the physical activity level of people whose deaths were in-scope. NSW was the only state that comprehensively considered the weight and smoking status of their sample. For people in the NSW </w:t>
      </w:r>
      <w:r>
        <w:rPr>
          <w:i/>
        </w:rPr>
        <w:t xml:space="preserve">disability services </w:t>
      </w:r>
      <w:r>
        <w:t xml:space="preserve">sample, less than half were in a healthy weight range (45.8% and 39.5% for the 2012-13 and 2014-17 respective reporting periods). For people living in </w:t>
      </w:r>
      <w:r>
        <w:rPr>
          <w:i/>
        </w:rPr>
        <w:t>assisted boarding houses</w:t>
      </w:r>
      <w:r>
        <w:t>, less than one-third were in a healthy weight range (28.6% and 27.8% across these periods). Access to dietitians was</w:t>
      </w:r>
      <w:r w:rsidR="00FA1F07">
        <w:t xml:space="preserve"> </w:t>
      </w:r>
      <w:r>
        <w:t>also noted to be limited. Weight was unknown for a significant minority, suggesting that regular monitoring of such data had not been occurring. Smoking was common among the assisted boarding house sample (NSW 12-13 &amp; 14-17).</w:t>
      </w:r>
    </w:p>
    <w:p w:rsidR="00EA1F74" w:rsidRDefault="00FC1CE8" w:rsidP="00625DA1">
      <w:pPr>
        <w:pStyle w:val="BodyText"/>
      </w:pPr>
      <w:r>
        <w:t>Table 14: Weight, smoking and other lifestyle risks</w:t>
      </w:r>
    </w:p>
    <w:tbl>
      <w:tblPr>
        <w:tblW w:w="0" w:type="auto"/>
        <w:tblInd w:w="68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1387"/>
        <w:gridCol w:w="9072"/>
      </w:tblGrid>
      <w:tr w:rsidR="00EA1F74">
        <w:trPr>
          <w:trHeight w:val="579"/>
        </w:trPr>
        <w:tc>
          <w:tcPr>
            <w:tcW w:w="1387" w:type="dxa"/>
            <w:tcBorders>
              <w:bottom w:val="single" w:sz="18" w:space="0" w:color="A5A5A5"/>
            </w:tcBorders>
          </w:tcPr>
          <w:p w:rsidR="00EA1F74" w:rsidRDefault="00FC1CE8">
            <w:pPr>
              <w:pStyle w:val="TableParagraph"/>
              <w:spacing w:before="3"/>
              <w:ind w:left="110"/>
              <w:rPr>
                <w:sz w:val="19"/>
              </w:rPr>
            </w:pPr>
            <w:r>
              <w:rPr>
                <w:w w:val="105"/>
                <w:sz w:val="19"/>
              </w:rPr>
              <w:t>Report ID</w:t>
            </w:r>
          </w:p>
        </w:tc>
        <w:tc>
          <w:tcPr>
            <w:tcW w:w="9072" w:type="dxa"/>
            <w:tcBorders>
              <w:bottom w:val="single" w:sz="18" w:space="0" w:color="A5A5A5"/>
            </w:tcBorders>
          </w:tcPr>
          <w:p w:rsidR="00EA1F74" w:rsidRDefault="00FC1CE8">
            <w:pPr>
              <w:pStyle w:val="TableParagraph"/>
              <w:spacing w:before="3"/>
              <w:ind w:left="110"/>
              <w:rPr>
                <w:sz w:val="19"/>
              </w:rPr>
            </w:pPr>
            <w:r>
              <w:rPr>
                <w:w w:val="105"/>
                <w:sz w:val="19"/>
              </w:rPr>
              <w:t>Weight, smoking and other lifestyle risks</w:t>
            </w:r>
          </w:p>
        </w:tc>
      </w:tr>
      <w:tr w:rsidR="00EA1F74" w:rsidTr="0049783C">
        <w:trPr>
          <w:trHeight w:val="579"/>
        </w:trPr>
        <w:tc>
          <w:tcPr>
            <w:tcW w:w="1387" w:type="dxa"/>
            <w:tcBorders>
              <w:top w:val="single" w:sz="18" w:space="0" w:color="A5A5A5"/>
            </w:tcBorders>
            <w:shd w:val="clear" w:color="auto" w:fill="F2F2F2" w:themeFill="background1" w:themeFillShade="F2"/>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4"/>
              <w:ind w:left="110"/>
              <w:rPr>
                <w:b/>
                <w:sz w:val="19"/>
              </w:rPr>
            </w:pPr>
            <w:r>
              <w:rPr>
                <w:b/>
                <w:w w:val="105"/>
                <w:sz w:val="19"/>
              </w:rPr>
              <w:t>17-18</w:t>
            </w:r>
          </w:p>
        </w:tc>
        <w:tc>
          <w:tcPr>
            <w:tcW w:w="9072" w:type="dxa"/>
            <w:tcBorders>
              <w:top w:val="single" w:sz="18" w:space="0" w:color="A5A5A5"/>
            </w:tcBorders>
            <w:shd w:val="clear" w:color="auto" w:fill="F2F2F2" w:themeFill="background1" w:themeFillShade="F2"/>
          </w:tcPr>
          <w:p w:rsidR="00EA1F74" w:rsidRDefault="00FC1CE8">
            <w:pPr>
              <w:pStyle w:val="TableParagraph"/>
              <w:spacing w:before="3"/>
              <w:ind w:left="110"/>
              <w:rPr>
                <w:sz w:val="19"/>
              </w:rPr>
            </w:pPr>
            <w:r>
              <w:rPr>
                <w:w w:val="105"/>
                <w:sz w:val="19"/>
              </w:rPr>
              <w:t>Not stated</w:t>
            </w:r>
          </w:p>
        </w:tc>
      </w:tr>
      <w:tr w:rsidR="00EA1F74">
        <w:trPr>
          <w:trHeight w:val="580"/>
        </w:trPr>
        <w:tc>
          <w:tcPr>
            <w:tcW w:w="1387"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5"/>
              <w:ind w:left="110"/>
              <w:rPr>
                <w:b/>
                <w:sz w:val="19"/>
              </w:rPr>
            </w:pPr>
            <w:r>
              <w:rPr>
                <w:b/>
                <w:w w:val="105"/>
                <w:sz w:val="19"/>
              </w:rPr>
              <w:t>07-16</w:t>
            </w:r>
          </w:p>
        </w:tc>
        <w:tc>
          <w:tcPr>
            <w:tcW w:w="9072" w:type="dxa"/>
          </w:tcPr>
          <w:p w:rsidR="00EA1F74" w:rsidRDefault="00FC1CE8">
            <w:pPr>
              <w:pStyle w:val="TableParagraph"/>
              <w:spacing w:before="3"/>
              <w:ind w:left="110"/>
              <w:rPr>
                <w:sz w:val="19"/>
              </w:rPr>
            </w:pPr>
            <w:r>
              <w:rPr>
                <w:w w:val="105"/>
                <w:sz w:val="19"/>
              </w:rPr>
              <w:t>Not stated</w:t>
            </w:r>
          </w:p>
        </w:tc>
      </w:tr>
      <w:tr w:rsidR="00EA1F74" w:rsidTr="0049783C">
        <w:trPr>
          <w:trHeight w:val="580"/>
        </w:trPr>
        <w:tc>
          <w:tcPr>
            <w:tcW w:w="1387" w:type="dxa"/>
            <w:shd w:val="clear" w:color="auto" w:fill="F2F2F2" w:themeFill="background1" w:themeFillShade="F2"/>
          </w:tcPr>
          <w:p w:rsidR="00EA1F74" w:rsidRDefault="00FC1CE8">
            <w:pPr>
              <w:pStyle w:val="TableParagraph"/>
              <w:spacing w:before="3"/>
              <w:ind w:left="110"/>
              <w:rPr>
                <w:b/>
                <w:sz w:val="19"/>
              </w:rPr>
            </w:pPr>
            <w:r>
              <w:rPr>
                <w:b/>
                <w:w w:val="105"/>
                <w:sz w:val="19"/>
              </w:rPr>
              <w:t>QLD</w:t>
            </w:r>
          </w:p>
          <w:p w:rsidR="00EA1F74" w:rsidRDefault="00FC1CE8">
            <w:pPr>
              <w:pStyle w:val="TableParagraph"/>
              <w:spacing w:before="75"/>
              <w:ind w:left="110"/>
              <w:rPr>
                <w:b/>
                <w:sz w:val="19"/>
              </w:rPr>
            </w:pPr>
            <w:r>
              <w:rPr>
                <w:b/>
                <w:w w:val="105"/>
                <w:sz w:val="19"/>
              </w:rPr>
              <w:t>09-14</w:t>
            </w:r>
          </w:p>
        </w:tc>
        <w:tc>
          <w:tcPr>
            <w:tcW w:w="9072" w:type="dxa"/>
            <w:shd w:val="clear" w:color="auto" w:fill="F2F2F2" w:themeFill="background1" w:themeFillShade="F2"/>
          </w:tcPr>
          <w:p w:rsidR="00EA1F74" w:rsidRDefault="00FC1CE8">
            <w:pPr>
              <w:pStyle w:val="TableParagraph"/>
              <w:spacing w:before="3"/>
              <w:ind w:left="110"/>
              <w:rPr>
                <w:sz w:val="19"/>
              </w:rPr>
            </w:pPr>
            <w:r>
              <w:rPr>
                <w:w w:val="105"/>
                <w:sz w:val="19"/>
              </w:rPr>
              <w:t>Not stated</w:t>
            </w:r>
          </w:p>
        </w:tc>
      </w:tr>
      <w:tr w:rsidR="00EA1F74">
        <w:trPr>
          <w:trHeight w:val="260"/>
        </w:trPr>
        <w:tc>
          <w:tcPr>
            <w:tcW w:w="1387" w:type="dxa"/>
            <w:tcBorders>
              <w:bottom w:val="nil"/>
            </w:tcBorders>
          </w:tcPr>
          <w:p w:rsidR="00EA1F74" w:rsidRDefault="00FC1CE8">
            <w:pPr>
              <w:pStyle w:val="TableParagraph"/>
              <w:spacing w:before="3"/>
              <w:ind w:left="110"/>
              <w:rPr>
                <w:b/>
                <w:sz w:val="19"/>
              </w:rPr>
            </w:pPr>
            <w:r>
              <w:rPr>
                <w:b/>
                <w:w w:val="105"/>
                <w:sz w:val="19"/>
              </w:rPr>
              <w:t>NSW</w:t>
            </w:r>
          </w:p>
        </w:tc>
        <w:tc>
          <w:tcPr>
            <w:tcW w:w="9072" w:type="dxa"/>
            <w:tcBorders>
              <w:bottom w:val="nil"/>
            </w:tcBorders>
          </w:tcPr>
          <w:p w:rsidR="00EA1F74" w:rsidRDefault="00FC1CE8">
            <w:pPr>
              <w:pStyle w:val="TableParagraph"/>
              <w:spacing w:before="3"/>
              <w:ind w:left="110"/>
              <w:rPr>
                <w:b/>
                <w:sz w:val="19"/>
              </w:rPr>
            </w:pPr>
            <w:r>
              <w:rPr>
                <w:b/>
                <w:w w:val="105"/>
                <w:sz w:val="19"/>
              </w:rPr>
              <w:t>Weight status:</w:t>
            </w:r>
          </w:p>
        </w:tc>
      </w:tr>
      <w:tr w:rsidR="00EA1F74">
        <w:trPr>
          <w:trHeight w:val="290"/>
        </w:trPr>
        <w:tc>
          <w:tcPr>
            <w:tcW w:w="1387" w:type="dxa"/>
            <w:tcBorders>
              <w:top w:val="nil"/>
              <w:bottom w:val="nil"/>
            </w:tcBorders>
          </w:tcPr>
          <w:p w:rsidR="00EA1F74" w:rsidRDefault="00FC1CE8">
            <w:pPr>
              <w:pStyle w:val="TableParagraph"/>
              <w:spacing w:before="36"/>
              <w:ind w:left="110"/>
              <w:rPr>
                <w:b/>
                <w:sz w:val="19"/>
              </w:rPr>
            </w:pPr>
            <w:r>
              <w:rPr>
                <w:b/>
                <w:w w:val="105"/>
                <w:sz w:val="19"/>
              </w:rPr>
              <w:t>12-13</w:t>
            </w:r>
          </w:p>
        </w:tc>
        <w:tc>
          <w:tcPr>
            <w:tcW w:w="9072" w:type="dxa"/>
            <w:tcBorders>
              <w:top w:val="nil"/>
              <w:bottom w:val="nil"/>
            </w:tcBorders>
          </w:tcPr>
          <w:p w:rsidR="00EA1F74" w:rsidRDefault="00EA1F74">
            <w:pPr>
              <w:pStyle w:val="TableParagraph"/>
              <w:rPr>
                <w:rFonts w:ascii="Times New Roman"/>
                <w:sz w:val="20"/>
              </w:rPr>
            </w:pPr>
          </w:p>
        </w:tc>
      </w:tr>
      <w:tr w:rsidR="00EA1F74">
        <w:trPr>
          <w:trHeight w:val="295"/>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spacing w:before="34"/>
              <w:ind w:left="110"/>
              <w:rPr>
                <w:i/>
                <w:sz w:val="19"/>
              </w:rPr>
            </w:pPr>
            <w:r>
              <w:rPr>
                <w:i/>
                <w:w w:val="105"/>
                <w:sz w:val="19"/>
              </w:rPr>
              <w:t>Less than half (45.8%) of the disability services sample were in a healthy weight range:</w:t>
            </w:r>
          </w:p>
        </w:tc>
      </w:tr>
      <w:tr w:rsidR="00EA1F74">
        <w:trPr>
          <w:trHeight w:val="1609"/>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numPr>
                <w:ilvl w:val="0"/>
                <w:numId w:val="61"/>
              </w:numPr>
              <w:tabs>
                <w:tab w:val="left" w:pos="467"/>
                <w:tab w:val="left" w:pos="468"/>
              </w:tabs>
              <w:spacing w:before="28"/>
              <w:ind w:hanging="358"/>
              <w:rPr>
                <w:sz w:val="19"/>
              </w:rPr>
            </w:pPr>
            <w:r>
              <w:rPr>
                <w:w w:val="105"/>
                <w:sz w:val="19"/>
              </w:rPr>
              <w:t>9.8% were very</w:t>
            </w:r>
            <w:r>
              <w:rPr>
                <w:spacing w:val="4"/>
                <w:w w:val="105"/>
                <w:sz w:val="19"/>
              </w:rPr>
              <w:t xml:space="preserve"> </w:t>
            </w:r>
            <w:r>
              <w:rPr>
                <w:w w:val="105"/>
                <w:sz w:val="19"/>
              </w:rPr>
              <w:t>underweight</w:t>
            </w:r>
          </w:p>
          <w:p w:rsidR="00EA1F74" w:rsidRDefault="00FC1CE8">
            <w:pPr>
              <w:pStyle w:val="TableParagraph"/>
              <w:numPr>
                <w:ilvl w:val="0"/>
                <w:numId w:val="61"/>
              </w:numPr>
              <w:tabs>
                <w:tab w:val="left" w:pos="467"/>
                <w:tab w:val="left" w:pos="468"/>
              </w:tabs>
              <w:spacing w:before="12"/>
              <w:ind w:hanging="358"/>
              <w:rPr>
                <w:sz w:val="19"/>
              </w:rPr>
            </w:pPr>
            <w:r>
              <w:rPr>
                <w:w w:val="105"/>
                <w:sz w:val="19"/>
              </w:rPr>
              <w:t>7.1% were</w:t>
            </w:r>
            <w:r>
              <w:rPr>
                <w:spacing w:val="-6"/>
                <w:w w:val="105"/>
                <w:sz w:val="19"/>
              </w:rPr>
              <w:t xml:space="preserve"> </w:t>
            </w:r>
            <w:r>
              <w:rPr>
                <w:w w:val="105"/>
                <w:sz w:val="19"/>
              </w:rPr>
              <w:t>underweight</w:t>
            </w:r>
          </w:p>
          <w:p w:rsidR="00EA1F74" w:rsidRDefault="00FC1CE8">
            <w:pPr>
              <w:pStyle w:val="TableParagraph"/>
              <w:numPr>
                <w:ilvl w:val="0"/>
                <w:numId w:val="61"/>
              </w:numPr>
              <w:tabs>
                <w:tab w:val="left" w:pos="467"/>
                <w:tab w:val="left" w:pos="468"/>
              </w:tabs>
              <w:spacing w:before="12"/>
              <w:ind w:hanging="358"/>
              <w:rPr>
                <w:sz w:val="19"/>
              </w:rPr>
            </w:pPr>
            <w:r>
              <w:rPr>
                <w:w w:val="105"/>
                <w:sz w:val="19"/>
              </w:rPr>
              <w:t>17.8% were</w:t>
            </w:r>
            <w:r>
              <w:rPr>
                <w:spacing w:val="-6"/>
                <w:w w:val="105"/>
                <w:sz w:val="19"/>
              </w:rPr>
              <w:t xml:space="preserve"> </w:t>
            </w:r>
            <w:r>
              <w:rPr>
                <w:w w:val="105"/>
                <w:sz w:val="19"/>
              </w:rPr>
              <w:t>overweight</w:t>
            </w:r>
          </w:p>
          <w:p w:rsidR="00EA1F74" w:rsidRDefault="00FC1CE8">
            <w:pPr>
              <w:pStyle w:val="TableParagraph"/>
              <w:numPr>
                <w:ilvl w:val="0"/>
                <w:numId w:val="61"/>
              </w:numPr>
              <w:tabs>
                <w:tab w:val="left" w:pos="467"/>
                <w:tab w:val="left" w:pos="468"/>
              </w:tabs>
              <w:spacing w:before="12"/>
              <w:ind w:hanging="358"/>
              <w:rPr>
                <w:sz w:val="19"/>
              </w:rPr>
            </w:pPr>
            <w:r>
              <w:rPr>
                <w:w w:val="105"/>
                <w:sz w:val="19"/>
              </w:rPr>
              <w:t>9.8% were</w:t>
            </w:r>
            <w:r>
              <w:rPr>
                <w:spacing w:val="3"/>
                <w:w w:val="105"/>
                <w:sz w:val="19"/>
              </w:rPr>
              <w:t xml:space="preserve"> </w:t>
            </w:r>
            <w:r>
              <w:rPr>
                <w:w w:val="105"/>
                <w:sz w:val="19"/>
              </w:rPr>
              <w:t>obese.</w:t>
            </w:r>
          </w:p>
          <w:p w:rsidR="00EA1F74" w:rsidRDefault="00FC1CE8">
            <w:pPr>
              <w:pStyle w:val="TableParagraph"/>
              <w:numPr>
                <w:ilvl w:val="0"/>
                <w:numId w:val="61"/>
              </w:numPr>
              <w:tabs>
                <w:tab w:val="left" w:pos="467"/>
                <w:tab w:val="left" w:pos="468"/>
              </w:tabs>
              <w:spacing w:before="7"/>
              <w:ind w:hanging="358"/>
              <w:rPr>
                <w:sz w:val="19"/>
              </w:rPr>
            </w:pPr>
            <w:r>
              <w:rPr>
                <w:w w:val="105"/>
                <w:sz w:val="19"/>
              </w:rPr>
              <w:t>9.3% were severely</w:t>
            </w:r>
            <w:r>
              <w:rPr>
                <w:spacing w:val="4"/>
                <w:w w:val="105"/>
                <w:sz w:val="19"/>
              </w:rPr>
              <w:t xml:space="preserve"> </w:t>
            </w:r>
            <w:r>
              <w:rPr>
                <w:w w:val="105"/>
                <w:sz w:val="19"/>
              </w:rPr>
              <w:t>obese</w:t>
            </w:r>
          </w:p>
          <w:p w:rsidR="00EA1F74" w:rsidRDefault="00FC1CE8">
            <w:pPr>
              <w:pStyle w:val="TableParagraph"/>
              <w:numPr>
                <w:ilvl w:val="0"/>
                <w:numId w:val="61"/>
              </w:numPr>
              <w:tabs>
                <w:tab w:val="left" w:pos="467"/>
                <w:tab w:val="left" w:pos="468"/>
              </w:tabs>
              <w:spacing w:before="12"/>
              <w:ind w:hanging="358"/>
              <w:rPr>
                <w:sz w:val="19"/>
              </w:rPr>
            </w:pPr>
            <w:r>
              <w:rPr>
                <w:w w:val="105"/>
                <w:sz w:val="19"/>
              </w:rPr>
              <w:t>4% had an unknown</w:t>
            </w:r>
            <w:r>
              <w:rPr>
                <w:spacing w:val="5"/>
                <w:w w:val="105"/>
                <w:sz w:val="19"/>
              </w:rPr>
              <w:t xml:space="preserve"> </w:t>
            </w:r>
            <w:r>
              <w:rPr>
                <w:w w:val="105"/>
                <w:sz w:val="19"/>
              </w:rPr>
              <w:t>weight.</w:t>
            </w:r>
          </w:p>
        </w:tc>
      </w:tr>
      <w:tr w:rsidR="00EA1F74">
        <w:trPr>
          <w:trHeight w:val="603"/>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spacing w:before="112" w:line="252" w:lineRule="auto"/>
              <w:ind w:left="110" w:right="101"/>
              <w:rPr>
                <w:i/>
                <w:sz w:val="19"/>
              </w:rPr>
            </w:pPr>
            <w:r>
              <w:rPr>
                <w:i/>
                <w:w w:val="105"/>
                <w:sz w:val="19"/>
              </w:rPr>
              <w:t>Less than one-third (28.6%) of the assisted boarding house sample were in the healthy weight range:</w:t>
            </w:r>
          </w:p>
        </w:tc>
      </w:tr>
      <w:tr w:rsidR="00EA1F74">
        <w:trPr>
          <w:trHeight w:val="1638"/>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numPr>
                <w:ilvl w:val="0"/>
                <w:numId w:val="60"/>
              </w:numPr>
              <w:tabs>
                <w:tab w:val="left" w:pos="467"/>
                <w:tab w:val="left" w:pos="468"/>
              </w:tabs>
              <w:spacing w:before="28"/>
              <w:ind w:hanging="358"/>
              <w:rPr>
                <w:sz w:val="19"/>
              </w:rPr>
            </w:pPr>
            <w:r>
              <w:rPr>
                <w:w w:val="105"/>
                <w:sz w:val="19"/>
              </w:rPr>
              <w:t>57.1% were overweight, obese or severely</w:t>
            </w:r>
            <w:r>
              <w:rPr>
                <w:spacing w:val="5"/>
                <w:w w:val="105"/>
                <w:sz w:val="19"/>
              </w:rPr>
              <w:t xml:space="preserve"> </w:t>
            </w:r>
            <w:r>
              <w:rPr>
                <w:w w:val="105"/>
                <w:sz w:val="19"/>
              </w:rPr>
              <w:t>obese.</w:t>
            </w:r>
          </w:p>
          <w:p w:rsidR="00EA1F74" w:rsidRDefault="00FC1CE8">
            <w:pPr>
              <w:pStyle w:val="TableParagraph"/>
              <w:numPr>
                <w:ilvl w:val="0"/>
                <w:numId w:val="60"/>
              </w:numPr>
              <w:tabs>
                <w:tab w:val="left" w:pos="467"/>
                <w:tab w:val="left" w:pos="468"/>
              </w:tabs>
              <w:spacing w:before="12"/>
              <w:ind w:hanging="358"/>
              <w:rPr>
                <w:sz w:val="19"/>
              </w:rPr>
            </w:pPr>
            <w:r>
              <w:rPr>
                <w:w w:val="105"/>
                <w:sz w:val="19"/>
              </w:rPr>
              <w:t>None were very underweight or</w:t>
            </w:r>
            <w:r>
              <w:rPr>
                <w:spacing w:val="4"/>
                <w:w w:val="105"/>
                <w:sz w:val="19"/>
              </w:rPr>
              <w:t xml:space="preserve"> </w:t>
            </w:r>
            <w:r>
              <w:rPr>
                <w:w w:val="105"/>
                <w:sz w:val="19"/>
              </w:rPr>
              <w:t>underweight</w:t>
            </w:r>
          </w:p>
          <w:p w:rsidR="00EA1F74" w:rsidRDefault="00FC1CE8">
            <w:pPr>
              <w:pStyle w:val="TableParagraph"/>
              <w:numPr>
                <w:ilvl w:val="0"/>
                <w:numId w:val="60"/>
              </w:numPr>
              <w:tabs>
                <w:tab w:val="left" w:pos="467"/>
                <w:tab w:val="left" w:pos="468"/>
              </w:tabs>
              <w:spacing w:before="7"/>
              <w:ind w:hanging="358"/>
              <w:rPr>
                <w:sz w:val="19"/>
              </w:rPr>
            </w:pPr>
            <w:r>
              <w:rPr>
                <w:w w:val="105"/>
                <w:sz w:val="19"/>
              </w:rPr>
              <w:t>21.4% were</w:t>
            </w:r>
            <w:r>
              <w:rPr>
                <w:spacing w:val="3"/>
                <w:w w:val="105"/>
                <w:sz w:val="19"/>
              </w:rPr>
              <w:t xml:space="preserve"> </w:t>
            </w:r>
            <w:r>
              <w:rPr>
                <w:w w:val="105"/>
                <w:sz w:val="19"/>
              </w:rPr>
              <w:t>overweight</w:t>
            </w:r>
          </w:p>
          <w:p w:rsidR="00EA1F74" w:rsidRDefault="00FC1CE8">
            <w:pPr>
              <w:pStyle w:val="TableParagraph"/>
              <w:numPr>
                <w:ilvl w:val="0"/>
                <w:numId w:val="60"/>
              </w:numPr>
              <w:tabs>
                <w:tab w:val="left" w:pos="467"/>
                <w:tab w:val="left" w:pos="468"/>
              </w:tabs>
              <w:spacing w:before="12"/>
              <w:ind w:hanging="358"/>
              <w:rPr>
                <w:sz w:val="19"/>
              </w:rPr>
            </w:pPr>
            <w:r>
              <w:rPr>
                <w:w w:val="105"/>
                <w:sz w:val="19"/>
              </w:rPr>
              <w:t>7.1% were</w:t>
            </w:r>
            <w:r>
              <w:rPr>
                <w:spacing w:val="3"/>
                <w:w w:val="105"/>
                <w:sz w:val="19"/>
              </w:rPr>
              <w:t xml:space="preserve"> </w:t>
            </w:r>
            <w:r>
              <w:rPr>
                <w:w w:val="105"/>
                <w:sz w:val="19"/>
              </w:rPr>
              <w:t>obese</w:t>
            </w:r>
          </w:p>
          <w:p w:rsidR="00EA1F74" w:rsidRDefault="00FC1CE8">
            <w:pPr>
              <w:pStyle w:val="TableParagraph"/>
              <w:numPr>
                <w:ilvl w:val="0"/>
                <w:numId w:val="60"/>
              </w:numPr>
              <w:tabs>
                <w:tab w:val="left" w:pos="467"/>
                <w:tab w:val="left" w:pos="468"/>
              </w:tabs>
              <w:spacing w:before="12"/>
              <w:ind w:hanging="358"/>
              <w:rPr>
                <w:sz w:val="19"/>
              </w:rPr>
            </w:pPr>
            <w:r>
              <w:rPr>
                <w:w w:val="105"/>
                <w:sz w:val="19"/>
              </w:rPr>
              <w:t>28.6% were severely</w:t>
            </w:r>
            <w:r>
              <w:rPr>
                <w:spacing w:val="4"/>
                <w:w w:val="105"/>
                <w:sz w:val="19"/>
              </w:rPr>
              <w:t xml:space="preserve"> </w:t>
            </w:r>
            <w:r>
              <w:rPr>
                <w:w w:val="105"/>
                <w:sz w:val="19"/>
              </w:rPr>
              <w:t>obese</w:t>
            </w:r>
          </w:p>
          <w:p w:rsidR="00EA1F74" w:rsidRDefault="00FC1CE8">
            <w:pPr>
              <w:pStyle w:val="TableParagraph"/>
              <w:numPr>
                <w:ilvl w:val="0"/>
                <w:numId w:val="60"/>
              </w:numPr>
              <w:tabs>
                <w:tab w:val="left" w:pos="467"/>
                <w:tab w:val="left" w:pos="468"/>
              </w:tabs>
              <w:spacing w:before="12"/>
              <w:ind w:hanging="358"/>
              <w:rPr>
                <w:sz w:val="19"/>
              </w:rPr>
            </w:pPr>
            <w:r>
              <w:rPr>
                <w:w w:val="105"/>
                <w:sz w:val="19"/>
              </w:rPr>
              <w:t>14.3% had an unknown</w:t>
            </w:r>
            <w:r>
              <w:rPr>
                <w:spacing w:val="5"/>
                <w:w w:val="105"/>
                <w:sz w:val="19"/>
              </w:rPr>
              <w:t xml:space="preserve"> </w:t>
            </w:r>
            <w:r>
              <w:rPr>
                <w:w w:val="105"/>
                <w:sz w:val="19"/>
              </w:rPr>
              <w:t>weight.</w:t>
            </w:r>
          </w:p>
        </w:tc>
      </w:tr>
      <w:tr w:rsidR="00EA1F74">
        <w:trPr>
          <w:trHeight w:val="999"/>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spacing w:before="140" w:line="252" w:lineRule="auto"/>
              <w:ind w:left="110" w:right="101"/>
              <w:jc w:val="both"/>
              <w:rPr>
                <w:sz w:val="19"/>
              </w:rPr>
            </w:pPr>
            <w:r>
              <w:rPr>
                <w:i/>
                <w:w w:val="105"/>
                <w:sz w:val="19"/>
              </w:rPr>
              <w:t xml:space="preserve">Access to dietetic support: </w:t>
            </w:r>
            <w:r>
              <w:rPr>
                <w:w w:val="105"/>
                <w:sz w:val="19"/>
              </w:rPr>
              <w:t>Of the eight people in assisted boarding houses who were outside of the healthy weight range, only one person had seen a dietitian. The person had seen the dietician in the year before they died.</w:t>
            </w:r>
          </w:p>
        </w:tc>
      </w:tr>
      <w:tr w:rsidR="00EA1F74">
        <w:trPr>
          <w:trHeight w:val="441"/>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spacing w:before="178"/>
              <w:ind w:left="110"/>
              <w:rPr>
                <w:b/>
                <w:sz w:val="19"/>
              </w:rPr>
            </w:pPr>
            <w:r>
              <w:rPr>
                <w:b/>
                <w:w w:val="105"/>
                <w:sz w:val="19"/>
              </w:rPr>
              <w:t>Smoking:</w:t>
            </w:r>
          </w:p>
        </w:tc>
      </w:tr>
      <w:tr w:rsidR="00EA1F74">
        <w:trPr>
          <w:trHeight w:val="504"/>
        </w:trPr>
        <w:tc>
          <w:tcPr>
            <w:tcW w:w="1387" w:type="dxa"/>
            <w:tcBorders>
              <w:top w:val="nil"/>
              <w:bottom w:val="nil"/>
            </w:tcBorders>
          </w:tcPr>
          <w:p w:rsidR="00EA1F74" w:rsidRDefault="00EA1F74">
            <w:pPr>
              <w:pStyle w:val="TableParagraph"/>
              <w:rPr>
                <w:rFonts w:ascii="Times New Roman"/>
                <w:sz w:val="20"/>
              </w:rPr>
            </w:pPr>
          </w:p>
        </w:tc>
        <w:tc>
          <w:tcPr>
            <w:tcW w:w="9072" w:type="dxa"/>
            <w:tcBorders>
              <w:top w:val="nil"/>
              <w:bottom w:val="nil"/>
            </w:tcBorders>
          </w:tcPr>
          <w:p w:rsidR="00EA1F74" w:rsidRDefault="00FC1CE8">
            <w:pPr>
              <w:pStyle w:val="TableParagraph"/>
              <w:numPr>
                <w:ilvl w:val="0"/>
                <w:numId w:val="59"/>
              </w:numPr>
              <w:tabs>
                <w:tab w:val="left" w:pos="470"/>
                <w:tab w:val="left" w:pos="471"/>
              </w:tabs>
              <w:spacing w:before="31" w:line="230" w:lineRule="atLeast"/>
              <w:ind w:right="330"/>
              <w:rPr>
                <w:sz w:val="19"/>
              </w:rPr>
            </w:pPr>
            <w:r>
              <w:rPr>
                <w:w w:val="105"/>
                <w:sz w:val="19"/>
              </w:rPr>
              <w:t xml:space="preserve">86% of </w:t>
            </w:r>
            <w:r>
              <w:rPr>
                <w:i/>
                <w:w w:val="105"/>
                <w:sz w:val="19"/>
              </w:rPr>
              <w:t xml:space="preserve">assisted boarding house </w:t>
            </w:r>
            <w:r>
              <w:rPr>
                <w:w w:val="105"/>
                <w:sz w:val="19"/>
              </w:rPr>
              <w:t>residents had smoked, and most (79%) were still smokers at the time of their</w:t>
            </w:r>
            <w:r>
              <w:rPr>
                <w:spacing w:val="2"/>
                <w:w w:val="105"/>
                <w:sz w:val="19"/>
              </w:rPr>
              <w:t xml:space="preserve"> </w:t>
            </w:r>
            <w:r>
              <w:rPr>
                <w:w w:val="105"/>
                <w:sz w:val="19"/>
              </w:rPr>
              <w:t>death.</w:t>
            </w:r>
          </w:p>
        </w:tc>
      </w:tr>
      <w:tr w:rsidR="00EA1F74">
        <w:trPr>
          <w:trHeight w:val="759"/>
        </w:trPr>
        <w:tc>
          <w:tcPr>
            <w:tcW w:w="1387" w:type="dxa"/>
            <w:tcBorders>
              <w:top w:val="nil"/>
            </w:tcBorders>
          </w:tcPr>
          <w:p w:rsidR="00EA1F74" w:rsidRDefault="00EA1F74">
            <w:pPr>
              <w:pStyle w:val="TableParagraph"/>
              <w:rPr>
                <w:rFonts w:ascii="Times New Roman"/>
                <w:sz w:val="20"/>
              </w:rPr>
            </w:pPr>
          </w:p>
        </w:tc>
        <w:tc>
          <w:tcPr>
            <w:tcW w:w="9072" w:type="dxa"/>
            <w:tcBorders>
              <w:top w:val="nil"/>
            </w:tcBorders>
          </w:tcPr>
          <w:p w:rsidR="00EA1F74" w:rsidRDefault="00FC1CE8">
            <w:pPr>
              <w:pStyle w:val="TableParagraph"/>
              <w:numPr>
                <w:ilvl w:val="0"/>
                <w:numId w:val="58"/>
              </w:numPr>
              <w:tabs>
                <w:tab w:val="left" w:pos="470"/>
                <w:tab w:val="left" w:pos="471"/>
              </w:tabs>
              <w:spacing w:line="249" w:lineRule="auto"/>
              <w:ind w:right="519"/>
              <w:rPr>
                <w:sz w:val="19"/>
              </w:rPr>
            </w:pPr>
            <w:r>
              <w:rPr>
                <w:w w:val="105"/>
                <w:sz w:val="19"/>
              </w:rPr>
              <w:t xml:space="preserve">15% of the </w:t>
            </w:r>
            <w:r>
              <w:rPr>
                <w:i/>
                <w:w w:val="105"/>
                <w:sz w:val="19"/>
              </w:rPr>
              <w:t xml:space="preserve">disability services sample </w:t>
            </w:r>
            <w:r>
              <w:rPr>
                <w:w w:val="105"/>
                <w:sz w:val="19"/>
              </w:rPr>
              <w:t>had smoked, and 9% were still smokers at the time of their death.</w:t>
            </w:r>
          </w:p>
        </w:tc>
      </w:tr>
      <w:tr w:rsidR="00EA1F74" w:rsidTr="0049783C">
        <w:trPr>
          <w:trHeight w:val="1597"/>
        </w:trPr>
        <w:tc>
          <w:tcPr>
            <w:tcW w:w="1387" w:type="dxa"/>
            <w:shd w:val="clear" w:color="auto" w:fill="F2F2F2" w:themeFill="background1" w:themeFillShade="F2"/>
          </w:tcPr>
          <w:p w:rsidR="00EA1F74" w:rsidRDefault="00FC1CE8">
            <w:pPr>
              <w:pStyle w:val="TableParagraph"/>
              <w:spacing w:before="3"/>
              <w:ind w:left="110"/>
              <w:rPr>
                <w:b/>
                <w:sz w:val="19"/>
              </w:rPr>
            </w:pPr>
            <w:r>
              <w:rPr>
                <w:b/>
                <w:w w:val="105"/>
                <w:sz w:val="19"/>
              </w:rPr>
              <w:t>NSW 14-17</w:t>
            </w:r>
          </w:p>
        </w:tc>
        <w:tc>
          <w:tcPr>
            <w:tcW w:w="9072" w:type="dxa"/>
            <w:shd w:val="clear" w:color="auto" w:fill="F2F2F2" w:themeFill="background1" w:themeFillShade="F2"/>
          </w:tcPr>
          <w:p w:rsidR="00EA1F74" w:rsidRDefault="00FC1CE8">
            <w:pPr>
              <w:pStyle w:val="TableParagraph"/>
              <w:spacing w:before="3"/>
              <w:ind w:left="110"/>
              <w:rPr>
                <w:sz w:val="19"/>
              </w:rPr>
            </w:pPr>
            <w:r>
              <w:rPr>
                <w:b/>
                <w:w w:val="105"/>
                <w:sz w:val="19"/>
              </w:rPr>
              <w:t xml:space="preserve">Weight status: </w:t>
            </w:r>
            <w:r>
              <w:rPr>
                <w:w w:val="105"/>
                <w:sz w:val="19"/>
              </w:rPr>
              <w:t>For the period of 2014-2017:</w:t>
            </w:r>
          </w:p>
          <w:p w:rsidR="00EA1F74" w:rsidRDefault="00EA1F74">
            <w:pPr>
              <w:pStyle w:val="TableParagraph"/>
              <w:spacing w:before="1"/>
              <w:rPr>
                <w:sz w:val="31"/>
              </w:rPr>
            </w:pPr>
          </w:p>
          <w:p w:rsidR="00EA1F74" w:rsidRDefault="00FC1CE8">
            <w:pPr>
              <w:pStyle w:val="TableParagraph"/>
              <w:spacing w:before="1"/>
              <w:ind w:left="110"/>
              <w:rPr>
                <w:i/>
                <w:sz w:val="19"/>
              </w:rPr>
            </w:pPr>
            <w:r>
              <w:rPr>
                <w:i/>
                <w:w w:val="105"/>
                <w:sz w:val="19"/>
              </w:rPr>
              <w:t>Less than half (39.5%) of the disability services sample were in a healthy weight range:</w:t>
            </w:r>
          </w:p>
          <w:p w:rsidR="00EA1F74" w:rsidRDefault="00FC1CE8">
            <w:pPr>
              <w:pStyle w:val="TableParagraph"/>
              <w:numPr>
                <w:ilvl w:val="0"/>
                <w:numId w:val="57"/>
              </w:numPr>
              <w:tabs>
                <w:tab w:val="left" w:pos="467"/>
                <w:tab w:val="left" w:pos="468"/>
              </w:tabs>
              <w:spacing w:before="75"/>
              <w:ind w:hanging="358"/>
              <w:rPr>
                <w:sz w:val="19"/>
              </w:rPr>
            </w:pPr>
            <w:r>
              <w:rPr>
                <w:w w:val="105"/>
                <w:sz w:val="19"/>
              </w:rPr>
              <w:t>9.7% were severely</w:t>
            </w:r>
            <w:r>
              <w:rPr>
                <w:spacing w:val="4"/>
                <w:w w:val="105"/>
                <w:sz w:val="19"/>
              </w:rPr>
              <w:t xml:space="preserve"> </w:t>
            </w:r>
            <w:r>
              <w:rPr>
                <w:w w:val="105"/>
                <w:sz w:val="19"/>
              </w:rPr>
              <w:t>underweight</w:t>
            </w:r>
          </w:p>
          <w:p w:rsidR="00EA1F74" w:rsidRDefault="00FC1CE8">
            <w:pPr>
              <w:pStyle w:val="TableParagraph"/>
              <w:numPr>
                <w:ilvl w:val="0"/>
                <w:numId w:val="57"/>
              </w:numPr>
              <w:tabs>
                <w:tab w:val="left" w:pos="467"/>
                <w:tab w:val="left" w:pos="468"/>
              </w:tabs>
              <w:spacing w:before="12"/>
              <w:ind w:hanging="358"/>
              <w:rPr>
                <w:sz w:val="19"/>
              </w:rPr>
            </w:pPr>
            <w:r>
              <w:rPr>
                <w:w w:val="105"/>
                <w:sz w:val="19"/>
              </w:rPr>
              <w:t>5.9% were</w:t>
            </w:r>
            <w:r>
              <w:rPr>
                <w:spacing w:val="-6"/>
                <w:w w:val="105"/>
                <w:sz w:val="19"/>
              </w:rPr>
              <w:t xml:space="preserve"> </w:t>
            </w:r>
            <w:r>
              <w:rPr>
                <w:w w:val="105"/>
                <w:sz w:val="19"/>
              </w:rPr>
              <w:t>underweight</w:t>
            </w:r>
          </w:p>
          <w:p w:rsidR="00EA1F74" w:rsidRDefault="00FC1CE8">
            <w:pPr>
              <w:pStyle w:val="TableParagraph"/>
              <w:numPr>
                <w:ilvl w:val="0"/>
                <w:numId w:val="57"/>
              </w:numPr>
              <w:tabs>
                <w:tab w:val="left" w:pos="467"/>
                <w:tab w:val="left" w:pos="468"/>
              </w:tabs>
              <w:spacing w:before="8" w:line="219" w:lineRule="exact"/>
              <w:ind w:hanging="358"/>
              <w:rPr>
                <w:sz w:val="19"/>
              </w:rPr>
            </w:pPr>
            <w:r>
              <w:rPr>
                <w:w w:val="105"/>
                <w:sz w:val="19"/>
              </w:rPr>
              <w:t>21.2% were</w:t>
            </w:r>
            <w:r>
              <w:rPr>
                <w:spacing w:val="-6"/>
                <w:w w:val="105"/>
                <w:sz w:val="19"/>
              </w:rPr>
              <w:t xml:space="preserve"> </w:t>
            </w:r>
            <w:r>
              <w:rPr>
                <w:w w:val="105"/>
                <w:sz w:val="19"/>
              </w:rPr>
              <w:t>overweight</w:t>
            </w:r>
          </w:p>
        </w:tc>
      </w:tr>
    </w:tbl>
    <w:p w:rsidR="00EA1F74" w:rsidRDefault="00EA1F74">
      <w:pPr>
        <w:spacing w:line="219" w:lineRule="exact"/>
        <w:rPr>
          <w:sz w:val="19"/>
        </w:rPr>
        <w:sectPr w:rsidR="00EA1F74" w:rsidSect="00FA5D6D">
          <w:pgSz w:w="11900" w:h="16840"/>
          <w:pgMar w:top="1600" w:right="260" w:bottom="1460" w:left="140" w:header="0" w:footer="567" w:gutter="0"/>
          <w:cols w:space="720"/>
          <w:docGrid w:linePitch="299"/>
        </w:sectPr>
      </w:pPr>
    </w:p>
    <w:p w:rsidR="00EA1F74" w:rsidRDefault="0096260D" w:rsidP="00625DA1">
      <w:pPr>
        <w:pStyle w:val="BodyText"/>
      </w:pPr>
      <w:r>
        <w:rPr>
          <w:noProof/>
          <w:lang w:val="en-AU" w:eastAsia="en-AU"/>
        </w:rPr>
        <mc:AlternateContent>
          <mc:Choice Requires="wps">
            <w:drawing>
              <wp:inline distT="0" distB="0" distL="0" distR="0">
                <wp:extent cx="6567054" cy="4045527"/>
                <wp:effectExtent l="0" t="0" r="24765" b="12700"/>
                <wp:docPr id="12" name="Text Box 8" descr="NSW weight status" title="NSW weight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054" cy="4045527"/>
                        </a:xfrm>
                        <a:prstGeom prst="rect">
                          <a:avLst/>
                        </a:prstGeom>
                        <a:solidFill>
                          <a:schemeClr val="bg1">
                            <a:lumMod val="95000"/>
                          </a:schemeClr>
                        </a:solidFill>
                        <a:ln w="12192">
                          <a:solidFill>
                            <a:srgbClr val="A5A5A5"/>
                          </a:solidFill>
                          <a:prstDash val="solid"/>
                          <a:miter lim="800000"/>
                          <a:headEnd/>
                          <a:tailEnd/>
                        </a:ln>
                      </wps:spPr>
                      <wps:txbx>
                        <w:txbxContent>
                          <w:p w:rsidR="00F757E8" w:rsidRDefault="00F757E8">
                            <w:pPr>
                              <w:numPr>
                                <w:ilvl w:val="0"/>
                                <w:numId w:val="56"/>
                              </w:numPr>
                              <w:tabs>
                                <w:tab w:val="left" w:pos="457"/>
                                <w:tab w:val="left" w:pos="458"/>
                              </w:tabs>
                              <w:spacing w:before="5"/>
                              <w:ind w:left="457" w:hanging="358"/>
                              <w:rPr>
                                <w:sz w:val="19"/>
                              </w:rPr>
                            </w:pPr>
                            <w:r>
                              <w:rPr>
                                <w:w w:val="105"/>
                                <w:sz w:val="19"/>
                              </w:rPr>
                              <w:t>6.9% were</w:t>
                            </w:r>
                            <w:r>
                              <w:rPr>
                                <w:spacing w:val="3"/>
                                <w:w w:val="105"/>
                                <w:sz w:val="19"/>
                              </w:rPr>
                              <w:t xml:space="preserve"> </w:t>
                            </w:r>
                            <w:r>
                              <w:rPr>
                                <w:w w:val="105"/>
                                <w:sz w:val="19"/>
                              </w:rPr>
                              <w:t>obese.</w:t>
                            </w:r>
                          </w:p>
                          <w:p w:rsidR="00F757E8" w:rsidRDefault="00F757E8">
                            <w:pPr>
                              <w:numPr>
                                <w:ilvl w:val="0"/>
                                <w:numId w:val="56"/>
                              </w:numPr>
                              <w:tabs>
                                <w:tab w:val="left" w:pos="457"/>
                                <w:tab w:val="left" w:pos="458"/>
                              </w:tabs>
                              <w:spacing w:before="13"/>
                              <w:ind w:left="457" w:hanging="358"/>
                              <w:rPr>
                                <w:sz w:val="19"/>
                              </w:rPr>
                            </w:pPr>
                            <w:r>
                              <w:rPr>
                                <w:w w:val="105"/>
                                <w:sz w:val="19"/>
                              </w:rPr>
                              <w:t>9.0% were severely</w:t>
                            </w:r>
                            <w:r>
                              <w:rPr>
                                <w:spacing w:val="4"/>
                                <w:w w:val="105"/>
                                <w:sz w:val="19"/>
                              </w:rPr>
                              <w:t xml:space="preserve"> </w:t>
                            </w:r>
                            <w:r>
                              <w:rPr>
                                <w:w w:val="105"/>
                                <w:sz w:val="19"/>
                              </w:rPr>
                              <w:t>obese</w:t>
                            </w:r>
                          </w:p>
                          <w:p w:rsidR="00F757E8" w:rsidRDefault="00F757E8">
                            <w:pPr>
                              <w:numPr>
                                <w:ilvl w:val="0"/>
                                <w:numId w:val="56"/>
                              </w:numPr>
                              <w:tabs>
                                <w:tab w:val="left" w:pos="457"/>
                                <w:tab w:val="left" w:pos="458"/>
                              </w:tabs>
                              <w:spacing w:before="12"/>
                              <w:ind w:left="457" w:hanging="358"/>
                              <w:rPr>
                                <w:sz w:val="19"/>
                              </w:rPr>
                            </w:pPr>
                            <w:r>
                              <w:rPr>
                                <w:w w:val="105"/>
                                <w:sz w:val="19"/>
                              </w:rPr>
                              <w:t>7.8% had an unknown</w:t>
                            </w:r>
                            <w:r>
                              <w:rPr>
                                <w:spacing w:val="5"/>
                                <w:w w:val="105"/>
                                <w:sz w:val="19"/>
                              </w:rPr>
                              <w:t xml:space="preserve"> </w:t>
                            </w:r>
                            <w:r>
                              <w:rPr>
                                <w:w w:val="105"/>
                                <w:sz w:val="19"/>
                              </w:rPr>
                              <w:t>weight.</w:t>
                            </w:r>
                          </w:p>
                          <w:p w:rsidR="00F757E8" w:rsidRDefault="00F757E8" w:rsidP="00625DA1">
                            <w:pPr>
                              <w:pStyle w:val="BodyText"/>
                            </w:pPr>
                          </w:p>
                          <w:p w:rsidR="00F757E8" w:rsidRDefault="00F757E8">
                            <w:pPr>
                              <w:spacing w:before="1" w:line="252" w:lineRule="auto"/>
                              <w:ind w:left="100" w:right="122"/>
                              <w:rPr>
                                <w:i/>
                                <w:sz w:val="19"/>
                              </w:rPr>
                            </w:pPr>
                            <w:r>
                              <w:rPr>
                                <w:i/>
                                <w:w w:val="105"/>
                                <w:sz w:val="19"/>
                              </w:rPr>
                              <w:t>Less than one-third (27.8%) of the assisted boarding house sample were in the healthy weight range:</w:t>
                            </w:r>
                          </w:p>
                          <w:p w:rsidR="00F757E8" w:rsidRDefault="00F757E8">
                            <w:pPr>
                              <w:numPr>
                                <w:ilvl w:val="0"/>
                                <w:numId w:val="56"/>
                              </w:numPr>
                              <w:tabs>
                                <w:tab w:val="left" w:pos="457"/>
                                <w:tab w:val="left" w:pos="458"/>
                              </w:tabs>
                              <w:spacing w:before="61"/>
                              <w:ind w:left="457" w:hanging="358"/>
                              <w:rPr>
                                <w:sz w:val="19"/>
                              </w:rPr>
                            </w:pPr>
                            <w:r>
                              <w:rPr>
                                <w:w w:val="105"/>
                                <w:sz w:val="19"/>
                              </w:rPr>
                              <w:t>5.6% were severely</w:t>
                            </w:r>
                            <w:r>
                              <w:rPr>
                                <w:spacing w:val="4"/>
                                <w:w w:val="105"/>
                                <w:sz w:val="19"/>
                              </w:rPr>
                              <w:t xml:space="preserve"> </w:t>
                            </w:r>
                            <w:r>
                              <w:rPr>
                                <w:w w:val="105"/>
                                <w:sz w:val="19"/>
                              </w:rPr>
                              <w:t>underweight</w:t>
                            </w:r>
                          </w:p>
                          <w:p w:rsidR="00F757E8" w:rsidRDefault="00F757E8">
                            <w:pPr>
                              <w:numPr>
                                <w:ilvl w:val="0"/>
                                <w:numId w:val="56"/>
                              </w:numPr>
                              <w:tabs>
                                <w:tab w:val="left" w:pos="457"/>
                                <w:tab w:val="left" w:pos="458"/>
                              </w:tabs>
                              <w:spacing w:before="12"/>
                              <w:ind w:left="457" w:hanging="358"/>
                              <w:rPr>
                                <w:sz w:val="19"/>
                              </w:rPr>
                            </w:pPr>
                            <w:r>
                              <w:rPr>
                                <w:w w:val="105"/>
                                <w:sz w:val="19"/>
                              </w:rPr>
                              <w:t>5.6% were</w:t>
                            </w:r>
                            <w:r>
                              <w:rPr>
                                <w:spacing w:val="3"/>
                                <w:w w:val="105"/>
                                <w:sz w:val="19"/>
                              </w:rPr>
                              <w:t xml:space="preserve"> </w:t>
                            </w:r>
                            <w:r>
                              <w:rPr>
                                <w:w w:val="105"/>
                                <w:sz w:val="19"/>
                              </w:rPr>
                              <w:t>overweight</w:t>
                            </w:r>
                          </w:p>
                          <w:p w:rsidR="00F757E8" w:rsidRDefault="00F757E8">
                            <w:pPr>
                              <w:numPr>
                                <w:ilvl w:val="0"/>
                                <w:numId w:val="56"/>
                              </w:numPr>
                              <w:tabs>
                                <w:tab w:val="left" w:pos="457"/>
                                <w:tab w:val="left" w:pos="458"/>
                              </w:tabs>
                              <w:spacing w:before="12"/>
                              <w:ind w:left="457" w:hanging="358"/>
                              <w:rPr>
                                <w:sz w:val="19"/>
                              </w:rPr>
                            </w:pPr>
                            <w:r>
                              <w:rPr>
                                <w:w w:val="105"/>
                                <w:sz w:val="19"/>
                              </w:rPr>
                              <w:t>22.2% were</w:t>
                            </w:r>
                            <w:r>
                              <w:rPr>
                                <w:spacing w:val="3"/>
                                <w:w w:val="105"/>
                                <w:sz w:val="19"/>
                              </w:rPr>
                              <w:t xml:space="preserve"> </w:t>
                            </w:r>
                            <w:r>
                              <w:rPr>
                                <w:w w:val="105"/>
                                <w:sz w:val="19"/>
                              </w:rPr>
                              <w:t>obese</w:t>
                            </w:r>
                          </w:p>
                          <w:p w:rsidR="00F757E8" w:rsidRDefault="00F757E8">
                            <w:pPr>
                              <w:numPr>
                                <w:ilvl w:val="0"/>
                                <w:numId w:val="56"/>
                              </w:numPr>
                              <w:tabs>
                                <w:tab w:val="left" w:pos="457"/>
                                <w:tab w:val="left" w:pos="458"/>
                              </w:tabs>
                              <w:spacing w:before="7"/>
                              <w:ind w:left="457" w:hanging="358"/>
                              <w:rPr>
                                <w:sz w:val="19"/>
                              </w:rPr>
                            </w:pPr>
                            <w:r>
                              <w:rPr>
                                <w:w w:val="105"/>
                                <w:sz w:val="19"/>
                              </w:rPr>
                              <w:t>16.7% were severely</w:t>
                            </w:r>
                            <w:r>
                              <w:rPr>
                                <w:spacing w:val="4"/>
                                <w:w w:val="105"/>
                                <w:sz w:val="19"/>
                              </w:rPr>
                              <w:t xml:space="preserve"> </w:t>
                            </w:r>
                            <w:r>
                              <w:rPr>
                                <w:w w:val="105"/>
                                <w:sz w:val="19"/>
                              </w:rPr>
                              <w:t>obese</w:t>
                            </w:r>
                          </w:p>
                          <w:p w:rsidR="00F757E8" w:rsidRDefault="00F757E8">
                            <w:pPr>
                              <w:numPr>
                                <w:ilvl w:val="0"/>
                                <w:numId w:val="56"/>
                              </w:numPr>
                              <w:tabs>
                                <w:tab w:val="left" w:pos="457"/>
                                <w:tab w:val="left" w:pos="458"/>
                              </w:tabs>
                              <w:spacing w:before="12"/>
                              <w:ind w:left="457" w:hanging="358"/>
                              <w:rPr>
                                <w:sz w:val="19"/>
                              </w:rPr>
                            </w:pPr>
                            <w:r>
                              <w:rPr>
                                <w:w w:val="105"/>
                                <w:sz w:val="19"/>
                              </w:rPr>
                              <w:t>22.2% had an unknown</w:t>
                            </w:r>
                            <w:r>
                              <w:rPr>
                                <w:spacing w:val="5"/>
                                <w:w w:val="105"/>
                                <w:sz w:val="19"/>
                              </w:rPr>
                              <w:t xml:space="preserve"> </w:t>
                            </w:r>
                            <w:r>
                              <w:rPr>
                                <w:w w:val="105"/>
                                <w:sz w:val="19"/>
                              </w:rPr>
                              <w:t>weight.</w:t>
                            </w:r>
                          </w:p>
                          <w:p w:rsidR="00F757E8" w:rsidRDefault="00F757E8" w:rsidP="00625DA1">
                            <w:pPr>
                              <w:pStyle w:val="BodyText"/>
                            </w:pPr>
                          </w:p>
                          <w:p w:rsidR="00F757E8" w:rsidRDefault="00F757E8">
                            <w:pPr>
                              <w:spacing w:line="252" w:lineRule="auto"/>
                              <w:ind w:left="100" w:right="122"/>
                              <w:rPr>
                                <w:sz w:val="19"/>
                              </w:rPr>
                            </w:pPr>
                            <w:r>
                              <w:rPr>
                                <w:i/>
                                <w:w w:val="105"/>
                                <w:sz w:val="19"/>
                              </w:rPr>
                              <w:t xml:space="preserve">Access to dietician: </w:t>
                            </w:r>
                            <w:r>
                              <w:rPr>
                                <w:w w:val="105"/>
                                <w:sz w:val="19"/>
                              </w:rPr>
                              <w:t>Only 33% of the nine boarding house residents who were outside of the healthy weight range had seen a dietitian. The one boarding house resident who was very underweight when they died in 2016-2017 had not seen a dietitian.</w:t>
                            </w:r>
                          </w:p>
                          <w:p w:rsidR="00F757E8" w:rsidRDefault="00F757E8" w:rsidP="009D5249">
                            <w:pPr>
                              <w:pStyle w:val="BodyText"/>
                              <w:ind w:left="0"/>
                            </w:pPr>
                          </w:p>
                          <w:p w:rsidR="00F757E8" w:rsidRDefault="00F757E8">
                            <w:pPr>
                              <w:ind w:left="100"/>
                              <w:rPr>
                                <w:sz w:val="19"/>
                              </w:rPr>
                            </w:pPr>
                            <w:r>
                              <w:rPr>
                                <w:b/>
                                <w:w w:val="105"/>
                                <w:sz w:val="19"/>
                              </w:rPr>
                              <w:t xml:space="preserve">Smoking: </w:t>
                            </w:r>
                            <w:r>
                              <w:rPr>
                                <w:w w:val="105"/>
                                <w:sz w:val="19"/>
                              </w:rPr>
                              <w:t>for deaths in the 2014-2017 period:</w:t>
                            </w:r>
                          </w:p>
                          <w:p w:rsidR="00F757E8" w:rsidRDefault="00F757E8">
                            <w:pPr>
                              <w:numPr>
                                <w:ilvl w:val="0"/>
                                <w:numId w:val="56"/>
                              </w:numPr>
                              <w:tabs>
                                <w:tab w:val="left" w:pos="460"/>
                                <w:tab w:val="left" w:pos="461"/>
                              </w:tabs>
                              <w:spacing w:before="72" w:line="249" w:lineRule="auto"/>
                              <w:ind w:right="196" w:hanging="360"/>
                              <w:rPr>
                                <w:sz w:val="19"/>
                              </w:rPr>
                            </w:pPr>
                            <w:r>
                              <w:rPr>
                                <w:w w:val="105"/>
                                <w:sz w:val="19"/>
                              </w:rPr>
                              <w:t xml:space="preserve">61% of </w:t>
                            </w:r>
                            <w:r>
                              <w:rPr>
                                <w:i/>
                                <w:w w:val="105"/>
                                <w:sz w:val="19"/>
                              </w:rPr>
                              <w:t xml:space="preserve">assisted boarding house </w:t>
                            </w:r>
                            <w:r>
                              <w:rPr>
                                <w:w w:val="105"/>
                                <w:sz w:val="19"/>
                              </w:rPr>
                              <w:t>residents had smoked, and 50% were still smokers at the time of their death.</w:t>
                            </w:r>
                          </w:p>
                          <w:p w:rsidR="00F757E8" w:rsidRDefault="00F757E8">
                            <w:pPr>
                              <w:numPr>
                                <w:ilvl w:val="0"/>
                                <w:numId w:val="56"/>
                              </w:numPr>
                              <w:tabs>
                                <w:tab w:val="left" w:pos="460"/>
                                <w:tab w:val="left" w:pos="461"/>
                              </w:tabs>
                              <w:spacing w:before="5" w:line="249" w:lineRule="auto"/>
                              <w:ind w:right="362" w:hanging="360"/>
                              <w:rPr>
                                <w:sz w:val="19"/>
                              </w:rPr>
                            </w:pPr>
                            <w:r>
                              <w:rPr>
                                <w:w w:val="105"/>
                                <w:sz w:val="19"/>
                              </w:rPr>
                              <w:t xml:space="preserve">13.6% of the </w:t>
                            </w:r>
                            <w:r>
                              <w:rPr>
                                <w:i/>
                                <w:w w:val="105"/>
                                <w:sz w:val="19"/>
                              </w:rPr>
                              <w:t xml:space="preserve">disability services sample </w:t>
                            </w:r>
                            <w:r>
                              <w:rPr>
                                <w:w w:val="105"/>
                                <w:sz w:val="19"/>
                              </w:rPr>
                              <w:t>had smoked, and 8% were still smokers at the time of their death.</w:t>
                            </w:r>
                          </w:p>
                        </w:txbxContent>
                      </wps:txbx>
                      <wps:bodyPr rot="0" vert="horz" wrap="square" lIns="108000" tIns="108000" rIns="108000" bIns="10800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alt="Title: NSW weight status - Description: NSW weight status" style="width:517.1pt;height:3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" fillcolor="#f2f2f2 [3052]" strokecolor="#a5a5a5" strokeweight=".96pt">
                <v:textbox inset="3mm,3mm,3mm,3mm">
                  <w:txbxContent>
                    <w:p w:rsidR="00F757E8" w:rsidRDefault="00F757E8">
                      <w:pPr>
                        <w:numPr>
                          <w:ilvl w:val="0"/>
                          <w:numId w:val="56"/>
                        </w:numPr>
                        <w:tabs>
                          <w:tab w:val="left" w:pos="457"/>
                          <w:tab w:val="left" w:pos="458"/>
                        </w:tabs>
                        <w:spacing w:before="5"/>
                        <w:ind w:left="457" w:hanging="358"/>
                        <w:rPr>
                          <w:sz w:val="19"/>
                        </w:rPr>
                      </w:pPr>
                      <w:r>
                        <w:rPr>
                          <w:w w:val="105"/>
                          <w:sz w:val="19"/>
                        </w:rPr>
                        <w:t>6.9% were</w:t>
                      </w:r>
                      <w:r>
                        <w:rPr>
                          <w:spacing w:val="3"/>
                          <w:w w:val="105"/>
                          <w:sz w:val="19"/>
                        </w:rPr>
                        <w:t xml:space="preserve"> </w:t>
                      </w:r>
                      <w:r>
                        <w:rPr>
                          <w:w w:val="105"/>
                          <w:sz w:val="19"/>
                        </w:rPr>
                        <w:t>obese.</w:t>
                      </w:r>
                    </w:p>
                    <w:p w:rsidR="00F757E8" w:rsidRDefault="00F757E8">
                      <w:pPr>
                        <w:numPr>
                          <w:ilvl w:val="0"/>
                          <w:numId w:val="56"/>
                        </w:numPr>
                        <w:tabs>
                          <w:tab w:val="left" w:pos="457"/>
                          <w:tab w:val="left" w:pos="458"/>
                        </w:tabs>
                        <w:spacing w:before="13"/>
                        <w:ind w:left="457" w:hanging="358"/>
                        <w:rPr>
                          <w:sz w:val="19"/>
                        </w:rPr>
                      </w:pPr>
                      <w:r>
                        <w:rPr>
                          <w:w w:val="105"/>
                          <w:sz w:val="19"/>
                        </w:rPr>
                        <w:t>9.0% were severely</w:t>
                      </w:r>
                      <w:r>
                        <w:rPr>
                          <w:spacing w:val="4"/>
                          <w:w w:val="105"/>
                          <w:sz w:val="19"/>
                        </w:rPr>
                        <w:t xml:space="preserve"> </w:t>
                      </w:r>
                      <w:r>
                        <w:rPr>
                          <w:w w:val="105"/>
                          <w:sz w:val="19"/>
                        </w:rPr>
                        <w:t>obese</w:t>
                      </w:r>
                    </w:p>
                    <w:p w:rsidR="00F757E8" w:rsidRDefault="00F757E8">
                      <w:pPr>
                        <w:numPr>
                          <w:ilvl w:val="0"/>
                          <w:numId w:val="56"/>
                        </w:numPr>
                        <w:tabs>
                          <w:tab w:val="left" w:pos="457"/>
                          <w:tab w:val="left" w:pos="458"/>
                        </w:tabs>
                        <w:spacing w:before="12"/>
                        <w:ind w:left="457" w:hanging="358"/>
                        <w:rPr>
                          <w:sz w:val="19"/>
                        </w:rPr>
                      </w:pPr>
                      <w:r>
                        <w:rPr>
                          <w:w w:val="105"/>
                          <w:sz w:val="19"/>
                        </w:rPr>
                        <w:t>7.8% had an unknown</w:t>
                      </w:r>
                      <w:r>
                        <w:rPr>
                          <w:spacing w:val="5"/>
                          <w:w w:val="105"/>
                          <w:sz w:val="19"/>
                        </w:rPr>
                        <w:t xml:space="preserve"> </w:t>
                      </w:r>
                      <w:r>
                        <w:rPr>
                          <w:w w:val="105"/>
                          <w:sz w:val="19"/>
                        </w:rPr>
                        <w:t>weight.</w:t>
                      </w:r>
                    </w:p>
                    <w:p w:rsidR="00F757E8" w:rsidRDefault="00F757E8" w:rsidP="00625DA1">
                      <w:pPr>
                        <w:pStyle w:val="BodyText"/>
                      </w:pPr>
                    </w:p>
                    <w:p w:rsidR="00F757E8" w:rsidRDefault="00F757E8">
                      <w:pPr>
                        <w:spacing w:before="1" w:line="252" w:lineRule="auto"/>
                        <w:ind w:left="100" w:right="122"/>
                        <w:rPr>
                          <w:i/>
                          <w:sz w:val="19"/>
                        </w:rPr>
                      </w:pPr>
                      <w:r>
                        <w:rPr>
                          <w:i/>
                          <w:w w:val="105"/>
                          <w:sz w:val="19"/>
                        </w:rPr>
                        <w:t>Less than one-third (27.8%) of the assisted boarding house sample were in the healthy weight range:</w:t>
                      </w:r>
                    </w:p>
                    <w:p w:rsidR="00F757E8" w:rsidRDefault="00F757E8">
                      <w:pPr>
                        <w:numPr>
                          <w:ilvl w:val="0"/>
                          <w:numId w:val="56"/>
                        </w:numPr>
                        <w:tabs>
                          <w:tab w:val="left" w:pos="457"/>
                          <w:tab w:val="left" w:pos="458"/>
                        </w:tabs>
                        <w:spacing w:before="61"/>
                        <w:ind w:left="457" w:hanging="358"/>
                        <w:rPr>
                          <w:sz w:val="19"/>
                        </w:rPr>
                      </w:pPr>
                      <w:r>
                        <w:rPr>
                          <w:w w:val="105"/>
                          <w:sz w:val="19"/>
                        </w:rPr>
                        <w:t>5.6% were severely</w:t>
                      </w:r>
                      <w:r>
                        <w:rPr>
                          <w:spacing w:val="4"/>
                          <w:w w:val="105"/>
                          <w:sz w:val="19"/>
                        </w:rPr>
                        <w:t xml:space="preserve"> </w:t>
                      </w:r>
                      <w:r>
                        <w:rPr>
                          <w:w w:val="105"/>
                          <w:sz w:val="19"/>
                        </w:rPr>
                        <w:t>underweight</w:t>
                      </w:r>
                    </w:p>
                    <w:p w:rsidR="00F757E8" w:rsidRDefault="00F757E8">
                      <w:pPr>
                        <w:numPr>
                          <w:ilvl w:val="0"/>
                          <w:numId w:val="56"/>
                        </w:numPr>
                        <w:tabs>
                          <w:tab w:val="left" w:pos="457"/>
                          <w:tab w:val="left" w:pos="458"/>
                        </w:tabs>
                        <w:spacing w:before="12"/>
                        <w:ind w:left="457" w:hanging="358"/>
                        <w:rPr>
                          <w:sz w:val="19"/>
                        </w:rPr>
                      </w:pPr>
                      <w:r>
                        <w:rPr>
                          <w:w w:val="105"/>
                          <w:sz w:val="19"/>
                        </w:rPr>
                        <w:t>5.6% were</w:t>
                      </w:r>
                      <w:r>
                        <w:rPr>
                          <w:spacing w:val="3"/>
                          <w:w w:val="105"/>
                          <w:sz w:val="19"/>
                        </w:rPr>
                        <w:t xml:space="preserve"> </w:t>
                      </w:r>
                      <w:r>
                        <w:rPr>
                          <w:w w:val="105"/>
                          <w:sz w:val="19"/>
                        </w:rPr>
                        <w:t>overweight</w:t>
                      </w:r>
                    </w:p>
                    <w:p w:rsidR="00F757E8" w:rsidRDefault="00F757E8">
                      <w:pPr>
                        <w:numPr>
                          <w:ilvl w:val="0"/>
                          <w:numId w:val="56"/>
                        </w:numPr>
                        <w:tabs>
                          <w:tab w:val="left" w:pos="457"/>
                          <w:tab w:val="left" w:pos="458"/>
                        </w:tabs>
                        <w:spacing w:before="12"/>
                        <w:ind w:left="457" w:hanging="358"/>
                        <w:rPr>
                          <w:sz w:val="19"/>
                        </w:rPr>
                      </w:pPr>
                      <w:r>
                        <w:rPr>
                          <w:w w:val="105"/>
                          <w:sz w:val="19"/>
                        </w:rPr>
                        <w:t>22.2% were</w:t>
                      </w:r>
                      <w:r>
                        <w:rPr>
                          <w:spacing w:val="3"/>
                          <w:w w:val="105"/>
                          <w:sz w:val="19"/>
                        </w:rPr>
                        <w:t xml:space="preserve"> </w:t>
                      </w:r>
                      <w:r>
                        <w:rPr>
                          <w:w w:val="105"/>
                          <w:sz w:val="19"/>
                        </w:rPr>
                        <w:t>obese</w:t>
                      </w:r>
                    </w:p>
                    <w:p w:rsidR="00F757E8" w:rsidRDefault="00F757E8">
                      <w:pPr>
                        <w:numPr>
                          <w:ilvl w:val="0"/>
                          <w:numId w:val="56"/>
                        </w:numPr>
                        <w:tabs>
                          <w:tab w:val="left" w:pos="457"/>
                          <w:tab w:val="left" w:pos="458"/>
                        </w:tabs>
                        <w:spacing w:before="7"/>
                        <w:ind w:left="457" w:hanging="358"/>
                        <w:rPr>
                          <w:sz w:val="19"/>
                        </w:rPr>
                      </w:pPr>
                      <w:r>
                        <w:rPr>
                          <w:w w:val="105"/>
                          <w:sz w:val="19"/>
                        </w:rPr>
                        <w:t>16.7% were severely</w:t>
                      </w:r>
                      <w:r>
                        <w:rPr>
                          <w:spacing w:val="4"/>
                          <w:w w:val="105"/>
                          <w:sz w:val="19"/>
                        </w:rPr>
                        <w:t xml:space="preserve"> </w:t>
                      </w:r>
                      <w:r>
                        <w:rPr>
                          <w:w w:val="105"/>
                          <w:sz w:val="19"/>
                        </w:rPr>
                        <w:t>obese</w:t>
                      </w:r>
                    </w:p>
                    <w:p w:rsidR="00F757E8" w:rsidRDefault="00F757E8">
                      <w:pPr>
                        <w:numPr>
                          <w:ilvl w:val="0"/>
                          <w:numId w:val="56"/>
                        </w:numPr>
                        <w:tabs>
                          <w:tab w:val="left" w:pos="457"/>
                          <w:tab w:val="left" w:pos="458"/>
                        </w:tabs>
                        <w:spacing w:before="12"/>
                        <w:ind w:left="457" w:hanging="358"/>
                        <w:rPr>
                          <w:sz w:val="19"/>
                        </w:rPr>
                      </w:pPr>
                      <w:r>
                        <w:rPr>
                          <w:w w:val="105"/>
                          <w:sz w:val="19"/>
                        </w:rPr>
                        <w:t>22.2% had an unknown</w:t>
                      </w:r>
                      <w:r>
                        <w:rPr>
                          <w:spacing w:val="5"/>
                          <w:w w:val="105"/>
                          <w:sz w:val="19"/>
                        </w:rPr>
                        <w:t xml:space="preserve"> </w:t>
                      </w:r>
                      <w:r>
                        <w:rPr>
                          <w:w w:val="105"/>
                          <w:sz w:val="19"/>
                        </w:rPr>
                        <w:t>weight.</w:t>
                      </w:r>
                    </w:p>
                    <w:p w:rsidR="00F757E8" w:rsidRDefault="00F757E8" w:rsidP="00625DA1">
                      <w:pPr>
                        <w:pStyle w:val="BodyText"/>
                      </w:pPr>
                    </w:p>
                    <w:p w:rsidR="00F757E8" w:rsidRDefault="00F757E8">
                      <w:pPr>
                        <w:spacing w:line="252" w:lineRule="auto"/>
                        <w:ind w:left="100" w:right="122"/>
                        <w:rPr>
                          <w:sz w:val="19"/>
                        </w:rPr>
                      </w:pPr>
                      <w:r>
                        <w:rPr>
                          <w:i/>
                          <w:w w:val="105"/>
                          <w:sz w:val="19"/>
                        </w:rPr>
                        <w:t xml:space="preserve">Access to dietician: </w:t>
                      </w:r>
                      <w:r>
                        <w:rPr>
                          <w:w w:val="105"/>
                          <w:sz w:val="19"/>
                        </w:rPr>
                        <w:t>Only 33% of the nine boarding house residents who were outside of the healthy weight range had seen a dietitian. The one boarding house resident who was very underweight when they died in 2016-2017 had not seen a dietitian.</w:t>
                      </w:r>
                    </w:p>
                    <w:p w:rsidR="00F757E8" w:rsidRDefault="00F757E8" w:rsidP="009D5249">
                      <w:pPr>
                        <w:pStyle w:val="BodyText"/>
                        <w:ind w:left="0"/>
                      </w:pPr>
                    </w:p>
                    <w:p w:rsidR="00F757E8" w:rsidRDefault="00F757E8">
                      <w:pPr>
                        <w:ind w:left="100"/>
                        <w:rPr>
                          <w:sz w:val="19"/>
                        </w:rPr>
                      </w:pPr>
                      <w:r>
                        <w:rPr>
                          <w:b/>
                          <w:w w:val="105"/>
                          <w:sz w:val="19"/>
                        </w:rPr>
                        <w:t xml:space="preserve">Smoking: </w:t>
                      </w:r>
                      <w:r>
                        <w:rPr>
                          <w:w w:val="105"/>
                          <w:sz w:val="19"/>
                        </w:rPr>
                        <w:t>for deaths in the 2014-2017 period:</w:t>
                      </w:r>
                    </w:p>
                    <w:p w:rsidR="00F757E8" w:rsidRDefault="00F757E8">
                      <w:pPr>
                        <w:numPr>
                          <w:ilvl w:val="0"/>
                          <w:numId w:val="56"/>
                        </w:numPr>
                        <w:tabs>
                          <w:tab w:val="left" w:pos="460"/>
                          <w:tab w:val="left" w:pos="461"/>
                        </w:tabs>
                        <w:spacing w:before="72" w:line="249" w:lineRule="auto"/>
                        <w:ind w:right="196" w:hanging="360"/>
                        <w:rPr>
                          <w:sz w:val="19"/>
                        </w:rPr>
                      </w:pPr>
                      <w:r>
                        <w:rPr>
                          <w:w w:val="105"/>
                          <w:sz w:val="19"/>
                        </w:rPr>
                        <w:t xml:space="preserve">61% of </w:t>
                      </w:r>
                      <w:r>
                        <w:rPr>
                          <w:i/>
                          <w:w w:val="105"/>
                          <w:sz w:val="19"/>
                        </w:rPr>
                        <w:t xml:space="preserve">assisted boarding house </w:t>
                      </w:r>
                      <w:r>
                        <w:rPr>
                          <w:w w:val="105"/>
                          <w:sz w:val="19"/>
                        </w:rPr>
                        <w:t>residents had smoked, and 50% were still smokers at the time of their death.</w:t>
                      </w:r>
                    </w:p>
                    <w:p w:rsidR="00F757E8" w:rsidRDefault="00F757E8">
                      <w:pPr>
                        <w:numPr>
                          <w:ilvl w:val="0"/>
                          <w:numId w:val="56"/>
                        </w:numPr>
                        <w:tabs>
                          <w:tab w:val="left" w:pos="460"/>
                          <w:tab w:val="left" w:pos="461"/>
                        </w:tabs>
                        <w:spacing w:before="5" w:line="249" w:lineRule="auto"/>
                        <w:ind w:right="362" w:hanging="360"/>
                        <w:rPr>
                          <w:sz w:val="19"/>
                        </w:rPr>
                      </w:pPr>
                      <w:r>
                        <w:rPr>
                          <w:w w:val="105"/>
                          <w:sz w:val="19"/>
                        </w:rPr>
                        <w:t xml:space="preserve">13.6% of the </w:t>
                      </w:r>
                      <w:r>
                        <w:rPr>
                          <w:i/>
                          <w:w w:val="105"/>
                          <w:sz w:val="19"/>
                        </w:rPr>
                        <w:t xml:space="preserve">disability services sample </w:t>
                      </w:r>
                      <w:r>
                        <w:rPr>
                          <w:w w:val="105"/>
                          <w:sz w:val="19"/>
                        </w:rPr>
                        <w:t>had smoked, and 8% were still smokers at the time of their death.</w:t>
                      </w:r>
                    </w:p>
                  </w:txbxContent>
                </v:textbox>
                <w10:anchorlock/>
              </v:shape>
            </w:pict>
          </mc:Fallback>
        </mc:AlternateContent>
      </w:r>
    </w:p>
    <w:p w:rsidR="003A0312" w:rsidRDefault="003A0312" w:rsidP="00625DA1">
      <w:pPr>
        <w:pStyle w:val="BodyText"/>
      </w:pPr>
    </w:p>
    <w:p w:rsidR="00EA1F74" w:rsidRDefault="00FC1CE8">
      <w:pPr>
        <w:pStyle w:val="Heading4"/>
        <w:spacing w:before="211"/>
      </w:pPr>
      <w:bookmarkStart w:id="26" w:name="_TOC_250039"/>
      <w:bookmarkEnd w:id="26"/>
      <w:r>
        <w:rPr>
          <w:color w:val="4472C4"/>
        </w:rPr>
        <w:t>Date of the person’s last comprehensive health assessment</w:t>
      </w:r>
    </w:p>
    <w:p w:rsidR="00EA1F74" w:rsidRDefault="00FC1CE8" w:rsidP="00625DA1">
      <w:pPr>
        <w:pStyle w:val="BodyText"/>
      </w:pPr>
      <w:r>
        <w:t>No data regarding the date of the person’s last comprehensive health assessment were recorded for the VIC 17-18 sample. In the QLD 09-14 report, the authors noted that there was a lack of available information to confirm if and when their sample had last had a comprehensive annual check-up. In NSW, for the 2012-13 reporting period, it was noted that 77% of the people in disability services and 36% of the assisted boarding house residents who had died had received a comprehensive health assessment in the 12 months preceding death. For the 2014-17 reporting period, numbers were similar with 81% of the disability services group, and 33% of the assisted boarding house residents reported to have a comprehensive health assessment in the 12 months preceding death.</w:t>
      </w:r>
    </w:p>
    <w:p w:rsidR="00EA1F74" w:rsidRDefault="00EA1F74" w:rsidP="00625DA1">
      <w:pPr>
        <w:pStyle w:val="BodyText"/>
      </w:pPr>
    </w:p>
    <w:p w:rsidR="00EA1F74" w:rsidRDefault="00EA1F74" w:rsidP="00625DA1">
      <w:pPr>
        <w:pStyle w:val="BodyText"/>
      </w:pPr>
    </w:p>
    <w:p w:rsidR="00EA1F74" w:rsidRDefault="00FC1CE8">
      <w:pPr>
        <w:pStyle w:val="Heading4"/>
      </w:pPr>
      <w:bookmarkStart w:id="27" w:name="_TOC_250038"/>
      <w:bookmarkEnd w:id="27"/>
      <w:r>
        <w:rPr>
          <w:color w:val="4472C4"/>
        </w:rPr>
        <w:t>Capacity to consent</w:t>
      </w:r>
    </w:p>
    <w:p w:rsidR="00EA1F74" w:rsidRDefault="00FC1CE8" w:rsidP="00625DA1">
      <w:pPr>
        <w:pStyle w:val="BodyText"/>
      </w:pPr>
      <w:r>
        <w:t>Capacity to consent to medical/dental and other treatment was only reported in the NSW death reviews. For the 2012-2013 reporting period, it was found that the majority (85%) of disability services residents had other people, mainly family members (67%), provide consent to medical and dental treatment on their behalf. Just over half of the assisted boarding house residents (57%) provided their own consent in this same reporting period.</w:t>
      </w:r>
    </w:p>
    <w:p w:rsidR="00EA1F74" w:rsidRDefault="00FC1CE8" w:rsidP="00625DA1">
      <w:pPr>
        <w:pStyle w:val="BodyText"/>
      </w:pPr>
      <w:r>
        <w:t>Likewise, in the 2014-2017 reporting period, the majority of disability services residents had other people who consented on their behalf (67%), while the vast majority (89%) of assisted boarding house residents provided their own consent across this period.</w:t>
      </w:r>
    </w:p>
    <w:p w:rsidR="00EA1F74" w:rsidRDefault="00EA1F74" w:rsidP="00625DA1">
      <w:pPr>
        <w:pStyle w:val="BodyText"/>
      </w:pPr>
    </w:p>
    <w:p w:rsidR="00EA1F74" w:rsidRDefault="00EA1F74" w:rsidP="00625DA1">
      <w:pPr>
        <w:pStyle w:val="BodyText"/>
      </w:pPr>
    </w:p>
    <w:p w:rsidR="00EA1F74" w:rsidRDefault="00FC1CE8">
      <w:pPr>
        <w:pStyle w:val="Heading4"/>
      </w:pPr>
      <w:bookmarkStart w:id="28" w:name="_TOC_250037"/>
      <w:bookmarkEnd w:id="28"/>
      <w:r>
        <w:rPr>
          <w:color w:val="4472C4"/>
        </w:rPr>
        <w:t>Nutrition, swallowing, mealtime support and dental health status</w:t>
      </w:r>
    </w:p>
    <w:p w:rsidR="00EA1F74" w:rsidRDefault="00FC1CE8" w:rsidP="00625DA1">
      <w:pPr>
        <w:pStyle w:val="BodyText"/>
      </w:pPr>
      <w:r>
        <w:t>Nutrition, swallowing, mealtime support and dental health status of people whose deaths were in-scope are outlined in Table 15. These data were only comprehensively reported in the NSW reports (12-13 &amp; 14-17). Of note is the considerable proportion of people with disabilities with dental problems such as missing teeth, as well as the significant minority of people with swallowing problems who had either not had a comprehensive risk assessment conducted, or whose mealtime management plan was lacking in</w:t>
      </w:r>
      <w:r>
        <w:rPr>
          <w:spacing w:val="-9"/>
        </w:rPr>
        <w:t xml:space="preserve"> </w:t>
      </w:r>
      <w:r>
        <w:t>detail.</w:t>
      </w:r>
    </w:p>
    <w:p w:rsidR="00EA1F74" w:rsidRDefault="00EA1F74" w:rsidP="00625DA1">
      <w:pPr>
        <w:pStyle w:val="BodyText"/>
      </w:pPr>
    </w:p>
    <w:p w:rsidR="00EA1F74" w:rsidRDefault="00EA1F74" w:rsidP="00625DA1">
      <w:pPr>
        <w:pStyle w:val="BodyText"/>
      </w:pPr>
    </w:p>
    <w:p w:rsidR="00EA1F74" w:rsidRDefault="00FC1CE8" w:rsidP="00625DA1">
      <w:pPr>
        <w:pStyle w:val="BodyText"/>
      </w:pPr>
      <w:r>
        <w:t>Table 15: Nutrition, swallowing, mealtime support and dental health status</w:t>
      </w:r>
    </w:p>
    <w:tbl>
      <w:tblPr>
        <w:tblW w:w="0" w:type="auto"/>
        <w:tblInd w:w="724"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517"/>
        </w:trPr>
        <w:tc>
          <w:tcPr>
            <w:tcW w:w="960" w:type="dxa"/>
            <w:tcBorders>
              <w:bottom w:val="single" w:sz="18" w:space="0" w:color="A5A5A5"/>
            </w:tcBorders>
          </w:tcPr>
          <w:p w:rsidR="00EA1F74" w:rsidRDefault="00FC1CE8">
            <w:pPr>
              <w:pStyle w:val="TableParagraph"/>
              <w:spacing w:before="3" w:line="252" w:lineRule="auto"/>
              <w:ind w:left="109" w:right="212"/>
              <w:rPr>
                <w:sz w:val="19"/>
              </w:rPr>
            </w:pPr>
            <w:r>
              <w:rPr>
                <w:w w:val="105"/>
                <w:sz w:val="19"/>
              </w:rPr>
              <w:t>Report ID</w:t>
            </w:r>
          </w:p>
        </w:tc>
        <w:tc>
          <w:tcPr>
            <w:tcW w:w="9547" w:type="dxa"/>
            <w:tcBorders>
              <w:bottom w:val="single" w:sz="18" w:space="0" w:color="A5A5A5"/>
            </w:tcBorders>
          </w:tcPr>
          <w:p w:rsidR="00EA1F74" w:rsidRDefault="00FC1CE8">
            <w:pPr>
              <w:pStyle w:val="TableParagraph"/>
              <w:spacing w:before="3"/>
              <w:ind w:left="109"/>
              <w:rPr>
                <w:sz w:val="19"/>
              </w:rPr>
            </w:pPr>
            <w:r>
              <w:rPr>
                <w:w w:val="105"/>
                <w:sz w:val="19"/>
              </w:rPr>
              <w:t>Nutrition, Swallowing, mealtime support and dental health status</w:t>
            </w:r>
          </w:p>
        </w:tc>
      </w:tr>
      <w:tr w:rsidR="00EA1F74" w:rsidTr="00A85C4E">
        <w:trPr>
          <w:trHeight w:val="872"/>
        </w:trPr>
        <w:tc>
          <w:tcPr>
            <w:tcW w:w="960" w:type="dxa"/>
            <w:tcBorders>
              <w:top w:val="single" w:sz="18" w:space="0" w:color="A5A5A5"/>
            </w:tcBorders>
            <w:shd w:val="clear" w:color="auto" w:fill="F2F2F2" w:themeFill="background1" w:themeFillShade="F2"/>
          </w:tcPr>
          <w:p w:rsidR="00EA1F74" w:rsidRDefault="00FC1CE8">
            <w:pPr>
              <w:pStyle w:val="TableParagraph"/>
              <w:spacing w:before="8" w:line="316" w:lineRule="auto"/>
              <w:ind w:left="109" w:right="316"/>
              <w:rPr>
                <w:b/>
                <w:sz w:val="19"/>
              </w:rPr>
            </w:pPr>
            <w:r>
              <w:rPr>
                <w:b/>
                <w:w w:val="105"/>
                <w:sz w:val="19"/>
              </w:rPr>
              <w:t>VIC 17-18</w:t>
            </w:r>
          </w:p>
        </w:tc>
        <w:tc>
          <w:tcPr>
            <w:tcW w:w="9547" w:type="dxa"/>
            <w:tcBorders>
              <w:top w:val="single" w:sz="18" w:space="0" w:color="A5A5A5"/>
            </w:tcBorders>
            <w:shd w:val="clear" w:color="auto" w:fill="F2F2F2" w:themeFill="background1" w:themeFillShade="F2"/>
          </w:tcPr>
          <w:p w:rsidR="00EA1F74" w:rsidRDefault="00FC1CE8">
            <w:pPr>
              <w:pStyle w:val="TableParagraph"/>
              <w:spacing w:before="8"/>
              <w:ind w:left="109"/>
              <w:rPr>
                <w:sz w:val="19"/>
              </w:rPr>
            </w:pPr>
            <w:r>
              <w:rPr>
                <w:b/>
                <w:w w:val="105"/>
                <w:sz w:val="19"/>
              </w:rPr>
              <w:t xml:space="preserve">Nutrition, swallowing and mealtime support: </w:t>
            </w:r>
            <w:r>
              <w:rPr>
                <w:w w:val="105"/>
                <w:sz w:val="19"/>
              </w:rPr>
              <w:t>Not stated</w:t>
            </w:r>
          </w:p>
          <w:p w:rsidR="00EA1F74" w:rsidRDefault="00FC1CE8">
            <w:pPr>
              <w:pStyle w:val="TableParagraph"/>
              <w:spacing w:before="69"/>
              <w:ind w:left="109"/>
              <w:rPr>
                <w:sz w:val="19"/>
              </w:rPr>
            </w:pPr>
            <w:r>
              <w:rPr>
                <w:b/>
                <w:w w:val="105"/>
                <w:sz w:val="19"/>
              </w:rPr>
              <w:t xml:space="preserve">Dental: Health: </w:t>
            </w:r>
            <w:r>
              <w:rPr>
                <w:w w:val="105"/>
                <w:sz w:val="19"/>
              </w:rPr>
              <w:t>51% had some teeth missing, no teeth or required dental aids</w:t>
            </w:r>
          </w:p>
        </w:tc>
      </w:tr>
      <w:tr w:rsidR="00EA1F74">
        <w:trPr>
          <w:trHeight w:val="580"/>
        </w:trPr>
        <w:tc>
          <w:tcPr>
            <w:tcW w:w="960" w:type="dxa"/>
          </w:tcPr>
          <w:p w:rsidR="00EA1F74" w:rsidRDefault="00FC1CE8">
            <w:pPr>
              <w:pStyle w:val="TableParagraph"/>
              <w:spacing w:before="3"/>
              <w:ind w:left="109"/>
              <w:rPr>
                <w:b/>
                <w:sz w:val="19"/>
              </w:rPr>
            </w:pPr>
            <w:r>
              <w:rPr>
                <w:b/>
                <w:w w:val="105"/>
                <w:sz w:val="19"/>
              </w:rPr>
              <w:t>VIC</w:t>
            </w:r>
          </w:p>
          <w:p w:rsidR="00EA1F74" w:rsidRDefault="00FC1CE8">
            <w:pPr>
              <w:pStyle w:val="TableParagraph"/>
              <w:spacing w:before="70"/>
              <w:ind w:left="109"/>
              <w:rPr>
                <w:b/>
                <w:sz w:val="19"/>
              </w:rPr>
            </w:pPr>
            <w:r>
              <w:rPr>
                <w:b/>
                <w:w w:val="105"/>
                <w:sz w:val="19"/>
              </w:rPr>
              <w:t>07-16</w:t>
            </w:r>
          </w:p>
        </w:tc>
        <w:tc>
          <w:tcPr>
            <w:tcW w:w="9547" w:type="dxa"/>
          </w:tcPr>
          <w:p w:rsidR="00EA1F74" w:rsidRDefault="00FC1CE8">
            <w:pPr>
              <w:pStyle w:val="TableParagraph"/>
              <w:spacing w:before="3"/>
              <w:ind w:left="109"/>
              <w:rPr>
                <w:sz w:val="19"/>
              </w:rPr>
            </w:pPr>
            <w:r>
              <w:rPr>
                <w:w w:val="105"/>
                <w:sz w:val="19"/>
              </w:rPr>
              <w:t>Not stated</w:t>
            </w:r>
          </w:p>
        </w:tc>
      </w:tr>
      <w:tr w:rsidR="00EA1F74" w:rsidTr="00A85C4E">
        <w:trPr>
          <w:trHeight w:val="1271"/>
        </w:trPr>
        <w:tc>
          <w:tcPr>
            <w:tcW w:w="960" w:type="dxa"/>
            <w:shd w:val="clear" w:color="auto" w:fill="F2F2F2" w:themeFill="background1" w:themeFillShade="F2"/>
          </w:tcPr>
          <w:p w:rsidR="00EA1F74" w:rsidRDefault="00FC1CE8">
            <w:pPr>
              <w:pStyle w:val="TableParagraph"/>
              <w:spacing w:before="3" w:line="316" w:lineRule="auto"/>
              <w:ind w:left="109" w:right="316"/>
              <w:rPr>
                <w:b/>
                <w:sz w:val="19"/>
              </w:rPr>
            </w:pPr>
            <w:r>
              <w:rPr>
                <w:b/>
                <w:w w:val="105"/>
                <w:sz w:val="19"/>
              </w:rPr>
              <w:t>QLD 09-14</w:t>
            </w:r>
          </w:p>
        </w:tc>
        <w:tc>
          <w:tcPr>
            <w:tcW w:w="9547" w:type="dxa"/>
            <w:shd w:val="clear" w:color="auto" w:fill="F2F2F2" w:themeFill="background1" w:themeFillShade="F2"/>
          </w:tcPr>
          <w:p w:rsidR="00EA1F74" w:rsidRDefault="00FC1CE8">
            <w:pPr>
              <w:pStyle w:val="TableParagraph"/>
              <w:spacing w:before="3" w:line="252" w:lineRule="auto"/>
              <w:ind w:left="109"/>
              <w:rPr>
                <w:sz w:val="19"/>
              </w:rPr>
            </w:pPr>
            <w:r>
              <w:rPr>
                <w:b/>
                <w:w w:val="105"/>
                <w:sz w:val="19"/>
              </w:rPr>
              <w:t xml:space="preserve">Nutrition, swallowing and mealtime support: </w:t>
            </w:r>
            <w:r>
              <w:rPr>
                <w:w w:val="105"/>
                <w:sz w:val="19"/>
              </w:rPr>
              <w:t>No figures provided for overall sample. Specifically in relation to the five people in this sample who died due to choking/food asphyxia it was noted that swallowing assessments had been conducted and mealtime management plans developed for only three (60%). “Notably, there appeared to be a lack of compliance with those plans”</w:t>
            </w:r>
          </w:p>
          <w:p w:rsidR="00EA1F74" w:rsidRDefault="00FC1CE8">
            <w:pPr>
              <w:pStyle w:val="TableParagraph"/>
              <w:spacing w:before="62"/>
              <w:ind w:left="109"/>
              <w:rPr>
                <w:sz w:val="19"/>
              </w:rPr>
            </w:pPr>
            <w:r>
              <w:rPr>
                <w:b/>
                <w:w w:val="105"/>
                <w:sz w:val="19"/>
              </w:rPr>
              <w:t xml:space="preserve">Dental Health: </w:t>
            </w:r>
            <w:r>
              <w:rPr>
                <w:w w:val="105"/>
                <w:sz w:val="19"/>
              </w:rPr>
              <w:t>Not stated</w:t>
            </w:r>
          </w:p>
        </w:tc>
      </w:tr>
      <w:tr w:rsidR="00EA1F74">
        <w:trPr>
          <w:trHeight w:val="4007"/>
        </w:trPr>
        <w:tc>
          <w:tcPr>
            <w:tcW w:w="960" w:type="dxa"/>
          </w:tcPr>
          <w:p w:rsidR="00EA1F74" w:rsidRDefault="00FC1CE8">
            <w:pPr>
              <w:pStyle w:val="TableParagraph"/>
              <w:spacing w:before="3" w:line="316" w:lineRule="auto"/>
              <w:ind w:left="109" w:right="316"/>
              <w:rPr>
                <w:b/>
                <w:sz w:val="19"/>
              </w:rPr>
            </w:pPr>
            <w:r>
              <w:rPr>
                <w:b/>
                <w:w w:val="105"/>
                <w:sz w:val="19"/>
              </w:rPr>
              <w:t>NSW 12-13</w:t>
            </w:r>
          </w:p>
        </w:tc>
        <w:tc>
          <w:tcPr>
            <w:tcW w:w="9547" w:type="dxa"/>
          </w:tcPr>
          <w:p w:rsidR="00EA1F74" w:rsidRDefault="00FC1CE8">
            <w:pPr>
              <w:pStyle w:val="TableParagraph"/>
              <w:spacing w:before="3" w:line="252" w:lineRule="auto"/>
              <w:ind w:left="109" w:right="270"/>
              <w:jc w:val="both"/>
              <w:rPr>
                <w:sz w:val="19"/>
              </w:rPr>
            </w:pPr>
            <w:r>
              <w:rPr>
                <w:b/>
                <w:w w:val="105"/>
                <w:sz w:val="19"/>
              </w:rPr>
              <w:t xml:space="preserve">Nutrition, swallowing and mealtime support: </w:t>
            </w:r>
            <w:r>
              <w:rPr>
                <w:w w:val="105"/>
                <w:sz w:val="19"/>
              </w:rPr>
              <w:t>Since 2005, all disability accommodation services have been required to identify and address the nutrition and swallowing risks of the people in their care using an appropriate checklist. However:</w:t>
            </w:r>
          </w:p>
          <w:p w:rsidR="00EA1F74" w:rsidRDefault="00FC1CE8">
            <w:pPr>
              <w:pStyle w:val="TableParagraph"/>
              <w:numPr>
                <w:ilvl w:val="0"/>
                <w:numId w:val="55"/>
              </w:numPr>
              <w:tabs>
                <w:tab w:val="left" w:pos="470"/>
              </w:tabs>
              <w:spacing w:before="63"/>
              <w:ind w:hanging="361"/>
              <w:jc w:val="both"/>
              <w:rPr>
                <w:sz w:val="19"/>
              </w:rPr>
            </w:pPr>
            <w:r>
              <w:rPr>
                <w:w w:val="105"/>
                <w:sz w:val="19"/>
              </w:rPr>
              <w:t xml:space="preserve">Of the 52 people in </w:t>
            </w:r>
            <w:r>
              <w:rPr>
                <w:i/>
                <w:w w:val="105"/>
                <w:sz w:val="19"/>
              </w:rPr>
              <w:t xml:space="preserve">NGO services </w:t>
            </w:r>
            <w:r>
              <w:rPr>
                <w:w w:val="105"/>
                <w:sz w:val="19"/>
              </w:rPr>
              <w:t>with swallowing</w:t>
            </w:r>
            <w:r>
              <w:rPr>
                <w:spacing w:val="7"/>
                <w:w w:val="105"/>
                <w:sz w:val="19"/>
              </w:rPr>
              <w:t xml:space="preserve"> </w:t>
            </w:r>
            <w:r>
              <w:rPr>
                <w:w w:val="105"/>
                <w:sz w:val="19"/>
              </w:rPr>
              <w:t>difficulties:</w:t>
            </w:r>
          </w:p>
          <w:p w:rsidR="00EA1F74" w:rsidRDefault="00FC1CE8">
            <w:pPr>
              <w:pStyle w:val="TableParagraph"/>
              <w:numPr>
                <w:ilvl w:val="1"/>
                <w:numId w:val="55"/>
              </w:numPr>
              <w:tabs>
                <w:tab w:val="left" w:pos="830"/>
              </w:tabs>
              <w:spacing w:before="10" w:line="233" w:lineRule="exact"/>
              <w:jc w:val="both"/>
              <w:rPr>
                <w:sz w:val="19"/>
              </w:rPr>
            </w:pPr>
            <w:r>
              <w:rPr>
                <w:w w:val="105"/>
                <w:sz w:val="19"/>
              </w:rPr>
              <w:t>12% did not have a risk assessment,</w:t>
            </w:r>
            <w:r>
              <w:rPr>
                <w:spacing w:val="7"/>
                <w:w w:val="105"/>
                <w:sz w:val="19"/>
              </w:rPr>
              <w:t xml:space="preserve"> </w:t>
            </w:r>
            <w:r>
              <w:rPr>
                <w:w w:val="105"/>
                <w:sz w:val="19"/>
              </w:rPr>
              <w:t>and</w:t>
            </w:r>
          </w:p>
          <w:p w:rsidR="00EA1F74" w:rsidRDefault="00FC1CE8">
            <w:pPr>
              <w:pStyle w:val="TableParagraph"/>
              <w:numPr>
                <w:ilvl w:val="1"/>
                <w:numId w:val="55"/>
              </w:numPr>
              <w:tabs>
                <w:tab w:val="left" w:pos="830"/>
              </w:tabs>
              <w:spacing w:line="233" w:lineRule="exact"/>
              <w:jc w:val="both"/>
              <w:rPr>
                <w:sz w:val="19"/>
              </w:rPr>
            </w:pPr>
            <w:r>
              <w:rPr>
                <w:w w:val="105"/>
                <w:sz w:val="19"/>
              </w:rPr>
              <w:t>65% did not have a comprehensive</w:t>
            </w:r>
            <w:r>
              <w:rPr>
                <w:spacing w:val="6"/>
                <w:w w:val="105"/>
                <w:sz w:val="19"/>
              </w:rPr>
              <w:t xml:space="preserve"> </w:t>
            </w:r>
            <w:r>
              <w:rPr>
                <w:w w:val="105"/>
                <w:sz w:val="19"/>
              </w:rPr>
              <w:t>assessment.</w:t>
            </w:r>
          </w:p>
          <w:p w:rsidR="00EA1F74" w:rsidRDefault="00EA1F74">
            <w:pPr>
              <w:pStyle w:val="TableParagraph"/>
              <w:spacing w:before="4"/>
              <w:rPr>
                <w:sz w:val="19"/>
              </w:rPr>
            </w:pPr>
          </w:p>
          <w:p w:rsidR="00EA1F74" w:rsidRDefault="00FC1CE8">
            <w:pPr>
              <w:pStyle w:val="TableParagraph"/>
              <w:numPr>
                <w:ilvl w:val="0"/>
                <w:numId w:val="55"/>
              </w:numPr>
              <w:tabs>
                <w:tab w:val="left" w:pos="469"/>
                <w:tab w:val="left" w:pos="470"/>
              </w:tabs>
              <w:ind w:hanging="361"/>
              <w:rPr>
                <w:sz w:val="19"/>
              </w:rPr>
            </w:pPr>
            <w:r>
              <w:rPr>
                <w:w w:val="105"/>
                <w:sz w:val="19"/>
              </w:rPr>
              <w:t xml:space="preserve">Of the 96 people in </w:t>
            </w:r>
            <w:r>
              <w:rPr>
                <w:i/>
                <w:w w:val="105"/>
                <w:sz w:val="19"/>
              </w:rPr>
              <w:t xml:space="preserve">ADHC services </w:t>
            </w:r>
            <w:r>
              <w:rPr>
                <w:w w:val="105"/>
                <w:sz w:val="19"/>
              </w:rPr>
              <w:t>with swallowing</w:t>
            </w:r>
            <w:r>
              <w:rPr>
                <w:spacing w:val="6"/>
                <w:w w:val="105"/>
                <w:sz w:val="19"/>
              </w:rPr>
              <w:t xml:space="preserve"> </w:t>
            </w:r>
            <w:r>
              <w:rPr>
                <w:w w:val="105"/>
                <w:sz w:val="19"/>
              </w:rPr>
              <w:t>difficulties:</w:t>
            </w:r>
          </w:p>
          <w:p w:rsidR="00EA1F74" w:rsidRDefault="00FC1CE8">
            <w:pPr>
              <w:pStyle w:val="TableParagraph"/>
              <w:numPr>
                <w:ilvl w:val="1"/>
                <w:numId w:val="55"/>
              </w:numPr>
              <w:tabs>
                <w:tab w:val="left" w:pos="829"/>
                <w:tab w:val="left" w:pos="830"/>
              </w:tabs>
              <w:spacing w:before="10" w:line="233" w:lineRule="exact"/>
              <w:rPr>
                <w:sz w:val="19"/>
              </w:rPr>
            </w:pPr>
            <w:r>
              <w:rPr>
                <w:w w:val="105"/>
                <w:sz w:val="19"/>
              </w:rPr>
              <w:t>The majority had a comprehensive nutrition and swallowing risk assessment (69%),</w:t>
            </w:r>
            <w:r>
              <w:rPr>
                <w:spacing w:val="-3"/>
                <w:w w:val="105"/>
                <w:sz w:val="19"/>
              </w:rPr>
              <w:t xml:space="preserve"> </w:t>
            </w:r>
            <w:r>
              <w:rPr>
                <w:w w:val="105"/>
                <w:sz w:val="19"/>
              </w:rPr>
              <w:t>but</w:t>
            </w:r>
          </w:p>
          <w:p w:rsidR="00EA1F74" w:rsidRDefault="00FC1CE8">
            <w:pPr>
              <w:pStyle w:val="TableParagraph"/>
              <w:numPr>
                <w:ilvl w:val="1"/>
                <w:numId w:val="55"/>
              </w:numPr>
              <w:tabs>
                <w:tab w:val="left" w:pos="829"/>
                <w:tab w:val="left" w:pos="830"/>
              </w:tabs>
              <w:spacing w:before="1" w:line="235" w:lineRule="auto"/>
              <w:ind w:right="591"/>
              <w:rPr>
                <w:sz w:val="19"/>
              </w:rPr>
            </w:pPr>
            <w:r>
              <w:rPr>
                <w:w w:val="105"/>
                <w:sz w:val="19"/>
              </w:rPr>
              <w:t>For almost one-third, staff had either not identified all of the person’s risks (23%), or had not recorded sufficient actions that needed to be taken to address the risks (6%),</w:t>
            </w:r>
            <w:r>
              <w:rPr>
                <w:spacing w:val="-6"/>
                <w:w w:val="105"/>
                <w:sz w:val="19"/>
              </w:rPr>
              <w:t xml:space="preserve"> </w:t>
            </w:r>
            <w:r>
              <w:rPr>
                <w:w w:val="105"/>
                <w:sz w:val="19"/>
              </w:rPr>
              <w:t>and</w:t>
            </w:r>
          </w:p>
          <w:p w:rsidR="00EA1F74" w:rsidRDefault="00FC1CE8">
            <w:pPr>
              <w:pStyle w:val="TableParagraph"/>
              <w:numPr>
                <w:ilvl w:val="1"/>
                <w:numId w:val="55"/>
              </w:numPr>
              <w:tabs>
                <w:tab w:val="left" w:pos="829"/>
                <w:tab w:val="left" w:pos="830"/>
              </w:tabs>
              <w:spacing w:before="13"/>
              <w:rPr>
                <w:sz w:val="19"/>
              </w:rPr>
            </w:pPr>
            <w:r>
              <w:rPr>
                <w:w w:val="105"/>
                <w:sz w:val="19"/>
              </w:rPr>
              <w:t>one person did not have a risk</w:t>
            </w:r>
            <w:r>
              <w:rPr>
                <w:spacing w:val="6"/>
                <w:w w:val="105"/>
                <w:sz w:val="19"/>
              </w:rPr>
              <w:t xml:space="preserve"> </w:t>
            </w:r>
            <w:r>
              <w:rPr>
                <w:w w:val="105"/>
                <w:sz w:val="19"/>
              </w:rPr>
              <w:t>assessment.</w:t>
            </w:r>
          </w:p>
          <w:p w:rsidR="00EA1F74" w:rsidRDefault="00EA1F74">
            <w:pPr>
              <w:pStyle w:val="TableParagraph"/>
              <w:spacing w:before="8"/>
              <w:rPr>
                <w:sz w:val="19"/>
              </w:rPr>
            </w:pPr>
          </w:p>
          <w:p w:rsidR="00EA1F74" w:rsidRDefault="00FC1CE8">
            <w:pPr>
              <w:pStyle w:val="TableParagraph"/>
              <w:numPr>
                <w:ilvl w:val="0"/>
                <w:numId w:val="55"/>
              </w:numPr>
              <w:tabs>
                <w:tab w:val="left" w:pos="469"/>
                <w:tab w:val="left" w:pos="470"/>
              </w:tabs>
              <w:spacing w:line="249" w:lineRule="auto"/>
              <w:ind w:right="265"/>
              <w:rPr>
                <w:sz w:val="19"/>
              </w:rPr>
            </w:pPr>
            <w:r>
              <w:rPr>
                <w:w w:val="105"/>
                <w:sz w:val="19"/>
              </w:rPr>
              <w:t xml:space="preserve">Mealtime support guidance (such as a mealtime management plan or eating and drinking plan) was recorded for the majority (86%) of the people with swallowing difficulties in </w:t>
            </w:r>
            <w:r>
              <w:rPr>
                <w:i/>
                <w:w w:val="105"/>
                <w:sz w:val="19"/>
              </w:rPr>
              <w:t xml:space="preserve">disability services </w:t>
            </w:r>
            <w:r>
              <w:rPr>
                <w:w w:val="105"/>
                <w:sz w:val="19"/>
              </w:rPr>
              <w:t>who died.</w:t>
            </w:r>
          </w:p>
        </w:tc>
      </w:tr>
    </w:tbl>
    <w:p w:rsidR="00EA1F74" w:rsidRDefault="00EA1F74">
      <w:pPr>
        <w:spacing w:line="249" w:lineRule="auto"/>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tbl>
      <w:tblPr>
        <w:tblW w:w="0" w:type="auto"/>
        <w:tblInd w:w="724"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2763"/>
        </w:trPr>
        <w:tc>
          <w:tcPr>
            <w:tcW w:w="960" w:type="dxa"/>
          </w:tcPr>
          <w:p w:rsidR="00EA1F74" w:rsidRDefault="00EA1F74">
            <w:pPr>
              <w:pStyle w:val="TableParagraph"/>
              <w:rPr>
                <w:rFonts w:ascii="Times New Roman"/>
                <w:sz w:val="20"/>
              </w:rPr>
            </w:pPr>
          </w:p>
        </w:tc>
        <w:tc>
          <w:tcPr>
            <w:tcW w:w="9547" w:type="dxa"/>
          </w:tcPr>
          <w:p w:rsidR="00EA1F74" w:rsidRDefault="00FC1CE8">
            <w:pPr>
              <w:pStyle w:val="TableParagraph"/>
              <w:numPr>
                <w:ilvl w:val="0"/>
                <w:numId w:val="54"/>
              </w:numPr>
              <w:tabs>
                <w:tab w:val="left" w:pos="469"/>
                <w:tab w:val="left" w:pos="470"/>
              </w:tabs>
              <w:spacing w:before="5" w:line="249" w:lineRule="auto"/>
              <w:ind w:right="254"/>
              <w:rPr>
                <w:sz w:val="19"/>
              </w:rPr>
            </w:pPr>
            <w:r>
              <w:rPr>
                <w:w w:val="105"/>
                <w:sz w:val="19"/>
              </w:rPr>
              <w:t>For 20 people with swallowing difficulties, there was no written guidance to indicate to staff (or other services) what support the individuals required to minimise their swallowing</w:t>
            </w:r>
            <w:r>
              <w:rPr>
                <w:spacing w:val="-1"/>
                <w:w w:val="105"/>
                <w:sz w:val="19"/>
              </w:rPr>
              <w:t xml:space="preserve"> </w:t>
            </w:r>
            <w:r>
              <w:rPr>
                <w:w w:val="105"/>
                <w:sz w:val="19"/>
              </w:rPr>
              <w:t>risks.</w:t>
            </w:r>
          </w:p>
          <w:p w:rsidR="00EA1F74" w:rsidRDefault="00EA1F74">
            <w:pPr>
              <w:pStyle w:val="TableParagraph"/>
              <w:spacing w:before="5"/>
              <w:rPr>
                <w:sz w:val="25"/>
              </w:rPr>
            </w:pPr>
          </w:p>
          <w:p w:rsidR="00EA1F74" w:rsidRDefault="00FC1CE8">
            <w:pPr>
              <w:pStyle w:val="TableParagraph"/>
              <w:ind w:left="109"/>
              <w:rPr>
                <w:b/>
                <w:sz w:val="19"/>
              </w:rPr>
            </w:pPr>
            <w:r>
              <w:rPr>
                <w:b/>
                <w:w w:val="105"/>
                <w:sz w:val="19"/>
              </w:rPr>
              <w:t>Dental</w:t>
            </w:r>
            <w:r>
              <w:rPr>
                <w:b/>
                <w:spacing w:val="-6"/>
                <w:w w:val="105"/>
                <w:sz w:val="19"/>
              </w:rPr>
              <w:t xml:space="preserve"> </w:t>
            </w:r>
            <w:r>
              <w:rPr>
                <w:b/>
                <w:w w:val="105"/>
                <w:sz w:val="19"/>
              </w:rPr>
              <w:t>Health</w:t>
            </w:r>
          </w:p>
          <w:p w:rsidR="00EA1F74" w:rsidRDefault="00FC1CE8">
            <w:pPr>
              <w:pStyle w:val="TableParagraph"/>
              <w:numPr>
                <w:ilvl w:val="0"/>
                <w:numId w:val="54"/>
              </w:numPr>
              <w:tabs>
                <w:tab w:val="left" w:pos="469"/>
                <w:tab w:val="left" w:pos="470"/>
              </w:tabs>
              <w:spacing w:before="76" w:line="249" w:lineRule="auto"/>
              <w:ind w:right="151"/>
              <w:rPr>
                <w:sz w:val="19"/>
              </w:rPr>
            </w:pPr>
            <w:r>
              <w:rPr>
                <w:w w:val="105"/>
                <w:sz w:val="19"/>
              </w:rPr>
              <w:t>24% of the people in disability services and 29% of assisted boarding house residents had all of their teeth.</w:t>
            </w:r>
          </w:p>
          <w:p w:rsidR="00EA1F74" w:rsidRDefault="00FC1CE8">
            <w:pPr>
              <w:pStyle w:val="TableParagraph"/>
              <w:numPr>
                <w:ilvl w:val="0"/>
                <w:numId w:val="54"/>
              </w:numPr>
              <w:tabs>
                <w:tab w:val="left" w:pos="469"/>
                <w:tab w:val="left" w:pos="470"/>
              </w:tabs>
              <w:spacing w:before="1" w:line="249" w:lineRule="auto"/>
              <w:ind w:right="344"/>
              <w:rPr>
                <w:sz w:val="19"/>
              </w:rPr>
            </w:pPr>
            <w:r>
              <w:rPr>
                <w:w w:val="105"/>
                <w:sz w:val="19"/>
              </w:rPr>
              <w:t>Most (79%) of the people in disability services who died in 2012 and 2013 had seen a dentist. 64% had seen a dentist in the year before their</w:t>
            </w:r>
            <w:r>
              <w:rPr>
                <w:spacing w:val="6"/>
                <w:w w:val="105"/>
                <w:sz w:val="19"/>
              </w:rPr>
              <w:t xml:space="preserve"> </w:t>
            </w:r>
            <w:r>
              <w:rPr>
                <w:w w:val="105"/>
                <w:sz w:val="19"/>
              </w:rPr>
              <w:t>death.</w:t>
            </w:r>
          </w:p>
          <w:p w:rsidR="00EA1F74" w:rsidRDefault="00FC1CE8">
            <w:pPr>
              <w:pStyle w:val="TableParagraph"/>
              <w:numPr>
                <w:ilvl w:val="0"/>
                <w:numId w:val="54"/>
              </w:numPr>
              <w:tabs>
                <w:tab w:val="left" w:pos="469"/>
                <w:tab w:val="left" w:pos="470"/>
              </w:tabs>
              <w:spacing w:before="6" w:line="249" w:lineRule="auto"/>
              <w:ind w:right="293"/>
              <w:rPr>
                <w:sz w:val="19"/>
              </w:rPr>
            </w:pPr>
            <w:r>
              <w:rPr>
                <w:w w:val="105"/>
                <w:sz w:val="19"/>
              </w:rPr>
              <w:t>Less than half (43%) of the assisted boarding house residents had seen a dentist at any time. All of the six people had seen a dentist in the year before they</w:t>
            </w:r>
            <w:r>
              <w:rPr>
                <w:spacing w:val="8"/>
                <w:w w:val="105"/>
                <w:sz w:val="19"/>
              </w:rPr>
              <w:t xml:space="preserve"> </w:t>
            </w:r>
            <w:r>
              <w:rPr>
                <w:w w:val="105"/>
                <w:sz w:val="19"/>
              </w:rPr>
              <w:t>died.</w:t>
            </w:r>
          </w:p>
        </w:tc>
      </w:tr>
      <w:tr w:rsidR="00EA1F74" w:rsidTr="00A85C4E">
        <w:trPr>
          <w:trHeight w:val="4832"/>
        </w:trPr>
        <w:tc>
          <w:tcPr>
            <w:tcW w:w="960" w:type="dxa"/>
            <w:shd w:val="clear" w:color="auto" w:fill="F2F2F2" w:themeFill="background1" w:themeFillShade="F2"/>
          </w:tcPr>
          <w:p w:rsidR="00EA1F74" w:rsidRDefault="00FC1CE8">
            <w:pPr>
              <w:pStyle w:val="TableParagraph"/>
              <w:spacing w:before="3" w:line="252" w:lineRule="auto"/>
              <w:ind w:left="109" w:right="316"/>
              <w:rPr>
                <w:b/>
                <w:sz w:val="19"/>
              </w:rPr>
            </w:pPr>
            <w:r>
              <w:rPr>
                <w:b/>
                <w:w w:val="105"/>
                <w:sz w:val="19"/>
              </w:rPr>
              <w:t>NSW 14-17</w:t>
            </w:r>
          </w:p>
        </w:tc>
        <w:tc>
          <w:tcPr>
            <w:tcW w:w="9547" w:type="dxa"/>
            <w:shd w:val="clear" w:color="auto" w:fill="F2F2F2" w:themeFill="background1" w:themeFillShade="F2"/>
          </w:tcPr>
          <w:p w:rsidR="00EA1F74" w:rsidRDefault="00FC1CE8">
            <w:pPr>
              <w:pStyle w:val="TableParagraph"/>
              <w:spacing w:before="3" w:line="252" w:lineRule="auto"/>
              <w:ind w:left="109" w:right="409"/>
              <w:rPr>
                <w:sz w:val="19"/>
              </w:rPr>
            </w:pPr>
            <w:r>
              <w:rPr>
                <w:b/>
                <w:w w:val="105"/>
                <w:sz w:val="19"/>
              </w:rPr>
              <w:t xml:space="preserve">Nutrition, swallowing and mealtime support: </w:t>
            </w:r>
            <w:r>
              <w:rPr>
                <w:w w:val="105"/>
                <w:sz w:val="19"/>
              </w:rPr>
              <w:t xml:space="preserve">Most of the people in </w:t>
            </w:r>
            <w:r>
              <w:rPr>
                <w:i/>
                <w:w w:val="105"/>
                <w:sz w:val="19"/>
              </w:rPr>
              <w:t xml:space="preserve">disability services </w:t>
            </w:r>
            <w:r>
              <w:rPr>
                <w:w w:val="105"/>
                <w:sz w:val="19"/>
              </w:rPr>
              <w:t>who died in 2014-2017 required assistance with meals, associated with swallowing difficulties, eating problems, or both. None of the assisted boarding house residents who died required this assistance.</w:t>
            </w:r>
          </w:p>
          <w:p w:rsidR="00EA1F74" w:rsidRDefault="00EA1F74">
            <w:pPr>
              <w:pStyle w:val="TableParagraph"/>
              <w:spacing w:before="5"/>
              <w:rPr>
                <w:sz w:val="25"/>
              </w:rPr>
            </w:pPr>
          </w:p>
          <w:p w:rsidR="00EA1F74" w:rsidRDefault="00FC1CE8">
            <w:pPr>
              <w:pStyle w:val="TableParagraph"/>
              <w:numPr>
                <w:ilvl w:val="0"/>
                <w:numId w:val="53"/>
              </w:numPr>
              <w:tabs>
                <w:tab w:val="left" w:pos="469"/>
                <w:tab w:val="left" w:pos="470"/>
              </w:tabs>
              <w:spacing w:before="1"/>
              <w:ind w:hanging="361"/>
              <w:rPr>
                <w:sz w:val="19"/>
              </w:rPr>
            </w:pPr>
            <w:r>
              <w:rPr>
                <w:w w:val="105"/>
                <w:sz w:val="19"/>
              </w:rPr>
              <w:t xml:space="preserve">Of the people in </w:t>
            </w:r>
            <w:r>
              <w:rPr>
                <w:i/>
                <w:w w:val="105"/>
                <w:sz w:val="19"/>
              </w:rPr>
              <w:t xml:space="preserve">disability services </w:t>
            </w:r>
            <w:r>
              <w:rPr>
                <w:w w:val="105"/>
                <w:sz w:val="19"/>
              </w:rPr>
              <w:t>who died in</w:t>
            </w:r>
            <w:r>
              <w:rPr>
                <w:spacing w:val="7"/>
                <w:w w:val="105"/>
                <w:sz w:val="19"/>
              </w:rPr>
              <w:t xml:space="preserve"> </w:t>
            </w:r>
            <w:r>
              <w:rPr>
                <w:w w:val="105"/>
                <w:sz w:val="19"/>
              </w:rPr>
              <w:t>2014-2017:</w:t>
            </w:r>
          </w:p>
          <w:p w:rsidR="00EA1F74" w:rsidRDefault="00FC1CE8">
            <w:pPr>
              <w:pStyle w:val="TableParagraph"/>
              <w:numPr>
                <w:ilvl w:val="1"/>
                <w:numId w:val="53"/>
              </w:numPr>
              <w:tabs>
                <w:tab w:val="left" w:pos="829"/>
                <w:tab w:val="left" w:pos="830"/>
              </w:tabs>
              <w:spacing w:before="13" w:line="235" w:lineRule="auto"/>
              <w:ind w:right="659"/>
              <w:rPr>
                <w:sz w:val="19"/>
              </w:rPr>
            </w:pPr>
            <w:r>
              <w:rPr>
                <w:w w:val="105"/>
                <w:sz w:val="19"/>
              </w:rPr>
              <w:t>54 (11%) relied on enteral nutrition (tube feeding), primarily via a percutaneous endoscopic gastrostomy (PEG)</w:t>
            </w:r>
            <w:r>
              <w:rPr>
                <w:spacing w:val="1"/>
                <w:w w:val="105"/>
                <w:sz w:val="19"/>
              </w:rPr>
              <w:t xml:space="preserve"> </w:t>
            </w:r>
            <w:r>
              <w:rPr>
                <w:w w:val="105"/>
                <w:sz w:val="19"/>
              </w:rPr>
              <w:t>tube</w:t>
            </w:r>
          </w:p>
          <w:p w:rsidR="00EA1F74" w:rsidRDefault="00FC1CE8">
            <w:pPr>
              <w:pStyle w:val="TableParagraph"/>
              <w:numPr>
                <w:ilvl w:val="1"/>
                <w:numId w:val="53"/>
              </w:numPr>
              <w:tabs>
                <w:tab w:val="left" w:pos="829"/>
                <w:tab w:val="left" w:pos="830"/>
              </w:tabs>
              <w:spacing w:before="13" w:line="233" w:lineRule="exact"/>
              <w:rPr>
                <w:sz w:val="19"/>
              </w:rPr>
            </w:pPr>
            <w:r>
              <w:rPr>
                <w:w w:val="105"/>
                <w:sz w:val="19"/>
              </w:rPr>
              <w:t>The majority (85%) had seen a dietitian in the year before they</w:t>
            </w:r>
            <w:r>
              <w:rPr>
                <w:spacing w:val="7"/>
                <w:w w:val="105"/>
                <w:sz w:val="19"/>
              </w:rPr>
              <w:t xml:space="preserve"> </w:t>
            </w:r>
            <w:r>
              <w:rPr>
                <w:w w:val="105"/>
                <w:sz w:val="19"/>
              </w:rPr>
              <w:t>died</w:t>
            </w:r>
          </w:p>
          <w:p w:rsidR="00EA1F74" w:rsidRDefault="00FC1CE8">
            <w:pPr>
              <w:pStyle w:val="TableParagraph"/>
              <w:numPr>
                <w:ilvl w:val="1"/>
                <w:numId w:val="53"/>
              </w:numPr>
              <w:tabs>
                <w:tab w:val="left" w:pos="829"/>
                <w:tab w:val="left" w:pos="830"/>
              </w:tabs>
              <w:spacing w:line="230" w:lineRule="exact"/>
              <w:rPr>
                <w:sz w:val="19"/>
              </w:rPr>
            </w:pPr>
            <w:r>
              <w:rPr>
                <w:w w:val="105"/>
                <w:sz w:val="19"/>
              </w:rPr>
              <w:t>Two thirds (65%) had swallowing</w:t>
            </w:r>
            <w:r>
              <w:rPr>
                <w:spacing w:val="5"/>
                <w:w w:val="105"/>
                <w:sz w:val="19"/>
              </w:rPr>
              <w:t xml:space="preserve"> </w:t>
            </w:r>
            <w:r>
              <w:rPr>
                <w:w w:val="105"/>
                <w:sz w:val="19"/>
              </w:rPr>
              <w:t>difficulties</w:t>
            </w:r>
          </w:p>
          <w:p w:rsidR="00EA1F74" w:rsidRDefault="00FC1CE8">
            <w:pPr>
              <w:pStyle w:val="TableParagraph"/>
              <w:numPr>
                <w:ilvl w:val="1"/>
                <w:numId w:val="53"/>
              </w:numPr>
              <w:tabs>
                <w:tab w:val="left" w:pos="829"/>
                <w:tab w:val="left" w:pos="830"/>
              </w:tabs>
              <w:spacing w:before="1" w:line="235" w:lineRule="auto"/>
              <w:ind w:right="157"/>
              <w:rPr>
                <w:sz w:val="19"/>
              </w:rPr>
            </w:pPr>
            <w:r>
              <w:rPr>
                <w:w w:val="105"/>
                <w:sz w:val="19"/>
              </w:rPr>
              <w:t>The majority (87%) had seen a speech pathologist and/or attended a dysphagia clinic in the year before they</w:t>
            </w:r>
            <w:r>
              <w:rPr>
                <w:spacing w:val="2"/>
                <w:w w:val="105"/>
                <w:sz w:val="19"/>
              </w:rPr>
              <w:t xml:space="preserve"> </w:t>
            </w:r>
            <w:r>
              <w:rPr>
                <w:w w:val="105"/>
                <w:sz w:val="19"/>
              </w:rPr>
              <w:t>died</w:t>
            </w:r>
          </w:p>
          <w:p w:rsidR="00EA1F74" w:rsidRDefault="00FC1CE8">
            <w:pPr>
              <w:pStyle w:val="TableParagraph"/>
              <w:numPr>
                <w:ilvl w:val="1"/>
                <w:numId w:val="53"/>
              </w:numPr>
              <w:tabs>
                <w:tab w:val="left" w:pos="829"/>
                <w:tab w:val="left" w:pos="830"/>
              </w:tabs>
              <w:spacing w:before="15" w:line="235" w:lineRule="auto"/>
              <w:ind w:right="369"/>
              <w:rPr>
                <w:sz w:val="19"/>
              </w:rPr>
            </w:pPr>
            <w:r>
              <w:rPr>
                <w:w w:val="105"/>
                <w:sz w:val="19"/>
              </w:rPr>
              <w:t>Just over half (51%) had eating and drinking mealtime behaviours, such as swallowing without chewing, eating too quickly, overfilling their mouth, and compulsive behaviour around</w:t>
            </w:r>
            <w:r>
              <w:rPr>
                <w:spacing w:val="-19"/>
                <w:w w:val="105"/>
                <w:sz w:val="19"/>
              </w:rPr>
              <w:t xml:space="preserve"> </w:t>
            </w:r>
            <w:r>
              <w:rPr>
                <w:w w:val="105"/>
                <w:sz w:val="19"/>
              </w:rPr>
              <w:t>food.</w:t>
            </w:r>
          </w:p>
          <w:p w:rsidR="00EA1F74" w:rsidRDefault="00EA1F74">
            <w:pPr>
              <w:pStyle w:val="TableParagraph"/>
              <w:spacing w:before="2"/>
              <w:rPr>
                <w:sz w:val="26"/>
              </w:rPr>
            </w:pPr>
          </w:p>
          <w:p w:rsidR="00EA1F74" w:rsidRDefault="00FC1CE8">
            <w:pPr>
              <w:pStyle w:val="TableParagraph"/>
              <w:ind w:left="109"/>
              <w:rPr>
                <w:b/>
                <w:sz w:val="19"/>
              </w:rPr>
            </w:pPr>
            <w:r>
              <w:rPr>
                <w:b/>
                <w:w w:val="105"/>
                <w:sz w:val="19"/>
              </w:rPr>
              <w:t>Dental Health</w:t>
            </w:r>
          </w:p>
          <w:p w:rsidR="00EA1F74" w:rsidRDefault="00FC1CE8">
            <w:pPr>
              <w:pStyle w:val="TableParagraph"/>
              <w:numPr>
                <w:ilvl w:val="0"/>
                <w:numId w:val="53"/>
              </w:numPr>
              <w:tabs>
                <w:tab w:val="left" w:pos="469"/>
                <w:tab w:val="left" w:pos="470"/>
              </w:tabs>
              <w:spacing w:before="71"/>
              <w:ind w:hanging="361"/>
              <w:rPr>
                <w:sz w:val="19"/>
              </w:rPr>
            </w:pPr>
            <w:r>
              <w:rPr>
                <w:w w:val="105"/>
                <w:sz w:val="19"/>
              </w:rPr>
              <w:t>68% of the people who died in 2014-2017 were missing some or all of their</w:t>
            </w:r>
            <w:r>
              <w:rPr>
                <w:spacing w:val="3"/>
                <w:w w:val="105"/>
                <w:sz w:val="19"/>
              </w:rPr>
              <w:t xml:space="preserve"> </w:t>
            </w:r>
            <w:r>
              <w:rPr>
                <w:w w:val="105"/>
                <w:sz w:val="19"/>
              </w:rPr>
              <w:t>teeth.</w:t>
            </w:r>
          </w:p>
          <w:p w:rsidR="00EA1F74" w:rsidRDefault="00FC1CE8">
            <w:pPr>
              <w:pStyle w:val="TableParagraph"/>
              <w:numPr>
                <w:ilvl w:val="0"/>
                <w:numId w:val="53"/>
              </w:numPr>
              <w:tabs>
                <w:tab w:val="left" w:pos="469"/>
                <w:tab w:val="left" w:pos="470"/>
              </w:tabs>
              <w:spacing w:before="12"/>
              <w:ind w:hanging="361"/>
              <w:rPr>
                <w:sz w:val="19"/>
              </w:rPr>
            </w:pPr>
            <w:r>
              <w:rPr>
                <w:w w:val="105"/>
                <w:sz w:val="19"/>
              </w:rPr>
              <w:t>Dental health was worse for boarding house residents than disability services residents.</w:t>
            </w:r>
          </w:p>
          <w:p w:rsidR="00EA1F74" w:rsidRDefault="00FC1CE8">
            <w:pPr>
              <w:pStyle w:val="TableParagraph"/>
              <w:numPr>
                <w:ilvl w:val="0"/>
                <w:numId w:val="53"/>
              </w:numPr>
              <w:tabs>
                <w:tab w:val="left" w:pos="469"/>
                <w:tab w:val="left" w:pos="470"/>
              </w:tabs>
              <w:spacing w:before="12" w:line="244" w:lineRule="auto"/>
              <w:ind w:right="240"/>
              <w:rPr>
                <w:sz w:val="19"/>
              </w:rPr>
            </w:pPr>
            <w:r>
              <w:rPr>
                <w:w w:val="105"/>
                <w:sz w:val="19"/>
              </w:rPr>
              <w:t>69% of the people in disability services who died in 2014-2017 had seen a dentist in the year before their death. Only one-third 33% of the boarding house residents who died in the same period</w:t>
            </w:r>
            <w:r>
              <w:rPr>
                <w:spacing w:val="-20"/>
                <w:w w:val="105"/>
                <w:sz w:val="19"/>
              </w:rPr>
              <w:t xml:space="preserve"> </w:t>
            </w:r>
            <w:r>
              <w:rPr>
                <w:w w:val="105"/>
                <w:sz w:val="19"/>
              </w:rPr>
              <w:t>had</w:t>
            </w:r>
          </w:p>
          <w:p w:rsidR="00EA1F74" w:rsidRDefault="00FC1CE8">
            <w:pPr>
              <w:pStyle w:val="TableParagraph"/>
              <w:spacing w:before="9" w:line="206" w:lineRule="exact"/>
              <w:ind w:left="470"/>
              <w:rPr>
                <w:sz w:val="19"/>
              </w:rPr>
            </w:pPr>
            <w:r>
              <w:rPr>
                <w:w w:val="105"/>
                <w:sz w:val="19"/>
              </w:rPr>
              <w:t>seen a dentist.</w:t>
            </w:r>
          </w:p>
        </w:tc>
      </w:tr>
    </w:tbl>
    <w:p w:rsidR="00EA1F74" w:rsidRDefault="00EA1F74" w:rsidP="00625DA1">
      <w:pPr>
        <w:pStyle w:val="BodyText"/>
      </w:pPr>
    </w:p>
    <w:p w:rsidR="00EA1F74" w:rsidRDefault="00EA1F74" w:rsidP="00625DA1">
      <w:pPr>
        <w:pStyle w:val="BodyText"/>
      </w:pPr>
    </w:p>
    <w:p w:rsidR="00EA1F74" w:rsidRDefault="00EA1F74" w:rsidP="00625DA1">
      <w:pPr>
        <w:pStyle w:val="BodyText"/>
      </w:pPr>
    </w:p>
    <w:p w:rsidR="00EA1F74" w:rsidRDefault="00FC1CE8">
      <w:pPr>
        <w:pStyle w:val="Heading4"/>
        <w:spacing w:before="93"/>
      </w:pPr>
      <w:bookmarkStart w:id="29" w:name="_TOC_250036"/>
      <w:bookmarkEnd w:id="29"/>
      <w:r>
        <w:rPr>
          <w:color w:val="4472C4"/>
        </w:rPr>
        <w:t>Mobility and Communication</w:t>
      </w:r>
    </w:p>
    <w:p w:rsidR="00EA1F74" w:rsidRDefault="00FC1CE8" w:rsidP="00625DA1">
      <w:pPr>
        <w:pStyle w:val="BodyText"/>
      </w:pPr>
      <w:r>
        <w:t>Table 16 summarises mobility and communication needs across samples. Of note is the high number of in-scope deaths that involved people who required communication support. The number of people requiring a communication plan who had one in place was either unknown or not investigated in QLD and NSW. In VIC, it was noted that, for the 2017-18 investigative period, 38% of the sample who needed a communication plan did not have one on record.</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FC1CE8" w:rsidP="00625DA1">
      <w:pPr>
        <w:pStyle w:val="BodyText"/>
      </w:pPr>
      <w:r>
        <w:t>Table 16: Mobility and communication</w:t>
      </w:r>
    </w:p>
    <w:tbl>
      <w:tblPr>
        <w:tblW w:w="0" w:type="auto"/>
        <w:tblInd w:w="494"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782"/>
      </w:tblGrid>
      <w:tr w:rsidR="00EA1F74">
        <w:trPr>
          <w:trHeight w:val="521"/>
        </w:trPr>
        <w:tc>
          <w:tcPr>
            <w:tcW w:w="960" w:type="dxa"/>
            <w:tcBorders>
              <w:bottom w:val="single" w:sz="18" w:space="0" w:color="A5A5A5"/>
            </w:tcBorders>
          </w:tcPr>
          <w:p w:rsidR="00EA1F74" w:rsidRDefault="00FC1CE8">
            <w:pPr>
              <w:pStyle w:val="TableParagraph"/>
              <w:spacing w:before="8" w:line="252" w:lineRule="auto"/>
              <w:ind w:left="109" w:right="212"/>
              <w:rPr>
                <w:sz w:val="19"/>
              </w:rPr>
            </w:pPr>
            <w:r>
              <w:rPr>
                <w:w w:val="105"/>
                <w:sz w:val="19"/>
              </w:rPr>
              <w:t>Report ID</w:t>
            </w:r>
          </w:p>
        </w:tc>
        <w:tc>
          <w:tcPr>
            <w:tcW w:w="9782" w:type="dxa"/>
            <w:tcBorders>
              <w:bottom w:val="single" w:sz="18" w:space="0" w:color="A5A5A5"/>
            </w:tcBorders>
          </w:tcPr>
          <w:p w:rsidR="00EA1F74" w:rsidRDefault="00FC1CE8">
            <w:pPr>
              <w:pStyle w:val="TableParagraph"/>
              <w:spacing w:before="8"/>
              <w:ind w:left="109"/>
              <w:rPr>
                <w:sz w:val="19"/>
              </w:rPr>
            </w:pPr>
            <w:r>
              <w:rPr>
                <w:w w:val="105"/>
                <w:sz w:val="19"/>
              </w:rPr>
              <w:t>Mobility and Communication</w:t>
            </w:r>
          </w:p>
        </w:tc>
      </w:tr>
      <w:tr w:rsidR="00EA1F74" w:rsidTr="00A85C4E">
        <w:trPr>
          <w:trHeight w:val="4568"/>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09" w:right="316"/>
              <w:rPr>
                <w:b/>
                <w:sz w:val="19"/>
              </w:rPr>
            </w:pPr>
            <w:r>
              <w:rPr>
                <w:b/>
                <w:w w:val="105"/>
                <w:sz w:val="19"/>
              </w:rPr>
              <w:t>VIC 17-18</w:t>
            </w:r>
          </w:p>
        </w:tc>
        <w:tc>
          <w:tcPr>
            <w:tcW w:w="9782" w:type="dxa"/>
            <w:tcBorders>
              <w:top w:val="single" w:sz="18" w:space="0" w:color="A5A5A5"/>
            </w:tcBorders>
            <w:shd w:val="clear" w:color="auto" w:fill="F2F2F2" w:themeFill="background1" w:themeFillShade="F2"/>
          </w:tcPr>
          <w:p w:rsidR="00EA1F74" w:rsidRDefault="00FC1CE8">
            <w:pPr>
              <w:pStyle w:val="TableParagraph"/>
              <w:spacing w:before="3"/>
              <w:ind w:left="109"/>
              <w:rPr>
                <w:b/>
                <w:sz w:val="19"/>
              </w:rPr>
            </w:pPr>
            <w:r>
              <w:rPr>
                <w:b/>
                <w:w w:val="105"/>
                <w:sz w:val="19"/>
              </w:rPr>
              <w:t>Communication needs:</w:t>
            </w:r>
          </w:p>
          <w:p w:rsidR="00EA1F74" w:rsidRDefault="00FC1CE8">
            <w:pPr>
              <w:pStyle w:val="TableParagraph"/>
              <w:numPr>
                <w:ilvl w:val="0"/>
                <w:numId w:val="52"/>
              </w:numPr>
              <w:tabs>
                <w:tab w:val="left" w:pos="469"/>
                <w:tab w:val="left" w:pos="470"/>
              </w:tabs>
              <w:spacing w:before="76"/>
              <w:ind w:hanging="361"/>
              <w:rPr>
                <w:sz w:val="19"/>
              </w:rPr>
            </w:pPr>
            <w:r>
              <w:rPr>
                <w:w w:val="105"/>
                <w:sz w:val="19"/>
              </w:rPr>
              <w:t>Non-verbal requiring aides or gestures to communicate:</w:t>
            </w:r>
            <w:r>
              <w:rPr>
                <w:spacing w:val="3"/>
                <w:w w:val="105"/>
                <w:sz w:val="19"/>
              </w:rPr>
              <w:t xml:space="preserve"> </w:t>
            </w:r>
            <w:r>
              <w:rPr>
                <w:w w:val="105"/>
                <w:sz w:val="19"/>
              </w:rPr>
              <w:t>41%</w:t>
            </w:r>
          </w:p>
          <w:p w:rsidR="00EA1F74" w:rsidRDefault="00FC1CE8">
            <w:pPr>
              <w:pStyle w:val="TableParagraph"/>
              <w:numPr>
                <w:ilvl w:val="0"/>
                <w:numId w:val="52"/>
              </w:numPr>
              <w:tabs>
                <w:tab w:val="left" w:pos="469"/>
                <w:tab w:val="left" w:pos="470"/>
              </w:tabs>
              <w:spacing w:before="7"/>
              <w:ind w:hanging="361"/>
              <w:rPr>
                <w:sz w:val="19"/>
              </w:rPr>
            </w:pPr>
            <w:r>
              <w:rPr>
                <w:w w:val="105"/>
                <w:sz w:val="19"/>
              </w:rPr>
              <w:t>Unable to communicate at all:</w:t>
            </w:r>
            <w:r>
              <w:rPr>
                <w:spacing w:val="4"/>
                <w:w w:val="105"/>
                <w:sz w:val="19"/>
              </w:rPr>
              <w:t xml:space="preserve"> </w:t>
            </w:r>
            <w:r>
              <w:rPr>
                <w:w w:val="105"/>
                <w:sz w:val="19"/>
              </w:rPr>
              <w:t>6%</w:t>
            </w:r>
          </w:p>
          <w:p w:rsidR="00EA1F74" w:rsidRDefault="00FC1CE8">
            <w:pPr>
              <w:pStyle w:val="TableParagraph"/>
              <w:numPr>
                <w:ilvl w:val="0"/>
                <w:numId w:val="52"/>
              </w:numPr>
              <w:tabs>
                <w:tab w:val="left" w:pos="469"/>
                <w:tab w:val="left" w:pos="470"/>
              </w:tabs>
              <w:spacing w:before="12"/>
              <w:ind w:hanging="361"/>
              <w:rPr>
                <w:sz w:val="19"/>
              </w:rPr>
            </w:pPr>
            <w:r>
              <w:rPr>
                <w:w w:val="105"/>
                <w:sz w:val="19"/>
              </w:rPr>
              <w:t>Have verbal language but require communication support:</w:t>
            </w:r>
            <w:r>
              <w:rPr>
                <w:spacing w:val="3"/>
                <w:w w:val="105"/>
                <w:sz w:val="19"/>
              </w:rPr>
              <w:t xml:space="preserve"> </w:t>
            </w:r>
            <w:r>
              <w:rPr>
                <w:w w:val="105"/>
                <w:sz w:val="19"/>
              </w:rPr>
              <w:t>6%</w:t>
            </w:r>
          </w:p>
          <w:p w:rsidR="00EA1F74" w:rsidRDefault="00FC1CE8">
            <w:pPr>
              <w:pStyle w:val="TableParagraph"/>
              <w:numPr>
                <w:ilvl w:val="0"/>
                <w:numId w:val="52"/>
              </w:numPr>
              <w:tabs>
                <w:tab w:val="left" w:pos="469"/>
                <w:tab w:val="left" w:pos="470"/>
              </w:tabs>
              <w:spacing w:before="12"/>
              <w:ind w:hanging="361"/>
              <w:rPr>
                <w:sz w:val="19"/>
              </w:rPr>
            </w:pPr>
            <w:r>
              <w:rPr>
                <w:w w:val="105"/>
                <w:sz w:val="19"/>
              </w:rPr>
              <w:t>Have verbal skills and no communication support required</w:t>
            </w:r>
            <w:r>
              <w:rPr>
                <w:spacing w:val="5"/>
                <w:w w:val="105"/>
                <w:sz w:val="19"/>
              </w:rPr>
              <w:t xml:space="preserve"> </w:t>
            </w:r>
            <w:r>
              <w:rPr>
                <w:w w:val="105"/>
                <w:sz w:val="19"/>
              </w:rPr>
              <w:t>47%</w:t>
            </w:r>
          </w:p>
          <w:p w:rsidR="00EA1F74" w:rsidRDefault="00EA1F74">
            <w:pPr>
              <w:pStyle w:val="TableParagraph"/>
              <w:spacing w:before="11"/>
              <w:rPr>
                <w:sz w:val="20"/>
              </w:rPr>
            </w:pPr>
          </w:p>
          <w:p w:rsidR="00EA1F74" w:rsidRDefault="00FC1CE8">
            <w:pPr>
              <w:pStyle w:val="TableParagraph"/>
              <w:spacing w:line="249" w:lineRule="auto"/>
              <w:ind w:left="109" w:right="102"/>
              <w:rPr>
                <w:sz w:val="19"/>
              </w:rPr>
            </w:pPr>
            <w:r>
              <w:rPr>
                <w:i/>
                <w:w w:val="105"/>
                <w:sz w:val="19"/>
              </w:rPr>
              <w:t xml:space="preserve">Communication plans: </w:t>
            </w:r>
            <w:r>
              <w:rPr>
                <w:w w:val="105"/>
                <w:sz w:val="19"/>
              </w:rPr>
              <w:t>53% of deaths reported were for people whose reported level of communication indicated that a communication plan should have been in place. However, 38% of this cohort did not have any communication plan on record.</w:t>
            </w:r>
          </w:p>
          <w:p w:rsidR="00EA1F74" w:rsidRDefault="00FC1CE8">
            <w:pPr>
              <w:pStyle w:val="TableParagraph"/>
              <w:spacing w:before="67" w:line="252" w:lineRule="auto"/>
              <w:ind w:left="109" w:right="102"/>
              <w:rPr>
                <w:i/>
                <w:sz w:val="19"/>
              </w:rPr>
            </w:pPr>
            <w:r>
              <w:rPr>
                <w:i/>
                <w:w w:val="105"/>
                <w:sz w:val="19"/>
              </w:rPr>
              <w:t>“We are deeply concerned by this preliminary data, which appears to indicate there is a lack of priority and focus on ensuring people with communication support needs have the necessary assessments and plans developed to assist staff to provide optimal care. Such information is critical to enable disability support staff to recognise and understand indicators of deteriorating health or illness of people in receipt of disability services”</w:t>
            </w:r>
          </w:p>
          <w:p w:rsidR="00EA1F74" w:rsidRDefault="00EA1F74">
            <w:pPr>
              <w:pStyle w:val="TableParagraph"/>
              <w:spacing w:before="6"/>
              <w:rPr>
                <w:sz w:val="30"/>
              </w:rPr>
            </w:pPr>
          </w:p>
          <w:p w:rsidR="00EA1F74" w:rsidRDefault="00FC1CE8">
            <w:pPr>
              <w:pStyle w:val="TableParagraph"/>
              <w:ind w:left="109"/>
              <w:rPr>
                <w:b/>
                <w:sz w:val="19"/>
              </w:rPr>
            </w:pPr>
            <w:r>
              <w:rPr>
                <w:b/>
                <w:w w:val="105"/>
                <w:sz w:val="19"/>
              </w:rPr>
              <w:t>Mobility status:</w:t>
            </w:r>
          </w:p>
          <w:p w:rsidR="00EA1F74" w:rsidRDefault="00FC1CE8">
            <w:pPr>
              <w:pStyle w:val="TableParagraph"/>
              <w:numPr>
                <w:ilvl w:val="0"/>
                <w:numId w:val="52"/>
              </w:numPr>
              <w:tabs>
                <w:tab w:val="left" w:pos="466"/>
                <w:tab w:val="left" w:pos="467"/>
              </w:tabs>
              <w:spacing w:before="76"/>
              <w:ind w:left="467" w:hanging="358"/>
              <w:rPr>
                <w:sz w:val="19"/>
              </w:rPr>
            </w:pPr>
            <w:r>
              <w:rPr>
                <w:w w:val="105"/>
                <w:sz w:val="19"/>
              </w:rPr>
              <w:t>70% required assistance with mobility including wheelchair, walking frame, walking stick or other</w:t>
            </w:r>
            <w:r>
              <w:rPr>
                <w:spacing w:val="-22"/>
                <w:w w:val="105"/>
                <w:sz w:val="19"/>
              </w:rPr>
              <w:t xml:space="preserve"> </w:t>
            </w:r>
            <w:r>
              <w:rPr>
                <w:w w:val="105"/>
                <w:sz w:val="19"/>
              </w:rPr>
              <w:t>aide.</w:t>
            </w:r>
          </w:p>
        </w:tc>
      </w:tr>
      <w:tr w:rsidR="00EA1F74">
        <w:trPr>
          <w:trHeight w:val="580"/>
        </w:trPr>
        <w:tc>
          <w:tcPr>
            <w:tcW w:w="960" w:type="dxa"/>
          </w:tcPr>
          <w:p w:rsidR="00EA1F74" w:rsidRDefault="00FC1CE8">
            <w:pPr>
              <w:pStyle w:val="TableParagraph"/>
              <w:spacing w:before="3"/>
              <w:ind w:left="109"/>
              <w:rPr>
                <w:b/>
                <w:sz w:val="19"/>
              </w:rPr>
            </w:pPr>
            <w:r>
              <w:rPr>
                <w:b/>
                <w:w w:val="105"/>
                <w:sz w:val="19"/>
              </w:rPr>
              <w:t>VIC</w:t>
            </w:r>
          </w:p>
          <w:p w:rsidR="00EA1F74" w:rsidRDefault="00FC1CE8">
            <w:pPr>
              <w:pStyle w:val="TableParagraph"/>
              <w:spacing w:before="70"/>
              <w:ind w:left="109"/>
              <w:rPr>
                <w:b/>
                <w:sz w:val="19"/>
              </w:rPr>
            </w:pPr>
            <w:r>
              <w:rPr>
                <w:b/>
                <w:w w:val="105"/>
                <w:sz w:val="19"/>
              </w:rPr>
              <w:t>07-16</w:t>
            </w:r>
          </w:p>
        </w:tc>
        <w:tc>
          <w:tcPr>
            <w:tcW w:w="9782" w:type="dxa"/>
          </w:tcPr>
          <w:p w:rsidR="00EA1F74" w:rsidRDefault="00FC1CE8">
            <w:pPr>
              <w:pStyle w:val="TableParagraph"/>
              <w:spacing w:before="3"/>
              <w:ind w:left="109"/>
              <w:rPr>
                <w:sz w:val="19"/>
              </w:rPr>
            </w:pPr>
            <w:r>
              <w:rPr>
                <w:w w:val="105"/>
                <w:sz w:val="19"/>
              </w:rPr>
              <w:t>Not Stated</w:t>
            </w:r>
          </w:p>
        </w:tc>
      </w:tr>
      <w:tr w:rsidR="00EA1F74" w:rsidTr="00A85C4E">
        <w:trPr>
          <w:trHeight w:val="2624"/>
        </w:trPr>
        <w:tc>
          <w:tcPr>
            <w:tcW w:w="960" w:type="dxa"/>
            <w:shd w:val="clear" w:color="auto" w:fill="F2F2F2" w:themeFill="background1" w:themeFillShade="F2"/>
          </w:tcPr>
          <w:p w:rsidR="00EA1F74" w:rsidRDefault="00FC1CE8">
            <w:pPr>
              <w:pStyle w:val="TableParagraph"/>
              <w:spacing w:before="3" w:line="316" w:lineRule="auto"/>
              <w:ind w:left="109" w:right="316"/>
              <w:rPr>
                <w:b/>
                <w:sz w:val="19"/>
              </w:rPr>
            </w:pPr>
            <w:r>
              <w:rPr>
                <w:b/>
                <w:w w:val="105"/>
                <w:sz w:val="19"/>
              </w:rPr>
              <w:t>QLD 09-14</w:t>
            </w:r>
          </w:p>
        </w:tc>
        <w:tc>
          <w:tcPr>
            <w:tcW w:w="9782" w:type="dxa"/>
            <w:shd w:val="clear" w:color="auto" w:fill="F2F2F2" w:themeFill="background1" w:themeFillShade="F2"/>
          </w:tcPr>
          <w:p w:rsidR="00EA1F74" w:rsidRDefault="00FC1CE8">
            <w:pPr>
              <w:pStyle w:val="TableParagraph"/>
              <w:spacing w:before="3"/>
              <w:ind w:left="109"/>
              <w:rPr>
                <w:b/>
                <w:sz w:val="19"/>
              </w:rPr>
            </w:pPr>
            <w:r>
              <w:rPr>
                <w:b/>
                <w:w w:val="105"/>
                <w:sz w:val="19"/>
              </w:rPr>
              <w:t>Communication needs:</w:t>
            </w:r>
          </w:p>
          <w:p w:rsidR="00EA1F74" w:rsidRDefault="00FC1CE8">
            <w:pPr>
              <w:pStyle w:val="TableParagraph"/>
              <w:numPr>
                <w:ilvl w:val="0"/>
                <w:numId w:val="51"/>
              </w:numPr>
              <w:tabs>
                <w:tab w:val="left" w:pos="466"/>
                <w:tab w:val="left" w:pos="467"/>
              </w:tabs>
              <w:spacing w:before="72"/>
              <w:ind w:hanging="358"/>
              <w:rPr>
                <w:sz w:val="19"/>
              </w:rPr>
            </w:pPr>
            <w:r>
              <w:rPr>
                <w:w w:val="105"/>
                <w:sz w:val="19"/>
              </w:rPr>
              <w:t>Approximately 6% of the sample had a vision</w:t>
            </w:r>
            <w:r>
              <w:rPr>
                <w:spacing w:val="8"/>
                <w:w w:val="105"/>
                <w:sz w:val="19"/>
              </w:rPr>
              <w:t xml:space="preserve"> </w:t>
            </w:r>
            <w:r>
              <w:rPr>
                <w:w w:val="105"/>
                <w:sz w:val="19"/>
              </w:rPr>
              <w:t>impairment.</w:t>
            </w:r>
          </w:p>
          <w:p w:rsidR="00EA1F74" w:rsidRDefault="00FC1CE8">
            <w:pPr>
              <w:pStyle w:val="TableParagraph"/>
              <w:numPr>
                <w:ilvl w:val="0"/>
                <w:numId w:val="51"/>
              </w:numPr>
              <w:tabs>
                <w:tab w:val="left" w:pos="466"/>
                <w:tab w:val="left" w:pos="467"/>
              </w:tabs>
              <w:spacing w:before="12"/>
              <w:ind w:hanging="358"/>
              <w:rPr>
                <w:sz w:val="19"/>
              </w:rPr>
            </w:pPr>
            <w:r>
              <w:rPr>
                <w:w w:val="105"/>
                <w:sz w:val="19"/>
              </w:rPr>
              <w:t>Approximately 3% of the sample had a hearing</w:t>
            </w:r>
            <w:r>
              <w:rPr>
                <w:spacing w:val="8"/>
                <w:w w:val="105"/>
                <w:sz w:val="19"/>
              </w:rPr>
              <w:t xml:space="preserve"> </w:t>
            </w:r>
            <w:r>
              <w:rPr>
                <w:w w:val="105"/>
                <w:sz w:val="19"/>
              </w:rPr>
              <w:t>impairment.</w:t>
            </w:r>
          </w:p>
          <w:p w:rsidR="00EA1F74" w:rsidRDefault="00EA1F74">
            <w:pPr>
              <w:pStyle w:val="TableParagraph"/>
              <w:spacing w:before="10"/>
              <w:rPr>
                <w:sz w:val="20"/>
              </w:rPr>
            </w:pPr>
          </w:p>
          <w:p w:rsidR="00EA1F74" w:rsidRDefault="00FC1CE8">
            <w:pPr>
              <w:pStyle w:val="TableParagraph"/>
              <w:spacing w:line="252" w:lineRule="auto"/>
              <w:ind w:left="109" w:right="102"/>
              <w:rPr>
                <w:sz w:val="19"/>
              </w:rPr>
            </w:pPr>
            <w:r>
              <w:rPr>
                <w:i/>
                <w:w w:val="105"/>
                <w:sz w:val="19"/>
              </w:rPr>
              <w:t xml:space="preserve">Communication plans: </w:t>
            </w:r>
            <w:r>
              <w:rPr>
                <w:w w:val="105"/>
                <w:sz w:val="19"/>
              </w:rPr>
              <w:t>Number of people with communication plan in place was not stated in the report. The study authors did identify poor communication, and difficulties of interpreting communication as a contributing factor across many of these deaths.</w:t>
            </w:r>
          </w:p>
          <w:p w:rsidR="00EA1F74" w:rsidRDefault="00EA1F74">
            <w:pPr>
              <w:pStyle w:val="TableParagraph"/>
              <w:spacing w:before="4"/>
              <w:rPr>
                <w:sz w:val="30"/>
              </w:rPr>
            </w:pPr>
          </w:p>
          <w:p w:rsidR="00EA1F74" w:rsidRDefault="00FC1CE8">
            <w:pPr>
              <w:pStyle w:val="TableParagraph"/>
              <w:ind w:left="109"/>
              <w:rPr>
                <w:sz w:val="19"/>
              </w:rPr>
            </w:pPr>
            <w:r>
              <w:rPr>
                <w:b/>
                <w:w w:val="105"/>
                <w:sz w:val="19"/>
              </w:rPr>
              <w:t xml:space="preserve">Mobility status: </w:t>
            </w:r>
            <w:r>
              <w:rPr>
                <w:w w:val="105"/>
                <w:sz w:val="19"/>
              </w:rPr>
              <w:t>Not stated</w:t>
            </w:r>
          </w:p>
        </w:tc>
      </w:tr>
      <w:tr w:rsidR="00EA1F74">
        <w:trPr>
          <w:trHeight w:val="4496"/>
        </w:trPr>
        <w:tc>
          <w:tcPr>
            <w:tcW w:w="960" w:type="dxa"/>
          </w:tcPr>
          <w:p w:rsidR="00EA1F74" w:rsidRDefault="00FC1CE8">
            <w:pPr>
              <w:pStyle w:val="TableParagraph"/>
              <w:spacing w:before="3" w:line="321" w:lineRule="auto"/>
              <w:ind w:left="109" w:right="316"/>
              <w:rPr>
                <w:b/>
                <w:sz w:val="19"/>
              </w:rPr>
            </w:pPr>
            <w:r>
              <w:rPr>
                <w:b/>
                <w:w w:val="105"/>
                <w:sz w:val="19"/>
              </w:rPr>
              <w:t>NSW 12-13</w:t>
            </w:r>
          </w:p>
        </w:tc>
        <w:tc>
          <w:tcPr>
            <w:tcW w:w="9782" w:type="dxa"/>
          </w:tcPr>
          <w:p w:rsidR="00EA1F74" w:rsidRDefault="00FC1CE8">
            <w:pPr>
              <w:pStyle w:val="TableParagraph"/>
              <w:spacing w:before="3"/>
              <w:ind w:left="109"/>
              <w:rPr>
                <w:b/>
                <w:sz w:val="19"/>
              </w:rPr>
            </w:pPr>
            <w:r>
              <w:rPr>
                <w:b/>
                <w:w w:val="105"/>
                <w:sz w:val="19"/>
              </w:rPr>
              <w:t>Communication needs:</w:t>
            </w:r>
          </w:p>
          <w:p w:rsidR="00EA1F74" w:rsidRDefault="00FC1CE8">
            <w:pPr>
              <w:pStyle w:val="TableParagraph"/>
              <w:numPr>
                <w:ilvl w:val="0"/>
                <w:numId w:val="50"/>
              </w:numPr>
              <w:tabs>
                <w:tab w:val="left" w:pos="469"/>
                <w:tab w:val="left" w:pos="470"/>
              </w:tabs>
              <w:spacing w:before="76" w:line="249" w:lineRule="auto"/>
              <w:ind w:right="598"/>
              <w:rPr>
                <w:sz w:val="19"/>
              </w:rPr>
            </w:pPr>
            <w:r>
              <w:rPr>
                <w:w w:val="105"/>
                <w:sz w:val="19"/>
              </w:rPr>
              <w:t xml:space="preserve">Two-thirds (65%,) of people in </w:t>
            </w:r>
            <w:r>
              <w:rPr>
                <w:i/>
                <w:w w:val="105"/>
                <w:sz w:val="19"/>
              </w:rPr>
              <w:t xml:space="preserve">disability services </w:t>
            </w:r>
            <w:r>
              <w:rPr>
                <w:w w:val="105"/>
                <w:sz w:val="19"/>
              </w:rPr>
              <w:t>needed assistance to communicate, using mainly adjusted verbal language or other signing (such as</w:t>
            </w:r>
            <w:r>
              <w:rPr>
                <w:spacing w:val="4"/>
                <w:w w:val="105"/>
                <w:sz w:val="19"/>
              </w:rPr>
              <w:t xml:space="preserve"> </w:t>
            </w:r>
            <w:r>
              <w:rPr>
                <w:w w:val="105"/>
                <w:sz w:val="19"/>
              </w:rPr>
              <w:t>gestures).</w:t>
            </w:r>
          </w:p>
          <w:p w:rsidR="00EA1F74" w:rsidRDefault="00FC1CE8">
            <w:pPr>
              <w:pStyle w:val="TableParagraph"/>
              <w:numPr>
                <w:ilvl w:val="0"/>
                <w:numId w:val="50"/>
              </w:numPr>
              <w:tabs>
                <w:tab w:val="left" w:pos="469"/>
                <w:tab w:val="left" w:pos="470"/>
              </w:tabs>
              <w:spacing w:before="1" w:line="249" w:lineRule="auto"/>
              <w:ind w:right="852"/>
              <w:rPr>
                <w:sz w:val="19"/>
              </w:rPr>
            </w:pPr>
            <w:r>
              <w:rPr>
                <w:w w:val="105"/>
                <w:sz w:val="19"/>
              </w:rPr>
              <w:t xml:space="preserve">21% of </w:t>
            </w:r>
            <w:r>
              <w:rPr>
                <w:i/>
                <w:w w:val="105"/>
                <w:sz w:val="19"/>
              </w:rPr>
              <w:t xml:space="preserve">assisted boarding house residents </w:t>
            </w:r>
            <w:r>
              <w:rPr>
                <w:w w:val="105"/>
                <w:sz w:val="19"/>
              </w:rPr>
              <w:t>were reported to need communication support (14%- required adjusted verbal support; 7%- required a hearing</w:t>
            </w:r>
            <w:r>
              <w:rPr>
                <w:spacing w:val="4"/>
                <w:w w:val="105"/>
                <w:sz w:val="19"/>
              </w:rPr>
              <w:t xml:space="preserve"> </w:t>
            </w:r>
            <w:r>
              <w:rPr>
                <w:w w:val="105"/>
                <w:sz w:val="19"/>
              </w:rPr>
              <w:t>aid).</w:t>
            </w:r>
          </w:p>
          <w:p w:rsidR="00EA1F74" w:rsidRDefault="00EA1F74">
            <w:pPr>
              <w:pStyle w:val="TableParagraph"/>
              <w:spacing w:before="5"/>
              <w:rPr>
                <w:sz w:val="25"/>
              </w:rPr>
            </w:pPr>
          </w:p>
          <w:p w:rsidR="00EA1F74" w:rsidRDefault="00FC1CE8">
            <w:pPr>
              <w:pStyle w:val="TableParagraph"/>
              <w:spacing w:line="252" w:lineRule="auto"/>
              <w:ind w:left="109" w:right="102"/>
              <w:rPr>
                <w:i/>
                <w:sz w:val="19"/>
              </w:rPr>
            </w:pPr>
            <w:r>
              <w:rPr>
                <w:i/>
                <w:w w:val="105"/>
                <w:sz w:val="19"/>
              </w:rPr>
              <w:t xml:space="preserve">Communication plans: </w:t>
            </w:r>
            <w:r>
              <w:rPr>
                <w:w w:val="105"/>
                <w:sz w:val="19"/>
              </w:rPr>
              <w:t>Number of people with communication plan in place was not stated in the report. Authors do comment, however, “</w:t>
            </w:r>
            <w:r>
              <w:rPr>
                <w:i/>
                <w:w w:val="105"/>
                <w:sz w:val="19"/>
              </w:rPr>
              <w:t>Most of the people with disability whose deaths we have reviewed required help with communication – to both communicate their views and feelings, and to understand what was happening and the information relayed to them. However, while health records have frequently recorded the difficulties experienced by health staff in communicating with patients with disability, they have rarely identified the communication support the person required or received”.</w:t>
            </w:r>
          </w:p>
          <w:p w:rsidR="00EA1F74" w:rsidRDefault="00EA1F74">
            <w:pPr>
              <w:pStyle w:val="TableParagraph"/>
              <w:rPr>
                <w:sz w:val="31"/>
              </w:rPr>
            </w:pPr>
          </w:p>
          <w:p w:rsidR="00EA1F74" w:rsidRDefault="00FC1CE8">
            <w:pPr>
              <w:pStyle w:val="TableParagraph"/>
              <w:ind w:left="109"/>
              <w:rPr>
                <w:b/>
                <w:sz w:val="19"/>
              </w:rPr>
            </w:pPr>
            <w:r>
              <w:rPr>
                <w:b/>
                <w:w w:val="105"/>
                <w:sz w:val="19"/>
              </w:rPr>
              <w:t>Mobility status:</w:t>
            </w:r>
          </w:p>
          <w:p w:rsidR="00EA1F74" w:rsidRDefault="00FC1CE8">
            <w:pPr>
              <w:pStyle w:val="TableParagraph"/>
              <w:numPr>
                <w:ilvl w:val="0"/>
                <w:numId w:val="50"/>
              </w:numPr>
              <w:tabs>
                <w:tab w:val="left" w:pos="469"/>
                <w:tab w:val="left" w:pos="470"/>
              </w:tabs>
              <w:spacing w:before="71" w:line="249" w:lineRule="auto"/>
              <w:ind w:right="408"/>
              <w:rPr>
                <w:sz w:val="19"/>
              </w:rPr>
            </w:pPr>
            <w:r>
              <w:rPr>
                <w:w w:val="105"/>
                <w:sz w:val="19"/>
              </w:rPr>
              <w:t>Almost three-quarters (74%), of the people in disability services who died required help with mobility, and 50% required wheelchair</w:t>
            </w:r>
            <w:r>
              <w:rPr>
                <w:spacing w:val="4"/>
                <w:w w:val="105"/>
                <w:sz w:val="19"/>
              </w:rPr>
              <w:t xml:space="preserve"> </w:t>
            </w:r>
            <w:r>
              <w:rPr>
                <w:w w:val="105"/>
                <w:sz w:val="19"/>
              </w:rPr>
              <w:t>support.</w:t>
            </w:r>
          </w:p>
          <w:p w:rsidR="00EA1F74" w:rsidRDefault="00FC1CE8">
            <w:pPr>
              <w:pStyle w:val="TableParagraph"/>
              <w:numPr>
                <w:ilvl w:val="0"/>
                <w:numId w:val="50"/>
              </w:numPr>
              <w:tabs>
                <w:tab w:val="left" w:pos="469"/>
                <w:tab w:val="left" w:pos="470"/>
              </w:tabs>
              <w:spacing w:before="6"/>
              <w:ind w:hanging="361"/>
              <w:rPr>
                <w:sz w:val="19"/>
              </w:rPr>
            </w:pPr>
            <w:r>
              <w:rPr>
                <w:w w:val="105"/>
                <w:sz w:val="19"/>
              </w:rPr>
              <w:t>One assisted boarding house resident needed mobility assistance and used a walking</w:t>
            </w:r>
            <w:r>
              <w:rPr>
                <w:spacing w:val="-2"/>
                <w:w w:val="105"/>
                <w:sz w:val="19"/>
              </w:rPr>
              <w:t xml:space="preserve"> </w:t>
            </w:r>
            <w:r>
              <w:rPr>
                <w:w w:val="105"/>
                <w:sz w:val="19"/>
              </w:rPr>
              <w:t>stick.</w:t>
            </w:r>
          </w:p>
        </w:tc>
      </w:tr>
    </w:tbl>
    <w:p w:rsidR="00EA1F74" w:rsidRDefault="00EA1F74">
      <w:pPr>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tbl>
      <w:tblPr>
        <w:tblW w:w="0" w:type="auto"/>
        <w:tblInd w:w="494"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782"/>
      </w:tblGrid>
      <w:tr w:rsidR="00EA1F74" w:rsidTr="00A85C4E">
        <w:trPr>
          <w:trHeight w:val="3771"/>
        </w:trPr>
        <w:tc>
          <w:tcPr>
            <w:tcW w:w="960" w:type="dxa"/>
            <w:shd w:val="clear" w:color="auto" w:fill="F2F2F2" w:themeFill="background1" w:themeFillShade="F2"/>
          </w:tcPr>
          <w:p w:rsidR="00EA1F74" w:rsidRDefault="00FC1CE8">
            <w:pPr>
              <w:pStyle w:val="TableParagraph"/>
              <w:spacing w:before="3" w:line="252" w:lineRule="auto"/>
              <w:ind w:left="109" w:right="316"/>
              <w:rPr>
                <w:b/>
                <w:sz w:val="19"/>
              </w:rPr>
            </w:pPr>
            <w:r>
              <w:rPr>
                <w:b/>
                <w:w w:val="105"/>
                <w:sz w:val="19"/>
              </w:rPr>
              <w:t>NSW 14-17</w:t>
            </w:r>
          </w:p>
        </w:tc>
        <w:tc>
          <w:tcPr>
            <w:tcW w:w="9782" w:type="dxa"/>
            <w:shd w:val="clear" w:color="auto" w:fill="F2F2F2" w:themeFill="background1" w:themeFillShade="F2"/>
          </w:tcPr>
          <w:p w:rsidR="00EA1F74" w:rsidRDefault="00FC1CE8">
            <w:pPr>
              <w:pStyle w:val="TableParagraph"/>
              <w:spacing w:before="3"/>
              <w:ind w:left="109"/>
              <w:rPr>
                <w:b/>
                <w:sz w:val="19"/>
              </w:rPr>
            </w:pPr>
            <w:r>
              <w:rPr>
                <w:b/>
                <w:w w:val="105"/>
                <w:sz w:val="19"/>
              </w:rPr>
              <w:t>Communication needs:</w:t>
            </w:r>
          </w:p>
          <w:p w:rsidR="00EA1F74" w:rsidRDefault="00FC1CE8">
            <w:pPr>
              <w:pStyle w:val="TableParagraph"/>
              <w:numPr>
                <w:ilvl w:val="0"/>
                <w:numId w:val="49"/>
              </w:numPr>
              <w:tabs>
                <w:tab w:val="left" w:pos="469"/>
                <w:tab w:val="left" w:pos="470"/>
              </w:tabs>
              <w:spacing w:before="76" w:line="244" w:lineRule="auto"/>
              <w:ind w:right="395"/>
              <w:rPr>
                <w:sz w:val="19"/>
              </w:rPr>
            </w:pPr>
            <w:r>
              <w:rPr>
                <w:w w:val="105"/>
                <w:sz w:val="19"/>
              </w:rPr>
              <w:t xml:space="preserve">Most of the </w:t>
            </w:r>
            <w:r>
              <w:rPr>
                <w:i/>
                <w:w w:val="105"/>
                <w:sz w:val="19"/>
              </w:rPr>
              <w:t xml:space="preserve">disability services residents </w:t>
            </w:r>
            <w:r>
              <w:rPr>
                <w:w w:val="105"/>
                <w:sz w:val="19"/>
              </w:rPr>
              <w:t>needed communication support, including 58% in 2014-2015 and 61% in</w:t>
            </w:r>
            <w:r>
              <w:rPr>
                <w:spacing w:val="4"/>
                <w:w w:val="105"/>
                <w:sz w:val="19"/>
              </w:rPr>
              <w:t xml:space="preserve"> </w:t>
            </w:r>
            <w:r>
              <w:rPr>
                <w:w w:val="105"/>
                <w:sz w:val="19"/>
              </w:rPr>
              <w:t>2016-2017.</w:t>
            </w:r>
          </w:p>
          <w:p w:rsidR="00EA1F74" w:rsidRDefault="00FC1CE8">
            <w:pPr>
              <w:pStyle w:val="TableParagraph"/>
              <w:numPr>
                <w:ilvl w:val="0"/>
                <w:numId w:val="49"/>
              </w:numPr>
              <w:tabs>
                <w:tab w:val="left" w:pos="469"/>
                <w:tab w:val="left" w:pos="470"/>
              </w:tabs>
              <w:spacing w:before="11" w:line="249" w:lineRule="auto"/>
              <w:ind w:right="351"/>
              <w:rPr>
                <w:sz w:val="19"/>
              </w:rPr>
            </w:pPr>
            <w:r>
              <w:rPr>
                <w:w w:val="105"/>
                <w:sz w:val="19"/>
              </w:rPr>
              <w:t xml:space="preserve">39% of the </w:t>
            </w:r>
            <w:r>
              <w:rPr>
                <w:i/>
                <w:w w:val="105"/>
                <w:sz w:val="19"/>
              </w:rPr>
              <w:t xml:space="preserve">disability services residents </w:t>
            </w:r>
            <w:r>
              <w:rPr>
                <w:w w:val="105"/>
                <w:sz w:val="19"/>
              </w:rPr>
              <w:t>who died in 2014-2015 and 38% in 2016-2017 communicated using verbal</w:t>
            </w:r>
            <w:r>
              <w:rPr>
                <w:spacing w:val="1"/>
                <w:w w:val="105"/>
                <w:sz w:val="19"/>
              </w:rPr>
              <w:t xml:space="preserve"> </w:t>
            </w:r>
            <w:r>
              <w:rPr>
                <w:w w:val="105"/>
                <w:sz w:val="19"/>
              </w:rPr>
              <w:t>language.</w:t>
            </w:r>
          </w:p>
          <w:p w:rsidR="00EA1F74" w:rsidRDefault="00FC1CE8">
            <w:pPr>
              <w:pStyle w:val="TableParagraph"/>
              <w:numPr>
                <w:ilvl w:val="0"/>
                <w:numId w:val="49"/>
              </w:numPr>
              <w:tabs>
                <w:tab w:val="left" w:pos="469"/>
                <w:tab w:val="left" w:pos="470"/>
              </w:tabs>
              <w:spacing w:before="5"/>
              <w:ind w:hanging="361"/>
              <w:rPr>
                <w:sz w:val="19"/>
              </w:rPr>
            </w:pPr>
            <w:r>
              <w:rPr>
                <w:w w:val="105"/>
                <w:sz w:val="19"/>
              </w:rPr>
              <w:t xml:space="preserve">None of the </w:t>
            </w:r>
            <w:r>
              <w:rPr>
                <w:i/>
                <w:w w:val="105"/>
                <w:sz w:val="19"/>
              </w:rPr>
              <w:t xml:space="preserve">assisted boarding house residents </w:t>
            </w:r>
            <w:r>
              <w:rPr>
                <w:w w:val="105"/>
                <w:sz w:val="19"/>
              </w:rPr>
              <w:t>who died required communication</w:t>
            </w:r>
            <w:r>
              <w:rPr>
                <w:spacing w:val="1"/>
                <w:w w:val="105"/>
                <w:sz w:val="19"/>
              </w:rPr>
              <w:t xml:space="preserve"> </w:t>
            </w:r>
            <w:r>
              <w:rPr>
                <w:w w:val="105"/>
                <w:sz w:val="19"/>
              </w:rPr>
              <w:t>support.</w:t>
            </w:r>
          </w:p>
          <w:p w:rsidR="00EA1F74" w:rsidRDefault="00EA1F74">
            <w:pPr>
              <w:pStyle w:val="TableParagraph"/>
              <w:rPr>
                <w:sz w:val="21"/>
              </w:rPr>
            </w:pPr>
          </w:p>
          <w:p w:rsidR="00EA1F74" w:rsidRDefault="00FC1CE8">
            <w:pPr>
              <w:pStyle w:val="TableParagraph"/>
              <w:ind w:left="109"/>
              <w:rPr>
                <w:sz w:val="19"/>
              </w:rPr>
            </w:pPr>
            <w:r>
              <w:rPr>
                <w:i/>
                <w:w w:val="105"/>
                <w:sz w:val="19"/>
              </w:rPr>
              <w:t xml:space="preserve">Communication plans: </w:t>
            </w:r>
            <w:r>
              <w:rPr>
                <w:w w:val="105"/>
                <w:sz w:val="19"/>
              </w:rPr>
              <w:t>Number of people with communication plan in place was not stated in the report.</w:t>
            </w:r>
          </w:p>
          <w:p w:rsidR="00EA1F74" w:rsidRDefault="00EA1F74">
            <w:pPr>
              <w:pStyle w:val="TableParagraph"/>
              <w:spacing w:before="1"/>
              <w:rPr>
                <w:sz w:val="31"/>
              </w:rPr>
            </w:pPr>
          </w:p>
          <w:p w:rsidR="00EA1F74" w:rsidRDefault="00FC1CE8">
            <w:pPr>
              <w:pStyle w:val="TableParagraph"/>
              <w:ind w:left="109"/>
              <w:rPr>
                <w:b/>
                <w:sz w:val="19"/>
              </w:rPr>
            </w:pPr>
            <w:r>
              <w:rPr>
                <w:b/>
                <w:w w:val="105"/>
                <w:sz w:val="19"/>
              </w:rPr>
              <w:t>Mobility status:</w:t>
            </w:r>
          </w:p>
          <w:p w:rsidR="00EA1F74" w:rsidRDefault="00FC1CE8">
            <w:pPr>
              <w:pStyle w:val="TableParagraph"/>
              <w:numPr>
                <w:ilvl w:val="0"/>
                <w:numId w:val="49"/>
              </w:numPr>
              <w:tabs>
                <w:tab w:val="left" w:pos="469"/>
                <w:tab w:val="left" w:pos="470"/>
              </w:tabs>
              <w:spacing w:before="76" w:line="249" w:lineRule="auto"/>
              <w:ind w:right="373"/>
              <w:rPr>
                <w:sz w:val="19"/>
              </w:rPr>
            </w:pPr>
            <w:r>
              <w:rPr>
                <w:w w:val="105"/>
                <w:sz w:val="19"/>
              </w:rPr>
              <w:t xml:space="preserve">Most of the people in </w:t>
            </w:r>
            <w:r>
              <w:rPr>
                <w:i/>
                <w:w w:val="105"/>
                <w:sz w:val="19"/>
              </w:rPr>
              <w:t xml:space="preserve">disability services </w:t>
            </w:r>
            <w:r>
              <w:rPr>
                <w:w w:val="105"/>
                <w:sz w:val="19"/>
              </w:rPr>
              <w:t>who died in 2014-2015 (72%) and 2016-2017 (70%) required help with</w:t>
            </w:r>
            <w:r>
              <w:rPr>
                <w:spacing w:val="2"/>
                <w:w w:val="105"/>
                <w:sz w:val="19"/>
              </w:rPr>
              <w:t xml:space="preserve"> </w:t>
            </w:r>
            <w:r>
              <w:rPr>
                <w:w w:val="105"/>
                <w:sz w:val="19"/>
              </w:rPr>
              <w:t>mobility.</w:t>
            </w:r>
          </w:p>
          <w:p w:rsidR="00EA1F74" w:rsidRDefault="00FC1CE8">
            <w:pPr>
              <w:pStyle w:val="TableParagraph"/>
              <w:numPr>
                <w:ilvl w:val="0"/>
                <w:numId w:val="49"/>
              </w:numPr>
              <w:tabs>
                <w:tab w:val="left" w:pos="469"/>
                <w:tab w:val="left" w:pos="470"/>
              </w:tabs>
              <w:spacing w:before="6"/>
              <w:ind w:hanging="361"/>
              <w:rPr>
                <w:sz w:val="19"/>
              </w:rPr>
            </w:pPr>
            <w:r>
              <w:rPr>
                <w:w w:val="105"/>
                <w:sz w:val="19"/>
              </w:rPr>
              <w:t xml:space="preserve">50% of the people in </w:t>
            </w:r>
            <w:r>
              <w:rPr>
                <w:i/>
                <w:w w:val="105"/>
                <w:sz w:val="19"/>
              </w:rPr>
              <w:t xml:space="preserve">disability services </w:t>
            </w:r>
            <w:r>
              <w:rPr>
                <w:w w:val="105"/>
                <w:sz w:val="19"/>
              </w:rPr>
              <w:t>relied on wheelchair</w:t>
            </w:r>
            <w:r>
              <w:rPr>
                <w:spacing w:val="7"/>
                <w:w w:val="105"/>
                <w:sz w:val="19"/>
              </w:rPr>
              <w:t xml:space="preserve"> </w:t>
            </w:r>
            <w:r>
              <w:rPr>
                <w:w w:val="105"/>
                <w:sz w:val="19"/>
              </w:rPr>
              <w:t>support.</w:t>
            </w:r>
          </w:p>
          <w:p w:rsidR="00EA1F74" w:rsidRDefault="00FC1CE8">
            <w:pPr>
              <w:pStyle w:val="TableParagraph"/>
              <w:numPr>
                <w:ilvl w:val="0"/>
                <w:numId w:val="49"/>
              </w:numPr>
              <w:tabs>
                <w:tab w:val="left" w:pos="469"/>
                <w:tab w:val="left" w:pos="470"/>
              </w:tabs>
              <w:spacing w:before="7" w:line="230" w:lineRule="atLeast"/>
              <w:ind w:right="519"/>
              <w:rPr>
                <w:sz w:val="19"/>
              </w:rPr>
            </w:pPr>
            <w:r>
              <w:rPr>
                <w:w w:val="105"/>
                <w:sz w:val="19"/>
              </w:rPr>
              <w:t xml:space="preserve">None of the </w:t>
            </w:r>
            <w:r>
              <w:rPr>
                <w:i/>
                <w:w w:val="105"/>
                <w:sz w:val="19"/>
              </w:rPr>
              <w:t xml:space="preserve">assisted boarding house residents </w:t>
            </w:r>
            <w:r>
              <w:rPr>
                <w:w w:val="105"/>
                <w:sz w:val="19"/>
              </w:rPr>
              <w:t>who died in 2014-2015, and one person who died in 2016-2017 required help with</w:t>
            </w:r>
            <w:r>
              <w:rPr>
                <w:spacing w:val="4"/>
                <w:w w:val="105"/>
                <w:sz w:val="19"/>
              </w:rPr>
              <w:t xml:space="preserve"> </w:t>
            </w:r>
            <w:r>
              <w:rPr>
                <w:w w:val="105"/>
                <w:sz w:val="19"/>
              </w:rPr>
              <w:t>mobility.</w:t>
            </w:r>
          </w:p>
        </w:tc>
      </w:tr>
    </w:tbl>
    <w:p w:rsidR="00EA1F74" w:rsidRDefault="00EA1F74">
      <w:pPr>
        <w:spacing w:line="230" w:lineRule="atLeast"/>
        <w:rPr>
          <w:sz w:val="19"/>
        </w:rPr>
        <w:sectPr w:rsidR="00EA1F74" w:rsidSect="00FA5D6D">
          <w:pgSz w:w="11900" w:h="16840"/>
          <w:pgMar w:top="1600" w:right="260" w:bottom="1460" w:left="140" w:header="0" w:footer="567" w:gutter="0"/>
          <w:cols w:space="720"/>
          <w:docGrid w:linePitch="299"/>
        </w:sectPr>
      </w:pPr>
    </w:p>
    <w:p w:rsidR="00EA1F74" w:rsidRDefault="00FC1CE8">
      <w:pPr>
        <w:pStyle w:val="Heading2"/>
      </w:pPr>
      <w:bookmarkStart w:id="30" w:name="_TOC_250035"/>
      <w:bookmarkEnd w:id="30"/>
      <w:r>
        <w:t>Causes of death</w:t>
      </w:r>
    </w:p>
    <w:p w:rsidR="00EA1F74" w:rsidRDefault="00EA1F74" w:rsidP="00625DA1">
      <w:pPr>
        <w:pStyle w:val="BodyText"/>
      </w:pPr>
    </w:p>
    <w:p w:rsidR="00EA1F74" w:rsidRDefault="00FC1CE8" w:rsidP="00625DA1">
      <w:pPr>
        <w:pStyle w:val="BodyText"/>
      </w:pPr>
      <w:r>
        <w:t>This section of the review will focus on identifying patterns in broad, underlying, direct and contributing causes of death across samples.</w:t>
      </w:r>
    </w:p>
    <w:p w:rsidR="00EA1F74" w:rsidRPr="00FC44E3" w:rsidRDefault="00EA1F74" w:rsidP="00FC44E3">
      <w:pPr>
        <w:pStyle w:val="BodyText"/>
      </w:pPr>
    </w:p>
    <w:p w:rsidR="00EA1F74" w:rsidRPr="00FC44E3" w:rsidRDefault="00FC1CE8" w:rsidP="00FC44E3">
      <w:pPr>
        <w:pStyle w:val="Heading3"/>
      </w:pPr>
      <w:bookmarkStart w:id="31" w:name="_TOC_250034"/>
      <w:bookmarkEnd w:id="31"/>
      <w:r w:rsidRPr="00FC44E3">
        <w:t>Broad causes of death</w:t>
      </w:r>
    </w:p>
    <w:p w:rsidR="00EA1F74" w:rsidRDefault="00EA1F74" w:rsidP="00625DA1">
      <w:pPr>
        <w:pStyle w:val="BodyText"/>
      </w:pPr>
    </w:p>
    <w:p w:rsidR="00EA1F74" w:rsidRDefault="00FC1CE8">
      <w:pPr>
        <w:spacing w:before="212"/>
        <w:ind w:left="733"/>
        <w:rPr>
          <w:b/>
          <w:i/>
          <w:sz w:val="24"/>
        </w:rPr>
      </w:pPr>
      <w:r>
        <w:rPr>
          <w:b/>
          <w:i/>
          <w:color w:val="4472C4"/>
          <w:sz w:val="24"/>
        </w:rPr>
        <w:t>Expected versus unexpected deaths</w:t>
      </w:r>
    </w:p>
    <w:p w:rsidR="00EA1F74" w:rsidRDefault="00FC1CE8" w:rsidP="00625DA1">
      <w:pPr>
        <w:pStyle w:val="BodyText"/>
      </w:pPr>
      <w:r>
        <w:rPr>
          <w:b/>
        </w:rPr>
        <w:t>Across jurisdictions, the majority of deaths reported were considered to be ‘unexpected’</w:t>
      </w:r>
      <w:r>
        <w:t>. Rates of unexpected deaths ranged from 59% in the QLD 09-14 sample to 71% in the VIC 17-18 sample. While all in-scope reports provided rates of ‘expected’ and ‘unexpected’ deaths, these terms were sometimes poorly defined or defined differently across reports. Table 18 summarises expected/unexpected death rates across samples, as well as differences in how these terms have been defined.</w:t>
      </w:r>
    </w:p>
    <w:p w:rsidR="00EA1F74" w:rsidRDefault="00FC1CE8" w:rsidP="00625DA1">
      <w:pPr>
        <w:pStyle w:val="BodyText"/>
      </w:pPr>
      <w:r>
        <w:t>Table 18: Expected and unexpected deaths</w:t>
      </w: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10132"/>
      </w:tblGrid>
      <w:tr w:rsidR="00EA1F74">
        <w:trPr>
          <w:trHeight w:val="521"/>
        </w:trPr>
        <w:tc>
          <w:tcPr>
            <w:tcW w:w="926" w:type="dxa"/>
            <w:tcBorders>
              <w:bottom w:val="single" w:sz="18" w:space="0" w:color="A5A5A5"/>
            </w:tcBorders>
          </w:tcPr>
          <w:p w:rsidR="00EA1F74" w:rsidRDefault="00FC1CE8">
            <w:pPr>
              <w:pStyle w:val="TableParagraph"/>
              <w:spacing w:before="3" w:line="252" w:lineRule="auto"/>
              <w:ind w:left="110" w:right="177"/>
              <w:rPr>
                <w:sz w:val="19"/>
              </w:rPr>
            </w:pPr>
            <w:r>
              <w:rPr>
                <w:w w:val="105"/>
                <w:sz w:val="19"/>
              </w:rPr>
              <w:t>Report ID</w:t>
            </w:r>
          </w:p>
        </w:tc>
        <w:tc>
          <w:tcPr>
            <w:tcW w:w="10132" w:type="dxa"/>
            <w:tcBorders>
              <w:bottom w:val="single" w:sz="18" w:space="0" w:color="A5A5A5"/>
            </w:tcBorders>
          </w:tcPr>
          <w:p w:rsidR="00EA1F74" w:rsidRDefault="00FC1CE8">
            <w:pPr>
              <w:pStyle w:val="TableParagraph"/>
              <w:spacing w:before="3"/>
              <w:ind w:left="105"/>
              <w:rPr>
                <w:sz w:val="19"/>
              </w:rPr>
            </w:pPr>
            <w:r>
              <w:rPr>
                <w:w w:val="105"/>
                <w:sz w:val="19"/>
              </w:rPr>
              <w:t>‘Expected’ and ‘Unexpected’ Deaths</w:t>
            </w:r>
          </w:p>
        </w:tc>
      </w:tr>
      <w:tr w:rsidR="00EA1F74" w:rsidTr="00A85C4E">
        <w:trPr>
          <w:trHeight w:val="5513"/>
        </w:trPr>
        <w:tc>
          <w:tcPr>
            <w:tcW w:w="926" w:type="dxa"/>
            <w:tcBorders>
              <w:top w:val="single" w:sz="18" w:space="0" w:color="A5A5A5"/>
            </w:tcBorders>
            <w:shd w:val="clear" w:color="auto" w:fill="F2F2F2" w:themeFill="background1" w:themeFillShade="F2"/>
          </w:tcPr>
          <w:p w:rsidR="00EA1F74" w:rsidRDefault="00FC1CE8">
            <w:pPr>
              <w:pStyle w:val="TableParagraph"/>
              <w:spacing w:before="3" w:line="316" w:lineRule="auto"/>
              <w:ind w:left="110" w:right="282"/>
              <w:rPr>
                <w:b/>
                <w:sz w:val="19"/>
              </w:rPr>
            </w:pPr>
            <w:r>
              <w:rPr>
                <w:b/>
                <w:w w:val="105"/>
                <w:sz w:val="19"/>
              </w:rPr>
              <w:t>VIC 17-18</w:t>
            </w:r>
          </w:p>
        </w:tc>
        <w:tc>
          <w:tcPr>
            <w:tcW w:w="10132" w:type="dxa"/>
            <w:tcBorders>
              <w:top w:val="single" w:sz="18" w:space="0" w:color="A5A5A5"/>
            </w:tcBorders>
            <w:shd w:val="clear" w:color="auto" w:fill="F2F2F2" w:themeFill="background1" w:themeFillShade="F2"/>
          </w:tcPr>
          <w:p w:rsidR="00EA1F74" w:rsidRDefault="00FC1CE8">
            <w:pPr>
              <w:pStyle w:val="TableParagraph"/>
              <w:numPr>
                <w:ilvl w:val="0"/>
                <w:numId w:val="48"/>
              </w:numPr>
              <w:tabs>
                <w:tab w:val="left" w:pos="465"/>
                <w:tab w:val="left" w:pos="466"/>
              </w:tabs>
              <w:spacing w:before="5"/>
              <w:ind w:left="465" w:hanging="361"/>
              <w:rPr>
                <w:i/>
                <w:sz w:val="19"/>
              </w:rPr>
            </w:pPr>
            <w:r>
              <w:rPr>
                <w:i/>
                <w:w w:val="105"/>
                <w:sz w:val="19"/>
              </w:rPr>
              <w:t>29% (25 of 85 deaths) were reported as ‘expected deaths’ or category 2/ non-major impact</w:t>
            </w:r>
            <w:r>
              <w:rPr>
                <w:i/>
                <w:spacing w:val="-8"/>
                <w:w w:val="105"/>
                <w:sz w:val="19"/>
              </w:rPr>
              <w:t xml:space="preserve"> </w:t>
            </w:r>
            <w:r>
              <w:rPr>
                <w:i/>
                <w:w w:val="105"/>
                <w:sz w:val="19"/>
              </w:rPr>
              <w:t>incident.</w:t>
            </w:r>
          </w:p>
          <w:p w:rsidR="00EA1F74" w:rsidRDefault="00FC1CE8">
            <w:pPr>
              <w:pStyle w:val="TableParagraph"/>
              <w:numPr>
                <w:ilvl w:val="0"/>
                <w:numId w:val="48"/>
              </w:numPr>
              <w:tabs>
                <w:tab w:val="left" w:pos="465"/>
                <w:tab w:val="left" w:pos="466"/>
              </w:tabs>
              <w:spacing w:before="12"/>
              <w:ind w:left="465" w:hanging="361"/>
              <w:rPr>
                <w:i/>
                <w:sz w:val="19"/>
              </w:rPr>
            </w:pPr>
            <w:r>
              <w:rPr>
                <w:i/>
                <w:w w:val="105"/>
                <w:sz w:val="19"/>
              </w:rPr>
              <w:t>71% (60 deaths out of 85) were reported as unexpected deaths or Category 1/major impact</w:t>
            </w:r>
            <w:r>
              <w:rPr>
                <w:i/>
                <w:spacing w:val="-9"/>
                <w:w w:val="105"/>
                <w:sz w:val="19"/>
              </w:rPr>
              <w:t xml:space="preserve"> </w:t>
            </w:r>
            <w:r>
              <w:rPr>
                <w:i/>
                <w:w w:val="105"/>
                <w:sz w:val="19"/>
              </w:rPr>
              <w:t>incident.</w:t>
            </w:r>
          </w:p>
          <w:p w:rsidR="00EA1F74" w:rsidRDefault="00EA1F74">
            <w:pPr>
              <w:pStyle w:val="TableParagraph"/>
              <w:spacing w:before="10"/>
              <w:rPr>
                <w:sz w:val="25"/>
              </w:rPr>
            </w:pPr>
          </w:p>
          <w:p w:rsidR="00EA1F74" w:rsidRDefault="00FC1CE8">
            <w:pPr>
              <w:pStyle w:val="TableParagraph"/>
              <w:spacing w:before="1" w:line="252" w:lineRule="auto"/>
              <w:ind w:left="105" w:right="135"/>
              <w:rPr>
                <w:i/>
                <w:sz w:val="19"/>
              </w:rPr>
            </w:pPr>
            <w:r>
              <w:rPr>
                <w:b/>
                <w:w w:val="105"/>
                <w:sz w:val="19"/>
              </w:rPr>
              <w:t xml:space="preserve">Expected deaths: </w:t>
            </w:r>
            <w:r>
              <w:rPr>
                <w:w w:val="105"/>
                <w:sz w:val="19"/>
              </w:rPr>
              <w:t xml:space="preserve">Deaths reported to DHHS by </w:t>
            </w:r>
            <w:r>
              <w:rPr>
                <w:b/>
                <w:w w:val="105"/>
                <w:sz w:val="19"/>
              </w:rPr>
              <w:t xml:space="preserve">DHHS delivered services </w:t>
            </w:r>
            <w:r>
              <w:rPr>
                <w:w w:val="105"/>
                <w:sz w:val="19"/>
              </w:rPr>
              <w:t xml:space="preserve">used the following definition of “Expected death” as per guidance in the Critical Client Incident Management (CCIM) reporting system: </w:t>
            </w:r>
            <w:r>
              <w:rPr>
                <w:b/>
                <w:i/>
                <w:w w:val="105"/>
                <w:sz w:val="19"/>
              </w:rPr>
              <w:t>“…</w:t>
            </w:r>
            <w:r>
              <w:rPr>
                <w:i/>
                <w:w w:val="105"/>
                <w:sz w:val="19"/>
              </w:rPr>
              <w:t>where the person was living in a disability residential service and the death was the progression of a diagnosed condition or illness”</w:t>
            </w:r>
            <w:r>
              <w:rPr>
                <w:w w:val="105"/>
                <w:sz w:val="19"/>
              </w:rPr>
              <w:t>. As of 15</w:t>
            </w:r>
            <w:r>
              <w:rPr>
                <w:w w:val="105"/>
                <w:sz w:val="19"/>
                <w:vertAlign w:val="superscript"/>
              </w:rPr>
              <w:t>th</w:t>
            </w:r>
            <w:r>
              <w:rPr>
                <w:w w:val="105"/>
                <w:sz w:val="19"/>
              </w:rPr>
              <w:t xml:space="preserve"> January, 2018 deaths reported to DHHS based on incidents occurring in </w:t>
            </w:r>
            <w:r>
              <w:rPr>
                <w:b/>
                <w:w w:val="105"/>
                <w:sz w:val="19"/>
              </w:rPr>
              <w:t>non-government funded service providers</w:t>
            </w:r>
            <w:r>
              <w:rPr>
                <w:w w:val="105"/>
                <w:sz w:val="19"/>
              </w:rPr>
              <w:t xml:space="preserve">, used the following definition of an expected death of a person with a disability </w:t>
            </w:r>
            <w:r>
              <w:rPr>
                <w:i/>
                <w:w w:val="105"/>
                <w:sz w:val="19"/>
              </w:rPr>
              <w:t>“… people with a disability who die as the consequence of the progression of a diagnosed condition or</w:t>
            </w:r>
            <w:r>
              <w:rPr>
                <w:i/>
                <w:spacing w:val="1"/>
                <w:w w:val="105"/>
                <w:sz w:val="19"/>
              </w:rPr>
              <w:t xml:space="preserve"> </w:t>
            </w:r>
            <w:r>
              <w:rPr>
                <w:i/>
                <w:w w:val="105"/>
                <w:sz w:val="19"/>
              </w:rPr>
              <w:t>illness”.</w:t>
            </w:r>
          </w:p>
          <w:p w:rsidR="00EA1F74" w:rsidRDefault="00EA1F74">
            <w:pPr>
              <w:pStyle w:val="TableParagraph"/>
              <w:spacing w:before="7"/>
              <w:rPr>
                <w:sz w:val="30"/>
              </w:rPr>
            </w:pPr>
          </w:p>
          <w:p w:rsidR="00EA1F74" w:rsidRDefault="00FC1CE8">
            <w:pPr>
              <w:pStyle w:val="TableParagraph"/>
              <w:spacing w:line="252" w:lineRule="auto"/>
              <w:ind w:left="105" w:right="190"/>
              <w:rPr>
                <w:sz w:val="19"/>
              </w:rPr>
            </w:pPr>
            <w:r>
              <w:rPr>
                <w:b/>
                <w:w w:val="105"/>
                <w:sz w:val="19"/>
              </w:rPr>
              <w:t xml:space="preserve">Unexpected Deaths: </w:t>
            </w:r>
            <w:r>
              <w:rPr>
                <w:w w:val="105"/>
                <w:sz w:val="19"/>
              </w:rPr>
              <w:t xml:space="preserve">Deaths reported by </w:t>
            </w:r>
            <w:r>
              <w:rPr>
                <w:b/>
                <w:w w:val="105"/>
                <w:sz w:val="19"/>
              </w:rPr>
              <w:t xml:space="preserve">DHHS delivered services </w:t>
            </w:r>
            <w:r>
              <w:rPr>
                <w:w w:val="105"/>
                <w:sz w:val="19"/>
              </w:rPr>
              <w:t>used the following definition of “Unexpected death” as per guidance in the Critical Client Incident Management (CCIM) reporting system:</w:t>
            </w:r>
          </w:p>
          <w:p w:rsidR="00EA1F74" w:rsidRDefault="00FC1CE8">
            <w:pPr>
              <w:pStyle w:val="TableParagraph"/>
              <w:numPr>
                <w:ilvl w:val="0"/>
                <w:numId w:val="48"/>
              </w:numPr>
              <w:tabs>
                <w:tab w:val="left" w:pos="462"/>
                <w:tab w:val="left" w:pos="463"/>
              </w:tabs>
              <w:spacing w:before="61"/>
              <w:ind w:hanging="358"/>
              <w:rPr>
                <w:sz w:val="19"/>
              </w:rPr>
            </w:pPr>
            <w:r>
              <w:rPr>
                <w:w w:val="105"/>
                <w:sz w:val="19"/>
              </w:rPr>
              <w:t>the person’s death was in unusual or unexpected</w:t>
            </w:r>
            <w:r>
              <w:rPr>
                <w:spacing w:val="5"/>
                <w:w w:val="105"/>
                <w:sz w:val="19"/>
              </w:rPr>
              <w:t xml:space="preserve"> </w:t>
            </w:r>
            <w:r>
              <w:rPr>
                <w:w w:val="105"/>
                <w:sz w:val="19"/>
              </w:rPr>
              <w:t>circumstances</w:t>
            </w:r>
          </w:p>
          <w:p w:rsidR="00EA1F74" w:rsidRDefault="00FC1CE8">
            <w:pPr>
              <w:pStyle w:val="TableParagraph"/>
              <w:numPr>
                <w:ilvl w:val="0"/>
                <w:numId w:val="48"/>
              </w:numPr>
              <w:tabs>
                <w:tab w:val="left" w:pos="462"/>
                <w:tab w:val="left" w:pos="463"/>
              </w:tabs>
              <w:spacing w:before="12"/>
              <w:ind w:hanging="358"/>
              <w:rPr>
                <w:sz w:val="19"/>
              </w:rPr>
            </w:pPr>
            <w:r>
              <w:rPr>
                <w:w w:val="105"/>
                <w:sz w:val="19"/>
              </w:rPr>
              <w:t>the person’s death had a direct or obvious correlation to the service being</w:t>
            </w:r>
            <w:r>
              <w:rPr>
                <w:spacing w:val="6"/>
                <w:w w:val="105"/>
                <w:sz w:val="19"/>
              </w:rPr>
              <w:t xml:space="preserve"> </w:t>
            </w:r>
            <w:r>
              <w:rPr>
                <w:w w:val="105"/>
                <w:sz w:val="19"/>
              </w:rPr>
              <w:t>received</w:t>
            </w:r>
          </w:p>
          <w:p w:rsidR="00EA1F74" w:rsidRDefault="00FC1CE8">
            <w:pPr>
              <w:pStyle w:val="TableParagraph"/>
              <w:numPr>
                <w:ilvl w:val="0"/>
                <w:numId w:val="48"/>
              </w:numPr>
              <w:tabs>
                <w:tab w:val="left" w:pos="462"/>
                <w:tab w:val="left" w:pos="463"/>
              </w:tabs>
              <w:spacing w:before="12" w:line="249" w:lineRule="auto"/>
              <w:ind w:right="209" w:hanging="357"/>
              <w:rPr>
                <w:sz w:val="19"/>
              </w:rPr>
            </w:pPr>
            <w:r>
              <w:rPr>
                <w:w w:val="105"/>
                <w:sz w:val="19"/>
              </w:rPr>
              <w:t>the person’s death is reportable, (for example, to the State Coroner or Commission for Children and Young People)</w:t>
            </w:r>
          </w:p>
          <w:p w:rsidR="00EA1F74" w:rsidRDefault="00FC1CE8">
            <w:pPr>
              <w:pStyle w:val="TableParagraph"/>
              <w:numPr>
                <w:ilvl w:val="0"/>
                <w:numId w:val="48"/>
              </w:numPr>
              <w:tabs>
                <w:tab w:val="left" w:pos="462"/>
                <w:tab w:val="left" w:pos="463"/>
              </w:tabs>
              <w:spacing w:before="2"/>
              <w:ind w:hanging="358"/>
              <w:rPr>
                <w:sz w:val="19"/>
              </w:rPr>
            </w:pPr>
            <w:r>
              <w:rPr>
                <w:w w:val="105"/>
                <w:sz w:val="19"/>
              </w:rPr>
              <w:t>the death related to a child under the age of 18</w:t>
            </w:r>
            <w:r>
              <w:rPr>
                <w:spacing w:val="9"/>
                <w:w w:val="105"/>
                <w:sz w:val="19"/>
              </w:rPr>
              <w:t xml:space="preserve"> </w:t>
            </w:r>
            <w:r>
              <w:rPr>
                <w:w w:val="105"/>
                <w:sz w:val="19"/>
              </w:rPr>
              <w:t>years</w:t>
            </w:r>
          </w:p>
          <w:p w:rsidR="00EA1F74" w:rsidRDefault="00FC1CE8">
            <w:pPr>
              <w:pStyle w:val="TableParagraph"/>
              <w:numPr>
                <w:ilvl w:val="0"/>
                <w:numId w:val="48"/>
              </w:numPr>
              <w:tabs>
                <w:tab w:val="left" w:pos="462"/>
                <w:tab w:val="left" w:pos="463"/>
              </w:tabs>
              <w:spacing w:before="12" w:line="249" w:lineRule="auto"/>
              <w:ind w:right="541" w:hanging="357"/>
              <w:rPr>
                <w:sz w:val="19"/>
              </w:rPr>
            </w:pPr>
            <w:r>
              <w:rPr>
                <w:w w:val="105"/>
                <w:sz w:val="19"/>
              </w:rPr>
              <w:t>the person resided in a residential facility or housing property where the condition of accommodation or standard of care provided may have been a contributing factor to the</w:t>
            </w:r>
            <w:r>
              <w:rPr>
                <w:spacing w:val="5"/>
                <w:w w:val="105"/>
                <w:sz w:val="19"/>
              </w:rPr>
              <w:t xml:space="preserve"> </w:t>
            </w:r>
            <w:r>
              <w:rPr>
                <w:w w:val="105"/>
                <w:sz w:val="19"/>
              </w:rPr>
              <w:t>death.</w:t>
            </w:r>
          </w:p>
          <w:p w:rsidR="00EA1F74" w:rsidRDefault="00EA1F74">
            <w:pPr>
              <w:pStyle w:val="TableParagraph"/>
              <w:spacing w:before="9"/>
              <w:rPr>
                <w:sz w:val="30"/>
              </w:rPr>
            </w:pPr>
          </w:p>
          <w:p w:rsidR="00EA1F74" w:rsidRDefault="00FC1CE8">
            <w:pPr>
              <w:pStyle w:val="TableParagraph"/>
              <w:spacing w:line="206" w:lineRule="exact"/>
              <w:ind w:left="105"/>
              <w:rPr>
                <w:b/>
                <w:sz w:val="19"/>
              </w:rPr>
            </w:pPr>
            <w:r>
              <w:rPr>
                <w:w w:val="105"/>
                <w:sz w:val="19"/>
              </w:rPr>
              <w:t>As of 15</w:t>
            </w:r>
            <w:r>
              <w:rPr>
                <w:w w:val="105"/>
                <w:sz w:val="19"/>
                <w:vertAlign w:val="superscript"/>
              </w:rPr>
              <w:t>th</w:t>
            </w:r>
            <w:r>
              <w:rPr>
                <w:w w:val="105"/>
                <w:sz w:val="19"/>
              </w:rPr>
              <w:t xml:space="preserve"> January, 2018, deaths reported by DHHS based on incidents occurring </w:t>
            </w:r>
            <w:r>
              <w:rPr>
                <w:b/>
                <w:w w:val="105"/>
                <w:sz w:val="19"/>
              </w:rPr>
              <w:t>in non-government funded</w:t>
            </w:r>
          </w:p>
        </w:tc>
      </w:tr>
    </w:tbl>
    <w:p w:rsidR="00EA1F74" w:rsidRDefault="00EA1F74">
      <w:pPr>
        <w:spacing w:line="206" w:lineRule="exact"/>
        <w:rPr>
          <w:sz w:val="19"/>
        </w:rPr>
        <w:sectPr w:rsidR="00EA1F74" w:rsidSect="00FA5D6D">
          <w:pgSz w:w="11900" w:h="16840"/>
          <w:pgMar w:top="1600" w:right="260" w:bottom="1460" w:left="140" w:header="0" w:footer="567" w:gutter="0"/>
          <w:cols w:space="720"/>
          <w:docGrid w:linePitch="299"/>
        </w:sectPr>
      </w:pPr>
    </w:p>
    <w:tbl>
      <w:tblPr>
        <w:tblW w:w="0" w:type="auto"/>
        <w:tblInd w:w="316"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26"/>
        <w:gridCol w:w="10132"/>
      </w:tblGrid>
      <w:tr w:rsidR="00EA1F74" w:rsidTr="00A85C4E">
        <w:trPr>
          <w:trHeight w:val="2140"/>
        </w:trPr>
        <w:tc>
          <w:tcPr>
            <w:tcW w:w="926" w:type="dxa"/>
            <w:shd w:val="clear" w:color="auto" w:fill="F2F2F2" w:themeFill="background1" w:themeFillShade="F2"/>
          </w:tcPr>
          <w:p w:rsidR="00EA1F74" w:rsidRDefault="00EA1F74">
            <w:pPr>
              <w:pStyle w:val="TableParagraph"/>
              <w:rPr>
                <w:rFonts w:ascii="Times New Roman"/>
                <w:sz w:val="20"/>
              </w:rPr>
            </w:pPr>
          </w:p>
        </w:tc>
        <w:tc>
          <w:tcPr>
            <w:tcW w:w="10132" w:type="dxa"/>
            <w:shd w:val="clear" w:color="auto" w:fill="F2F2F2" w:themeFill="background1" w:themeFillShade="F2"/>
          </w:tcPr>
          <w:p w:rsidR="00EA1F74" w:rsidRDefault="00FC1CE8">
            <w:pPr>
              <w:pStyle w:val="TableParagraph"/>
              <w:spacing w:before="3" w:line="252" w:lineRule="auto"/>
              <w:ind w:left="105"/>
              <w:rPr>
                <w:sz w:val="19"/>
              </w:rPr>
            </w:pPr>
            <w:r>
              <w:rPr>
                <w:b/>
                <w:w w:val="105"/>
                <w:sz w:val="19"/>
              </w:rPr>
              <w:t xml:space="preserve">service providers, </w:t>
            </w:r>
            <w:r>
              <w:rPr>
                <w:w w:val="105"/>
                <w:sz w:val="19"/>
              </w:rPr>
              <w:t>used the following definition of “Unexpected death” and logged incidents per guidance in the Client Incident Management System (CIMS) reporting system:</w:t>
            </w:r>
          </w:p>
          <w:p w:rsidR="00EA1F74" w:rsidRDefault="00FC1CE8">
            <w:pPr>
              <w:pStyle w:val="TableParagraph"/>
              <w:spacing w:before="65" w:line="252" w:lineRule="auto"/>
              <w:ind w:left="105"/>
              <w:rPr>
                <w:i/>
                <w:sz w:val="19"/>
              </w:rPr>
            </w:pPr>
            <w:r>
              <w:rPr>
                <w:i/>
                <w:w w:val="105"/>
                <w:sz w:val="19"/>
              </w:rPr>
              <w:t>“The CIMS guidelines advise that all deaths of clients in unexpected or unanticipated circumstances must be reported as a major impact incident.”.</w:t>
            </w:r>
          </w:p>
          <w:p w:rsidR="00EA1F74" w:rsidRDefault="00EA1F74">
            <w:pPr>
              <w:pStyle w:val="TableParagraph"/>
              <w:spacing w:before="2"/>
              <w:rPr>
                <w:sz w:val="30"/>
              </w:rPr>
            </w:pPr>
          </w:p>
          <w:p w:rsidR="00EA1F74" w:rsidRDefault="00FC1CE8">
            <w:pPr>
              <w:pStyle w:val="TableParagraph"/>
              <w:spacing w:line="252" w:lineRule="auto"/>
              <w:ind w:left="105" w:right="190"/>
              <w:rPr>
                <w:sz w:val="19"/>
              </w:rPr>
            </w:pPr>
            <w:r>
              <w:rPr>
                <w:w w:val="105"/>
                <w:sz w:val="19"/>
              </w:rPr>
              <w:t xml:space="preserve">Deaths reported by the VIC state coroner use definitions ‘unexpected’/’expected’ set out in the </w:t>
            </w:r>
            <w:r>
              <w:rPr>
                <w:i/>
                <w:w w:val="105"/>
                <w:sz w:val="19"/>
              </w:rPr>
              <w:t xml:space="preserve">Coroners Act 2008. </w:t>
            </w:r>
            <w:r>
              <w:rPr>
                <w:w w:val="105"/>
                <w:sz w:val="19"/>
              </w:rPr>
              <w:t>All deaths considered to be ‘unexpected ‘are reportable to the state coroner.</w:t>
            </w:r>
          </w:p>
        </w:tc>
      </w:tr>
      <w:tr w:rsidR="00EA1F74">
        <w:trPr>
          <w:trHeight w:val="580"/>
        </w:trPr>
        <w:tc>
          <w:tcPr>
            <w:tcW w:w="926"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5"/>
              <w:ind w:left="110"/>
              <w:rPr>
                <w:b/>
                <w:sz w:val="19"/>
              </w:rPr>
            </w:pPr>
            <w:r>
              <w:rPr>
                <w:b/>
                <w:w w:val="105"/>
                <w:sz w:val="19"/>
              </w:rPr>
              <w:t>07-16</w:t>
            </w:r>
          </w:p>
        </w:tc>
        <w:tc>
          <w:tcPr>
            <w:tcW w:w="10132" w:type="dxa"/>
          </w:tcPr>
          <w:p w:rsidR="00EA1F74" w:rsidRDefault="00FC1CE8">
            <w:pPr>
              <w:pStyle w:val="TableParagraph"/>
              <w:numPr>
                <w:ilvl w:val="0"/>
                <w:numId w:val="47"/>
              </w:numPr>
              <w:tabs>
                <w:tab w:val="left" w:pos="465"/>
                <w:tab w:val="left" w:pos="466"/>
              </w:tabs>
              <w:spacing w:before="5"/>
              <w:ind w:hanging="361"/>
              <w:rPr>
                <w:sz w:val="19"/>
              </w:rPr>
            </w:pPr>
            <w:r>
              <w:rPr>
                <w:w w:val="105"/>
                <w:sz w:val="19"/>
              </w:rPr>
              <w:t>Only unexpected deaths were in-scope for this</w:t>
            </w:r>
            <w:r>
              <w:rPr>
                <w:spacing w:val="5"/>
                <w:w w:val="105"/>
                <w:sz w:val="19"/>
              </w:rPr>
              <w:t xml:space="preserve"> </w:t>
            </w:r>
            <w:r>
              <w:rPr>
                <w:w w:val="105"/>
                <w:sz w:val="19"/>
              </w:rPr>
              <w:t>investigation.</w:t>
            </w:r>
          </w:p>
          <w:p w:rsidR="00EA1F74" w:rsidRDefault="00FC1CE8">
            <w:pPr>
              <w:pStyle w:val="TableParagraph"/>
              <w:numPr>
                <w:ilvl w:val="0"/>
                <w:numId w:val="47"/>
              </w:numPr>
              <w:tabs>
                <w:tab w:val="left" w:pos="465"/>
                <w:tab w:val="left" w:pos="466"/>
              </w:tabs>
              <w:spacing w:before="12"/>
              <w:ind w:hanging="361"/>
              <w:rPr>
                <w:sz w:val="19"/>
              </w:rPr>
            </w:pPr>
            <w:r>
              <w:rPr>
                <w:w w:val="105"/>
                <w:sz w:val="19"/>
              </w:rPr>
              <w:t>No definition of expected or unexpected deaths</w:t>
            </w:r>
            <w:r>
              <w:rPr>
                <w:spacing w:val="6"/>
                <w:w w:val="105"/>
                <w:sz w:val="19"/>
              </w:rPr>
              <w:t xml:space="preserve"> </w:t>
            </w:r>
            <w:r>
              <w:rPr>
                <w:w w:val="105"/>
                <w:sz w:val="19"/>
              </w:rPr>
              <w:t>provided.</w:t>
            </w:r>
          </w:p>
        </w:tc>
      </w:tr>
      <w:tr w:rsidR="00EA1F74" w:rsidTr="0096260D">
        <w:trPr>
          <w:trHeight w:val="2399"/>
        </w:trPr>
        <w:tc>
          <w:tcPr>
            <w:tcW w:w="926" w:type="dxa"/>
            <w:shd w:val="clear" w:color="auto" w:fill="F2F2F2" w:themeFill="background1" w:themeFillShade="F2"/>
          </w:tcPr>
          <w:p w:rsidR="00EA1F74" w:rsidRDefault="00FC1CE8">
            <w:pPr>
              <w:pStyle w:val="TableParagraph"/>
              <w:spacing w:before="3" w:line="321" w:lineRule="auto"/>
              <w:ind w:left="110" w:right="282"/>
              <w:rPr>
                <w:b/>
                <w:sz w:val="19"/>
              </w:rPr>
            </w:pPr>
            <w:r>
              <w:rPr>
                <w:b/>
                <w:w w:val="105"/>
                <w:sz w:val="19"/>
              </w:rPr>
              <w:t>QLD 09-14</w:t>
            </w:r>
          </w:p>
        </w:tc>
        <w:tc>
          <w:tcPr>
            <w:tcW w:w="10132" w:type="dxa"/>
            <w:shd w:val="clear" w:color="auto" w:fill="F2F2F2" w:themeFill="background1" w:themeFillShade="F2"/>
          </w:tcPr>
          <w:p w:rsidR="00EA1F74" w:rsidRDefault="00FC1CE8">
            <w:pPr>
              <w:pStyle w:val="TableParagraph"/>
              <w:numPr>
                <w:ilvl w:val="0"/>
                <w:numId w:val="46"/>
              </w:numPr>
              <w:tabs>
                <w:tab w:val="left" w:pos="465"/>
                <w:tab w:val="left" w:pos="466"/>
              </w:tabs>
              <w:spacing w:before="5"/>
              <w:ind w:hanging="361"/>
              <w:rPr>
                <w:sz w:val="19"/>
              </w:rPr>
            </w:pPr>
            <w:r>
              <w:rPr>
                <w:w w:val="105"/>
                <w:sz w:val="19"/>
              </w:rPr>
              <w:t>39% of deaths were considered expected</w:t>
            </w:r>
            <w:r>
              <w:rPr>
                <w:spacing w:val="6"/>
                <w:w w:val="105"/>
                <w:sz w:val="19"/>
              </w:rPr>
              <w:t xml:space="preserve"> </w:t>
            </w:r>
            <w:r>
              <w:rPr>
                <w:w w:val="105"/>
                <w:sz w:val="19"/>
              </w:rPr>
              <w:t>deaths.</w:t>
            </w:r>
          </w:p>
          <w:p w:rsidR="00EA1F74" w:rsidRDefault="00FC1CE8">
            <w:pPr>
              <w:pStyle w:val="TableParagraph"/>
              <w:numPr>
                <w:ilvl w:val="0"/>
                <w:numId w:val="46"/>
              </w:numPr>
              <w:tabs>
                <w:tab w:val="left" w:pos="465"/>
                <w:tab w:val="left" w:pos="466"/>
              </w:tabs>
              <w:spacing w:before="12"/>
              <w:ind w:hanging="361"/>
              <w:rPr>
                <w:sz w:val="19"/>
              </w:rPr>
            </w:pPr>
            <w:r>
              <w:rPr>
                <w:w w:val="105"/>
                <w:sz w:val="19"/>
              </w:rPr>
              <w:t>59% were</w:t>
            </w:r>
            <w:r>
              <w:rPr>
                <w:spacing w:val="3"/>
                <w:w w:val="105"/>
                <w:sz w:val="19"/>
              </w:rPr>
              <w:t xml:space="preserve"> </w:t>
            </w:r>
            <w:r>
              <w:rPr>
                <w:w w:val="105"/>
                <w:sz w:val="19"/>
              </w:rPr>
              <w:t>unexpected.</w:t>
            </w:r>
          </w:p>
          <w:p w:rsidR="00EA1F74" w:rsidRDefault="00EA1F74">
            <w:pPr>
              <w:pStyle w:val="TableParagraph"/>
              <w:spacing w:before="11"/>
              <w:rPr>
                <w:sz w:val="25"/>
              </w:rPr>
            </w:pPr>
          </w:p>
          <w:p w:rsidR="00EA1F74" w:rsidRDefault="00FC1CE8">
            <w:pPr>
              <w:pStyle w:val="TableParagraph"/>
              <w:ind w:left="105"/>
              <w:rPr>
                <w:sz w:val="19"/>
              </w:rPr>
            </w:pPr>
            <w:r>
              <w:rPr>
                <w:b/>
                <w:w w:val="105"/>
                <w:sz w:val="19"/>
              </w:rPr>
              <w:t xml:space="preserve">Expected death: </w:t>
            </w:r>
            <w:r>
              <w:rPr>
                <w:w w:val="105"/>
                <w:sz w:val="19"/>
              </w:rPr>
              <w:t>not defined</w:t>
            </w:r>
          </w:p>
          <w:p w:rsidR="00EA1F74" w:rsidRDefault="00FC1CE8">
            <w:pPr>
              <w:pStyle w:val="TableParagraph"/>
              <w:spacing w:before="74" w:line="247" w:lineRule="auto"/>
              <w:ind w:left="105"/>
              <w:rPr>
                <w:i/>
                <w:sz w:val="19"/>
              </w:rPr>
            </w:pPr>
            <w:r>
              <w:rPr>
                <w:b/>
                <w:w w:val="105"/>
                <w:sz w:val="19"/>
              </w:rPr>
              <w:t xml:space="preserve">Unexpected death: </w:t>
            </w:r>
            <w:r>
              <w:rPr>
                <w:w w:val="105"/>
                <w:sz w:val="19"/>
              </w:rPr>
              <w:t xml:space="preserve">defined as, </w:t>
            </w:r>
            <w:r>
              <w:rPr>
                <w:i/>
                <w:w w:val="105"/>
                <w:sz w:val="19"/>
              </w:rPr>
              <w:t>“A death that was not anticipated as a significant possibility 24 hours before the death”</w:t>
            </w:r>
          </w:p>
          <w:p w:rsidR="00EA1F74" w:rsidRDefault="00FC1CE8">
            <w:pPr>
              <w:pStyle w:val="TableParagraph"/>
              <w:spacing w:before="69"/>
              <w:ind w:left="105"/>
              <w:rPr>
                <w:sz w:val="19"/>
              </w:rPr>
            </w:pPr>
            <w:r>
              <w:rPr>
                <w:w w:val="105"/>
                <w:sz w:val="19"/>
              </w:rPr>
              <w:t>Deaths reported by the QLD state coroner use definitions of ‘unexpected’/’expected’ set out in the QLD</w:t>
            </w:r>
          </w:p>
          <w:p w:rsidR="00EA1F74" w:rsidRDefault="00FC1CE8">
            <w:pPr>
              <w:pStyle w:val="TableParagraph"/>
              <w:spacing w:before="12"/>
              <w:ind w:left="105"/>
              <w:rPr>
                <w:sz w:val="19"/>
              </w:rPr>
            </w:pPr>
            <w:r>
              <w:rPr>
                <w:i/>
                <w:w w:val="105"/>
                <w:sz w:val="19"/>
              </w:rPr>
              <w:t xml:space="preserve">Coroners Act. </w:t>
            </w:r>
            <w:r>
              <w:rPr>
                <w:w w:val="105"/>
                <w:sz w:val="19"/>
              </w:rPr>
              <w:t>All deaths considered to be ‘unexpected ‘are reportable to the state coroner.</w:t>
            </w:r>
          </w:p>
        </w:tc>
      </w:tr>
      <w:tr w:rsidR="00EA1F74">
        <w:trPr>
          <w:trHeight w:val="1343"/>
        </w:trPr>
        <w:tc>
          <w:tcPr>
            <w:tcW w:w="926" w:type="dxa"/>
          </w:tcPr>
          <w:p w:rsidR="00EA1F74" w:rsidRDefault="00FC1CE8">
            <w:pPr>
              <w:pStyle w:val="TableParagraph"/>
              <w:spacing w:before="3" w:line="316" w:lineRule="auto"/>
              <w:ind w:left="110" w:right="282"/>
              <w:rPr>
                <w:b/>
                <w:sz w:val="19"/>
              </w:rPr>
            </w:pPr>
            <w:r>
              <w:rPr>
                <w:b/>
                <w:w w:val="105"/>
                <w:sz w:val="19"/>
              </w:rPr>
              <w:t>NSW 12-13</w:t>
            </w:r>
          </w:p>
        </w:tc>
        <w:tc>
          <w:tcPr>
            <w:tcW w:w="10132" w:type="dxa"/>
          </w:tcPr>
          <w:p w:rsidR="00EA1F74" w:rsidRDefault="00FC1CE8">
            <w:pPr>
              <w:pStyle w:val="TableParagraph"/>
              <w:numPr>
                <w:ilvl w:val="0"/>
                <w:numId w:val="45"/>
              </w:numPr>
              <w:tabs>
                <w:tab w:val="left" w:pos="465"/>
                <w:tab w:val="left" w:pos="466"/>
              </w:tabs>
              <w:spacing w:before="5"/>
              <w:ind w:hanging="361"/>
              <w:rPr>
                <w:sz w:val="19"/>
              </w:rPr>
            </w:pPr>
            <w:r>
              <w:rPr>
                <w:w w:val="105"/>
                <w:sz w:val="19"/>
              </w:rPr>
              <w:t>No expected or unexpected death rates are</w:t>
            </w:r>
            <w:r>
              <w:rPr>
                <w:spacing w:val="7"/>
                <w:w w:val="105"/>
                <w:sz w:val="19"/>
              </w:rPr>
              <w:t xml:space="preserve"> </w:t>
            </w:r>
            <w:r>
              <w:rPr>
                <w:w w:val="105"/>
                <w:sz w:val="19"/>
              </w:rPr>
              <w:t>reported.</w:t>
            </w:r>
          </w:p>
          <w:p w:rsidR="00EA1F74" w:rsidRDefault="00EA1F74">
            <w:pPr>
              <w:pStyle w:val="TableParagraph"/>
              <w:spacing w:before="11"/>
              <w:rPr>
                <w:sz w:val="25"/>
              </w:rPr>
            </w:pPr>
          </w:p>
          <w:p w:rsidR="00EA1F74" w:rsidRDefault="00FC1CE8">
            <w:pPr>
              <w:pStyle w:val="TableParagraph"/>
              <w:spacing w:line="252" w:lineRule="auto"/>
              <w:ind w:left="105" w:right="190"/>
              <w:rPr>
                <w:sz w:val="19"/>
              </w:rPr>
            </w:pPr>
            <w:r>
              <w:rPr>
                <w:w w:val="105"/>
                <w:sz w:val="19"/>
              </w:rPr>
              <w:t xml:space="preserve">Deaths reported by the NSW state coroner use definitions of ‘unexpected’/’expected’ set out in the </w:t>
            </w:r>
            <w:r>
              <w:rPr>
                <w:i/>
                <w:w w:val="105"/>
                <w:sz w:val="19"/>
              </w:rPr>
              <w:t xml:space="preserve">NSW Coroners Act. </w:t>
            </w:r>
            <w:r>
              <w:rPr>
                <w:w w:val="105"/>
                <w:sz w:val="19"/>
              </w:rPr>
              <w:t>All deaths considered to be ‘unexpected ‘are reportable to the state coroner.</w:t>
            </w:r>
          </w:p>
        </w:tc>
      </w:tr>
      <w:tr w:rsidR="00EA1F74" w:rsidTr="00A85C4E">
        <w:trPr>
          <w:trHeight w:val="1986"/>
        </w:trPr>
        <w:tc>
          <w:tcPr>
            <w:tcW w:w="926" w:type="dxa"/>
            <w:shd w:val="clear" w:color="auto" w:fill="F2F2F2" w:themeFill="background1" w:themeFillShade="F2"/>
          </w:tcPr>
          <w:p w:rsidR="00EA1F74" w:rsidRDefault="00FC1CE8">
            <w:pPr>
              <w:pStyle w:val="TableParagraph"/>
              <w:spacing w:before="3" w:line="316" w:lineRule="auto"/>
              <w:ind w:left="110" w:right="282"/>
              <w:rPr>
                <w:b/>
                <w:sz w:val="19"/>
              </w:rPr>
            </w:pPr>
            <w:r>
              <w:rPr>
                <w:b/>
                <w:w w:val="105"/>
                <w:sz w:val="19"/>
              </w:rPr>
              <w:t>NSW 14-17</w:t>
            </w:r>
          </w:p>
        </w:tc>
        <w:tc>
          <w:tcPr>
            <w:tcW w:w="10132" w:type="dxa"/>
            <w:shd w:val="clear" w:color="auto" w:fill="F2F2F2" w:themeFill="background1" w:themeFillShade="F2"/>
          </w:tcPr>
          <w:p w:rsidR="00EA1F74" w:rsidRDefault="00FC1CE8">
            <w:pPr>
              <w:pStyle w:val="TableParagraph"/>
              <w:numPr>
                <w:ilvl w:val="0"/>
                <w:numId w:val="44"/>
              </w:numPr>
              <w:tabs>
                <w:tab w:val="left" w:pos="465"/>
                <w:tab w:val="left" w:pos="466"/>
              </w:tabs>
              <w:spacing w:before="5" w:line="249" w:lineRule="auto"/>
              <w:ind w:right="449"/>
              <w:rPr>
                <w:sz w:val="19"/>
              </w:rPr>
            </w:pPr>
            <w:r>
              <w:rPr>
                <w:w w:val="105"/>
                <w:sz w:val="19"/>
              </w:rPr>
              <w:t>Most (64%) of the 494 deaths of people with disability in residential care in 2014-2017 were sudden unexpected deaths, including the deaths of 307 people (64%) in disability services, and the deaths of 11 people (61%) in assisted boarding</w:t>
            </w:r>
            <w:r>
              <w:rPr>
                <w:spacing w:val="4"/>
                <w:w w:val="105"/>
                <w:sz w:val="19"/>
              </w:rPr>
              <w:t xml:space="preserve"> </w:t>
            </w:r>
            <w:r>
              <w:rPr>
                <w:w w:val="105"/>
                <w:sz w:val="19"/>
              </w:rPr>
              <w:t>houses.</w:t>
            </w:r>
          </w:p>
          <w:p w:rsidR="00EA1F74" w:rsidRDefault="00FC1CE8">
            <w:pPr>
              <w:pStyle w:val="TableParagraph"/>
              <w:numPr>
                <w:ilvl w:val="0"/>
                <w:numId w:val="44"/>
              </w:numPr>
              <w:tabs>
                <w:tab w:val="left" w:pos="465"/>
                <w:tab w:val="left" w:pos="466"/>
              </w:tabs>
              <w:spacing w:before="4" w:line="249" w:lineRule="auto"/>
              <w:ind w:right="145"/>
              <w:rPr>
                <w:sz w:val="19"/>
              </w:rPr>
            </w:pPr>
            <w:r>
              <w:rPr>
                <w:w w:val="105"/>
                <w:sz w:val="19"/>
              </w:rPr>
              <w:t>The 176 people (36%) whose deaths were expected were typically in the final stages of a terminal condition or degenerative disease, and were receiving palliative</w:t>
            </w:r>
            <w:r>
              <w:rPr>
                <w:spacing w:val="5"/>
                <w:w w:val="105"/>
                <w:sz w:val="19"/>
              </w:rPr>
              <w:t xml:space="preserve"> </w:t>
            </w:r>
            <w:r>
              <w:rPr>
                <w:w w:val="105"/>
                <w:sz w:val="19"/>
              </w:rPr>
              <w:t>care.</w:t>
            </w:r>
          </w:p>
          <w:p w:rsidR="00EA1F74" w:rsidRDefault="00EA1F74">
            <w:pPr>
              <w:pStyle w:val="TableParagraph"/>
              <w:spacing w:before="5"/>
              <w:rPr>
                <w:sz w:val="25"/>
              </w:rPr>
            </w:pPr>
          </w:p>
          <w:p w:rsidR="00EA1F74" w:rsidRDefault="00FC1CE8">
            <w:pPr>
              <w:pStyle w:val="TableParagraph"/>
              <w:spacing w:line="252" w:lineRule="auto"/>
              <w:ind w:left="105"/>
              <w:rPr>
                <w:sz w:val="19"/>
              </w:rPr>
            </w:pPr>
            <w:r>
              <w:rPr>
                <w:w w:val="105"/>
                <w:sz w:val="19"/>
              </w:rPr>
              <w:t xml:space="preserve">Deaths reported by the NSW state coroner use definitions ‘unexpected’/’expected’ set out in the </w:t>
            </w:r>
            <w:r>
              <w:rPr>
                <w:i/>
                <w:w w:val="105"/>
                <w:sz w:val="19"/>
              </w:rPr>
              <w:t xml:space="preserve">NSW Coroners Act. </w:t>
            </w:r>
            <w:r>
              <w:rPr>
                <w:w w:val="105"/>
                <w:sz w:val="19"/>
              </w:rPr>
              <w:t>All deaths considered to be ‘unexpected ‘are reportable to the state coroner.</w:t>
            </w:r>
          </w:p>
        </w:tc>
      </w:tr>
    </w:tbl>
    <w:p w:rsidR="00EA1F74" w:rsidRDefault="00EA1F74" w:rsidP="00625DA1">
      <w:pPr>
        <w:pStyle w:val="BodyText"/>
      </w:pPr>
    </w:p>
    <w:p w:rsidR="00EA1F74" w:rsidRDefault="00FC1CE8">
      <w:pPr>
        <w:pStyle w:val="Heading4"/>
        <w:spacing w:before="92"/>
      </w:pPr>
      <w:bookmarkStart w:id="32" w:name="_TOC_250033"/>
      <w:bookmarkEnd w:id="32"/>
      <w:r>
        <w:rPr>
          <w:color w:val="4472C4"/>
        </w:rPr>
        <w:t>Where and when did people die?</w:t>
      </w:r>
    </w:p>
    <w:p w:rsidR="00EA1F74" w:rsidRDefault="00FC1CE8" w:rsidP="00FA1F07">
      <w:pPr>
        <w:pStyle w:val="BodyText"/>
      </w:pPr>
      <w:r>
        <w:t>QLD was the only state to conduct a detailed analysis of where and when deaths took place. Their report (QLD 09-14) demonstrated a higher number of deaths at night, particularly in cases where the person died in their usual place of residence rather than in hospital, and in cases where the person had a diagnosis of epilepsy. A slightly larger proportion of both genders died in hospital (58% of sample) than in the service where they had been living. While the fewest deaths occurred in summer (18%) and the highest number in winter (29%) and spring (30%), the overall data indicate only a slight seasonal trend in deaths. We commend this type of analysis to the Commission and note that</w:t>
      </w:r>
      <w:r w:rsidR="00FA1F07">
        <w:t xml:space="preserve"> </w:t>
      </w:r>
      <w:r>
        <w:t>inclusion of such data can help to identify time periods of higher risk and allow services to plan their care and staffing levels appropriately.</w:t>
      </w:r>
    </w:p>
    <w:p w:rsidR="00EA1F74" w:rsidRDefault="00FC1CE8">
      <w:pPr>
        <w:spacing w:before="1"/>
        <w:ind w:left="733"/>
        <w:rPr>
          <w:b/>
          <w:i/>
          <w:sz w:val="24"/>
        </w:rPr>
      </w:pPr>
      <w:r>
        <w:rPr>
          <w:b/>
          <w:i/>
          <w:color w:val="4472C4"/>
          <w:sz w:val="24"/>
        </w:rPr>
        <w:t>Natural versus unnatural (external) causes of death</w:t>
      </w:r>
    </w:p>
    <w:p w:rsidR="00EA1F74" w:rsidRDefault="00FC1CE8" w:rsidP="00625DA1">
      <w:pPr>
        <w:pStyle w:val="BodyText"/>
      </w:pPr>
      <w:r>
        <w:rPr>
          <w:b/>
        </w:rPr>
        <w:t xml:space="preserve">The vast majority of deaths across samples were attributed to natural causes. </w:t>
      </w:r>
      <w:r>
        <w:t>Between 88% to 93% of deaths reported across samples were attributed to ‘natural’ causes (i.e. illness and disease). With the exception of the VIC 07-16 report (where only ‘unnatural’ causes of death were in-scope for investigation), unnatural or external causes of death accounted for between 5% to 8% of all other deaths investigated. The vast majority of these deaths related to accidental choking. According to the NSW Ombudsman (NSW 14-17) a higher proportion of people in disability services died from unnatural causes compared to residents in assisted boarding houses. A specific breakdown of deaths by natural and unnatural causes within each report is provided in Table 19.</w:t>
      </w:r>
    </w:p>
    <w:p w:rsidR="00EA1F74" w:rsidRDefault="00FC1CE8" w:rsidP="00625DA1">
      <w:pPr>
        <w:pStyle w:val="BodyText"/>
      </w:pPr>
      <w:r>
        <w:t>Table 19: Natural versus unnatural causes of death</w:t>
      </w:r>
    </w:p>
    <w:tbl>
      <w:tblPr>
        <w:tblW w:w="0" w:type="auto"/>
        <w:tblInd w:w="4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517"/>
        </w:trPr>
        <w:tc>
          <w:tcPr>
            <w:tcW w:w="960" w:type="dxa"/>
            <w:tcBorders>
              <w:bottom w:val="single" w:sz="18" w:space="0" w:color="A5A5A5"/>
            </w:tcBorders>
          </w:tcPr>
          <w:p w:rsidR="00EA1F74" w:rsidRDefault="00FC1CE8">
            <w:pPr>
              <w:pStyle w:val="TableParagraph"/>
              <w:spacing w:before="3" w:line="252" w:lineRule="auto"/>
              <w:ind w:left="110" w:right="211"/>
              <w:rPr>
                <w:sz w:val="19"/>
              </w:rPr>
            </w:pPr>
            <w:r>
              <w:rPr>
                <w:w w:val="105"/>
                <w:sz w:val="19"/>
              </w:rPr>
              <w:t>Report ID</w:t>
            </w:r>
          </w:p>
        </w:tc>
        <w:tc>
          <w:tcPr>
            <w:tcW w:w="9547" w:type="dxa"/>
            <w:tcBorders>
              <w:bottom w:val="single" w:sz="18" w:space="0" w:color="A5A5A5"/>
            </w:tcBorders>
          </w:tcPr>
          <w:p w:rsidR="00EA1F74" w:rsidRDefault="00FC1CE8">
            <w:pPr>
              <w:pStyle w:val="TableParagraph"/>
              <w:spacing w:before="3"/>
              <w:ind w:left="110"/>
              <w:rPr>
                <w:sz w:val="19"/>
              </w:rPr>
            </w:pPr>
            <w:r>
              <w:rPr>
                <w:w w:val="105"/>
                <w:sz w:val="19"/>
              </w:rPr>
              <w:t>Natural versus unnatural (or ‘external’) causes of death</w:t>
            </w:r>
          </w:p>
        </w:tc>
      </w:tr>
      <w:tr w:rsidR="00EA1F74" w:rsidTr="00A85C4E">
        <w:trPr>
          <w:trHeight w:val="963"/>
        </w:trPr>
        <w:tc>
          <w:tcPr>
            <w:tcW w:w="960" w:type="dxa"/>
            <w:tcBorders>
              <w:top w:val="single" w:sz="18" w:space="0" w:color="A5A5A5"/>
            </w:tcBorders>
            <w:shd w:val="clear" w:color="auto" w:fill="F2F2F2" w:themeFill="background1" w:themeFillShade="F2"/>
          </w:tcPr>
          <w:p w:rsidR="00EA1F74" w:rsidRDefault="00FC1CE8">
            <w:pPr>
              <w:pStyle w:val="TableParagraph"/>
              <w:spacing w:before="8" w:line="316" w:lineRule="auto"/>
              <w:ind w:left="110" w:right="316"/>
              <w:rPr>
                <w:b/>
                <w:sz w:val="19"/>
              </w:rPr>
            </w:pPr>
            <w:r>
              <w:rPr>
                <w:b/>
                <w:w w:val="105"/>
                <w:sz w:val="19"/>
              </w:rPr>
              <w:t>VIC 17-18</w:t>
            </w:r>
          </w:p>
        </w:tc>
        <w:tc>
          <w:tcPr>
            <w:tcW w:w="9547" w:type="dxa"/>
            <w:tcBorders>
              <w:top w:val="single" w:sz="18" w:space="0" w:color="A5A5A5"/>
            </w:tcBorders>
            <w:shd w:val="clear" w:color="auto" w:fill="F2F2F2" w:themeFill="background1" w:themeFillShade="F2"/>
          </w:tcPr>
          <w:p w:rsidR="00EA1F74" w:rsidRDefault="00FC1CE8">
            <w:pPr>
              <w:pStyle w:val="TableParagraph"/>
              <w:numPr>
                <w:ilvl w:val="0"/>
                <w:numId w:val="43"/>
              </w:numPr>
              <w:tabs>
                <w:tab w:val="left" w:pos="469"/>
                <w:tab w:val="left" w:pos="470"/>
              </w:tabs>
              <w:spacing w:before="9"/>
              <w:rPr>
                <w:sz w:val="19"/>
              </w:rPr>
            </w:pPr>
            <w:r>
              <w:rPr>
                <w:w w:val="105"/>
                <w:sz w:val="19"/>
              </w:rPr>
              <w:t>6% of deaths were due to external or ‘unnatural’ causes– all related to choking on</w:t>
            </w:r>
            <w:r>
              <w:rPr>
                <w:spacing w:val="-1"/>
                <w:w w:val="105"/>
                <w:sz w:val="19"/>
              </w:rPr>
              <w:t xml:space="preserve"> </w:t>
            </w:r>
            <w:r>
              <w:rPr>
                <w:w w:val="105"/>
                <w:sz w:val="19"/>
              </w:rPr>
              <w:t>food.</w:t>
            </w:r>
          </w:p>
          <w:p w:rsidR="00EA1F74" w:rsidRDefault="00FC1CE8">
            <w:pPr>
              <w:pStyle w:val="TableParagraph"/>
              <w:numPr>
                <w:ilvl w:val="0"/>
                <w:numId w:val="43"/>
              </w:numPr>
              <w:tabs>
                <w:tab w:val="left" w:pos="469"/>
                <w:tab w:val="left" w:pos="470"/>
              </w:tabs>
              <w:spacing w:before="8"/>
              <w:rPr>
                <w:sz w:val="19"/>
              </w:rPr>
            </w:pPr>
            <w:r>
              <w:rPr>
                <w:w w:val="105"/>
                <w:sz w:val="19"/>
              </w:rPr>
              <w:t>‘Natural’ causes were responsible for 88% of</w:t>
            </w:r>
            <w:r>
              <w:rPr>
                <w:spacing w:val="6"/>
                <w:w w:val="105"/>
                <w:sz w:val="19"/>
              </w:rPr>
              <w:t xml:space="preserve"> </w:t>
            </w:r>
            <w:r>
              <w:rPr>
                <w:w w:val="105"/>
                <w:sz w:val="19"/>
              </w:rPr>
              <w:t>deaths.</w:t>
            </w:r>
          </w:p>
          <w:p w:rsidR="00EA1F74" w:rsidRDefault="00FC1CE8">
            <w:pPr>
              <w:pStyle w:val="TableParagraph"/>
              <w:numPr>
                <w:ilvl w:val="0"/>
                <w:numId w:val="43"/>
              </w:numPr>
              <w:tabs>
                <w:tab w:val="left" w:pos="469"/>
                <w:tab w:val="left" w:pos="470"/>
              </w:tabs>
              <w:spacing w:before="12"/>
              <w:rPr>
                <w:sz w:val="19"/>
              </w:rPr>
            </w:pPr>
            <w:r>
              <w:rPr>
                <w:w w:val="105"/>
                <w:sz w:val="19"/>
              </w:rPr>
              <w:t>For 6%, the cause of death was</w:t>
            </w:r>
            <w:r>
              <w:rPr>
                <w:spacing w:val="4"/>
                <w:w w:val="105"/>
                <w:sz w:val="19"/>
              </w:rPr>
              <w:t xml:space="preserve"> </w:t>
            </w:r>
            <w:r>
              <w:rPr>
                <w:w w:val="105"/>
                <w:sz w:val="19"/>
              </w:rPr>
              <w:t>unascertained.</w:t>
            </w:r>
          </w:p>
        </w:tc>
      </w:tr>
      <w:tr w:rsidR="00EA1F74">
        <w:trPr>
          <w:trHeight w:val="1492"/>
        </w:trPr>
        <w:tc>
          <w:tcPr>
            <w:tcW w:w="960" w:type="dxa"/>
          </w:tcPr>
          <w:p w:rsidR="00EA1F74" w:rsidRDefault="00FC1CE8">
            <w:pPr>
              <w:pStyle w:val="TableParagraph"/>
              <w:spacing w:before="3" w:line="316" w:lineRule="auto"/>
              <w:ind w:left="110" w:right="316"/>
              <w:rPr>
                <w:b/>
                <w:sz w:val="19"/>
              </w:rPr>
            </w:pPr>
            <w:r>
              <w:rPr>
                <w:b/>
                <w:w w:val="105"/>
                <w:sz w:val="19"/>
              </w:rPr>
              <w:t>VIC 07-16</w:t>
            </w:r>
          </w:p>
        </w:tc>
        <w:tc>
          <w:tcPr>
            <w:tcW w:w="9547" w:type="dxa"/>
          </w:tcPr>
          <w:p w:rsidR="00EA1F74" w:rsidRDefault="00FC1CE8">
            <w:pPr>
              <w:pStyle w:val="TableParagraph"/>
              <w:spacing w:before="3"/>
              <w:ind w:left="110"/>
              <w:rPr>
                <w:sz w:val="19"/>
              </w:rPr>
            </w:pPr>
            <w:r>
              <w:rPr>
                <w:w w:val="105"/>
                <w:sz w:val="19"/>
              </w:rPr>
              <w:t>All 7 deaths investigated appeared related to external or ‘unnatural’ causes:</w:t>
            </w:r>
          </w:p>
          <w:p w:rsidR="00EA1F74" w:rsidRDefault="00FC1CE8">
            <w:pPr>
              <w:pStyle w:val="TableParagraph"/>
              <w:numPr>
                <w:ilvl w:val="0"/>
                <w:numId w:val="42"/>
              </w:numPr>
              <w:tabs>
                <w:tab w:val="left" w:pos="469"/>
                <w:tab w:val="left" w:pos="470"/>
              </w:tabs>
              <w:spacing w:before="72"/>
              <w:rPr>
                <w:sz w:val="19"/>
              </w:rPr>
            </w:pPr>
            <w:r>
              <w:rPr>
                <w:w w:val="105"/>
                <w:sz w:val="19"/>
              </w:rPr>
              <w:t>Accidental choking on food or other objects (4 deaths-</w:t>
            </w:r>
            <w:r>
              <w:rPr>
                <w:spacing w:val="6"/>
                <w:w w:val="105"/>
                <w:sz w:val="19"/>
              </w:rPr>
              <w:t xml:space="preserve"> </w:t>
            </w:r>
            <w:r>
              <w:rPr>
                <w:w w:val="105"/>
                <w:sz w:val="19"/>
              </w:rPr>
              <w:t>57%)</w:t>
            </w:r>
          </w:p>
          <w:p w:rsidR="00EA1F74" w:rsidRDefault="00FC1CE8">
            <w:pPr>
              <w:pStyle w:val="TableParagraph"/>
              <w:numPr>
                <w:ilvl w:val="0"/>
                <w:numId w:val="42"/>
              </w:numPr>
              <w:tabs>
                <w:tab w:val="left" w:pos="469"/>
                <w:tab w:val="left" w:pos="470"/>
              </w:tabs>
              <w:spacing w:before="12"/>
              <w:rPr>
                <w:sz w:val="19"/>
              </w:rPr>
            </w:pPr>
            <w:r>
              <w:rPr>
                <w:w w:val="105"/>
                <w:sz w:val="19"/>
              </w:rPr>
              <w:t>Physical restraint (1</w:t>
            </w:r>
            <w:r>
              <w:rPr>
                <w:spacing w:val="1"/>
                <w:w w:val="105"/>
                <w:sz w:val="19"/>
              </w:rPr>
              <w:t xml:space="preserve"> </w:t>
            </w:r>
            <w:r>
              <w:rPr>
                <w:w w:val="105"/>
                <w:sz w:val="19"/>
              </w:rPr>
              <w:t>death)</w:t>
            </w:r>
          </w:p>
          <w:p w:rsidR="00EA1F74" w:rsidRDefault="00FC1CE8">
            <w:pPr>
              <w:pStyle w:val="TableParagraph"/>
              <w:numPr>
                <w:ilvl w:val="0"/>
                <w:numId w:val="42"/>
              </w:numPr>
              <w:tabs>
                <w:tab w:val="left" w:pos="469"/>
                <w:tab w:val="left" w:pos="470"/>
              </w:tabs>
              <w:spacing w:before="12"/>
              <w:rPr>
                <w:sz w:val="19"/>
              </w:rPr>
            </w:pPr>
            <w:r>
              <w:rPr>
                <w:w w:val="105"/>
                <w:sz w:val="19"/>
              </w:rPr>
              <w:t>Inadequate supervision (1</w:t>
            </w:r>
            <w:r>
              <w:rPr>
                <w:spacing w:val="3"/>
                <w:w w:val="105"/>
                <w:sz w:val="19"/>
              </w:rPr>
              <w:t xml:space="preserve"> </w:t>
            </w:r>
            <w:r>
              <w:rPr>
                <w:w w:val="105"/>
                <w:sz w:val="19"/>
              </w:rPr>
              <w:t>death)</w:t>
            </w:r>
          </w:p>
          <w:p w:rsidR="00EA1F74" w:rsidRDefault="00FC1CE8">
            <w:pPr>
              <w:pStyle w:val="TableParagraph"/>
              <w:numPr>
                <w:ilvl w:val="0"/>
                <w:numId w:val="42"/>
              </w:numPr>
              <w:tabs>
                <w:tab w:val="left" w:pos="469"/>
                <w:tab w:val="left" w:pos="470"/>
              </w:tabs>
              <w:spacing w:before="7"/>
              <w:rPr>
                <w:sz w:val="19"/>
              </w:rPr>
            </w:pPr>
            <w:r>
              <w:rPr>
                <w:w w:val="105"/>
                <w:sz w:val="19"/>
              </w:rPr>
              <w:t>Inappropriate access to medication (1</w:t>
            </w:r>
            <w:r>
              <w:rPr>
                <w:spacing w:val="5"/>
                <w:w w:val="105"/>
                <w:sz w:val="19"/>
              </w:rPr>
              <w:t xml:space="preserve"> </w:t>
            </w:r>
            <w:r>
              <w:rPr>
                <w:w w:val="105"/>
                <w:sz w:val="19"/>
              </w:rPr>
              <w:t>death).</w:t>
            </w:r>
          </w:p>
        </w:tc>
      </w:tr>
      <w:tr w:rsidR="00EA1F74" w:rsidTr="00A85C4E">
        <w:trPr>
          <w:trHeight w:val="949"/>
        </w:trPr>
        <w:tc>
          <w:tcPr>
            <w:tcW w:w="960" w:type="dxa"/>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QLD 09-14</w:t>
            </w:r>
          </w:p>
        </w:tc>
        <w:tc>
          <w:tcPr>
            <w:tcW w:w="9547" w:type="dxa"/>
            <w:shd w:val="clear" w:color="auto" w:fill="F2F2F2" w:themeFill="background1" w:themeFillShade="F2"/>
          </w:tcPr>
          <w:p w:rsidR="00EA1F74" w:rsidRDefault="00FC1CE8">
            <w:pPr>
              <w:pStyle w:val="TableParagraph"/>
              <w:numPr>
                <w:ilvl w:val="0"/>
                <w:numId w:val="41"/>
              </w:numPr>
              <w:tabs>
                <w:tab w:val="left" w:pos="469"/>
                <w:tab w:val="left" w:pos="470"/>
              </w:tabs>
              <w:spacing w:before="5" w:line="249" w:lineRule="auto"/>
              <w:ind w:right="219"/>
              <w:rPr>
                <w:sz w:val="19"/>
              </w:rPr>
            </w:pPr>
            <w:r>
              <w:rPr>
                <w:w w:val="105"/>
                <w:sz w:val="19"/>
              </w:rPr>
              <w:t>8% of deaths (6 people) died from ‘unnatural’ causes: These were all due to other accidental threats to breathing, namely food bolus asphyxia or</w:t>
            </w:r>
            <w:r>
              <w:rPr>
                <w:spacing w:val="5"/>
                <w:w w:val="105"/>
                <w:sz w:val="19"/>
              </w:rPr>
              <w:t xml:space="preserve"> </w:t>
            </w:r>
            <w:r>
              <w:rPr>
                <w:w w:val="105"/>
                <w:sz w:val="19"/>
              </w:rPr>
              <w:t>choking.</w:t>
            </w:r>
          </w:p>
          <w:p w:rsidR="00EA1F74" w:rsidRDefault="00FC1CE8">
            <w:pPr>
              <w:pStyle w:val="TableParagraph"/>
              <w:numPr>
                <w:ilvl w:val="0"/>
                <w:numId w:val="41"/>
              </w:numPr>
              <w:tabs>
                <w:tab w:val="left" w:pos="469"/>
                <w:tab w:val="left" w:pos="470"/>
              </w:tabs>
              <w:spacing w:before="6"/>
              <w:rPr>
                <w:sz w:val="19"/>
              </w:rPr>
            </w:pPr>
            <w:r>
              <w:rPr>
                <w:w w:val="105"/>
                <w:sz w:val="19"/>
              </w:rPr>
              <w:t>92% of deaths were from ‘natural’</w:t>
            </w:r>
            <w:r>
              <w:rPr>
                <w:spacing w:val="6"/>
                <w:w w:val="105"/>
                <w:sz w:val="19"/>
              </w:rPr>
              <w:t xml:space="preserve"> </w:t>
            </w:r>
            <w:r>
              <w:rPr>
                <w:w w:val="105"/>
                <w:sz w:val="19"/>
              </w:rPr>
              <w:t>causes.</w:t>
            </w:r>
          </w:p>
        </w:tc>
      </w:tr>
      <w:tr w:rsidR="00EA1F74">
        <w:trPr>
          <w:trHeight w:val="2120"/>
        </w:trPr>
        <w:tc>
          <w:tcPr>
            <w:tcW w:w="960" w:type="dxa"/>
          </w:tcPr>
          <w:p w:rsidR="00EA1F74" w:rsidRDefault="00FC1CE8">
            <w:pPr>
              <w:pStyle w:val="TableParagraph"/>
              <w:spacing w:before="3" w:line="316" w:lineRule="auto"/>
              <w:ind w:left="110" w:right="316"/>
              <w:rPr>
                <w:b/>
                <w:sz w:val="19"/>
              </w:rPr>
            </w:pPr>
            <w:r>
              <w:rPr>
                <w:b/>
                <w:w w:val="105"/>
                <w:sz w:val="19"/>
              </w:rPr>
              <w:t>NSW 12-13</w:t>
            </w:r>
          </w:p>
        </w:tc>
        <w:tc>
          <w:tcPr>
            <w:tcW w:w="9547" w:type="dxa"/>
          </w:tcPr>
          <w:p w:rsidR="00EA1F74" w:rsidRDefault="00FC1CE8">
            <w:pPr>
              <w:pStyle w:val="TableParagraph"/>
              <w:numPr>
                <w:ilvl w:val="0"/>
                <w:numId w:val="40"/>
              </w:numPr>
              <w:tabs>
                <w:tab w:val="left" w:pos="469"/>
                <w:tab w:val="left" w:pos="470"/>
              </w:tabs>
              <w:spacing w:before="5" w:line="249" w:lineRule="auto"/>
              <w:ind w:right="216"/>
              <w:rPr>
                <w:sz w:val="19"/>
              </w:rPr>
            </w:pPr>
            <w:r>
              <w:rPr>
                <w:w w:val="105"/>
                <w:sz w:val="19"/>
              </w:rPr>
              <w:t>89% of deaths of people with disability in residential care were due to ‘natural’ causes (illnesses and diseases). Natural causes accounted for the deaths of most of the people who resided in disability services (88%) and assisted boarding houses</w:t>
            </w:r>
            <w:r>
              <w:rPr>
                <w:spacing w:val="5"/>
                <w:w w:val="105"/>
                <w:sz w:val="19"/>
              </w:rPr>
              <w:t xml:space="preserve"> </w:t>
            </w:r>
            <w:r>
              <w:rPr>
                <w:w w:val="105"/>
                <w:sz w:val="19"/>
              </w:rPr>
              <w:t>(93%).</w:t>
            </w:r>
          </w:p>
          <w:p w:rsidR="00EA1F74" w:rsidRDefault="00FC1CE8">
            <w:pPr>
              <w:pStyle w:val="TableParagraph"/>
              <w:numPr>
                <w:ilvl w:val="0"/>
                <w:numId w:val="40"/>
              </w:numPr>
              <w:tabs>
                <w:tab w:val="left" w:pos="469"/>
                <w:tab w:val="left" w:pos="470"/>
              </w:tabs>
              <w:spacing w:before="4" w:line="252" w:lineRule="auto"/>
              <w:ind w:right="240"/>
              <w:rPr>
                <w:sz w:val="19"/>
              </w:rPr>
            </w:pPr>
            <w:r>
              <w:rPr>
                <w:w w:val="105"/>
                <w:sz w:val="19"/>
              </w:rPr>
              <w:t>Seventeen people (7%) died from external (unnatural) causes. All of these deaths were due to unintentional or accidental causes, mainly associated with choking on food. The vast majority (94%) of the 17 people who died from unintentional external causes resided in disability services; one person lived in an assisted boarding</w:t>
            </w:r>
            <w:r>
              <w:rPr>
                <w:spacing w:val="6"/>
                <w:w w:val="105"/>
                <w:sz w:val="19"/>
              </w:rPr>
              <w:t xml:space="preserve"> </w:t>
            </w:r>
            <w:r>
              <w:rPr>
                <w:w w:val="105"/>
                <w:sz w:val="19"/>
              </w:rPr>
              <w:t>house.</w:t>
            </w:r>
          </w:p>
          <w:p w:rsidR="00EA1F74" w:rsidRDefault="00FC1CE8">
            <w:pPr>
              <w:pStyle w:val="TableParagraph"/>
              <w:numPr>
                <w:ilvl w:val="0"/>
                <w:numId w:val="40"/>
              </w:numPr>
              <w:tabs>
                <w:tab w:val="left" w:pos="469"/>
                <w:tab w:val="left" w:pos="470"/>
              </w:tabs>
              <w:spacing w:before="4"/>
              <w:rPr>
                <w:sz w:val="19"/>
              </w:rPr>
            </w:pPr>
            <w:r>
              <w:rPr>
                <w:w w:val="105"/>
                <w:sz w:val="19"/>
              </w:rPr>
              <w:t>There were no deaths due to intentional causes (such as suicide or assault) in 2012 and</w:t>
            </w:r>
            <w:r>
              <w:rPr>
                <w:spacing w:val="-9"/>
                <w:w w:val="105"/>
                <w:sz w:val="19"/>
              </w:rPr>
              <w:t xml:space="preserve"> </w:t>
            </w:r>
            <w:r>
              <w:rPr>
                <w:w w:val="105"/>
                <w:sz w:val="19"/>
              </w:rPr>
              <w:t>2013.</w:t>
            </w:r>
          </w:p>
          <w:p w:rsidR="00EA1F74" w:rsidRDefault="00FC1CE8">
            <w:pPr>
              <w:pStyle w:val="TableParagraph"/>
              <w:numPr>
                <w:ilvl w:val="0"/>
                <w:numId w:val="40"/>
              </w:numPr>
              <w:tabs>
                <w:tab w:val="left" w:pos="469"/>
                <w:tab w:val="left" w:pos="470"/>
              </w:tabs>
              <w:spacing w:before="7" w:line="219" w:lineRule="exact"/>
              <w:rPr>
                <w:sz w:val="19"/>
              </w:rPr>
            </w:pPr>
            <w:r>
              <w:rPr>
                <w:w w:val="105"/>
                <w:sz w:val="19"/>
              </w:rPr>
              <w:t>For 10 people (4% of total sample), the cause of death was unable to be</w:t>
            </w:r>
            <w:r>
              <w:rPr>
                <w:spacing w:val="1"/>
                <w:w w:val="105"/>
                <w:sz w:val="19"/>
              </w:rPr>
              <w:t xml:space="preserve"> </w:t>
            </w:r>
            <w:r>
              <w:rPr>
                <w:w w:val="105"/>
                <w:sz w:val="19"/>
              </w:rPr>
              <w:t>determined.</w:t>
            </w:r>
          </w:p>
        </w:tc>
      </w:tr>
      <w:tr w:rsidR="00EA1F74" w:rsidTr="00A85C4E">
        <w:trPr>
          <w:trHeight w:val="987"/>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547" w:type="dxa"/>
            <w:shd w:val="clear" w:color="auto" w:fill="F2F2F2" w:themeFill="background1" w:themeFillShade="F2"/>
          </w:tcPr>
          <w:p w:rsidR="00EA1F74" w:rsidRDefault="00FC1CE8">
            <w:pPr>
              <w:pStyle w:val="TableParagraph"/>
              <w:numPr>
                <w:ilvl w:val="0"/>
                <w:numId w:val="39"/>
              </w:numPr>
              <w:tabs>
                <w:tab w:val="left" w:pos="469"/>
                <w:tab w:val="left" w:pos="470"/>
              </w:tabs>
              <w:spacing w:before="48" w:line="244" w:lineRule="auto"/>
              <w:ind w:right="270"/>
              <w:rPr>
                <w:sz w:val="19"/>
              </w:rPr>
            </w:pPr>
            <w:r>
              <w:rPr>
                <w:w w:val="105"/>
                <w:sz w:val="19"/>
              </w:rPr>
              <w:t>89% of the 494 deaths of people with disability in residential care in 2014- 2017 were due to natural causes (illnesses and</w:t>
            </w:r>
            <w:r>
              <w:rPr>
                <w:spacing w:val="3"/>
                <w:w w:val="105"/>
                <w:sz w:val="19"/>
              </w:rPr>
              <w:t xml:space="preserve"> </w:t>
            </w:r>
            <w:r>
              <w:rPr>
                <w:w w:val="105"/>
                <w:sz w:val="19"/>
              </w:rPr>
              <w:t>diseases)</w:t>
            </w:r>
          </w:p>
          <w:p w:rsidR="00EA1F74" w:rsidRDefault="00FC1CE8">
            <w:pPr>
              <w:pStyle w:val="TableParagraph"/>
              <w:numPr>
                <w:ilvl w:val="0"/>
                <w:numId w:val="39"/>
              </w:numPr>
              <w:tabs>
                <w:tab w:val="left" w:pos="469"/>
                <w:tab w:val="left" w:pos="470"/>
              </w:tabs>
              <w:spacing w:before="10"/>
              <w:rPr>
                <w:sz w:val="19"/>
              </w:rPr>
            </w:pPr>
            <w:r>
              <w:rPr>
                <w:w w:val="105"/>
                <w:sz w:val="19"/>
              </w:rPr>
              <w:t>Twenty-seven people (5%) died from external (unnatural)</w:t>
            </w:r>
            <w:r>
              <w:rPr>
                <w:spacing w:val="4"/>
                <w:w w:val="105"/>
                <w:sz w:val="19"/>
              </w:rPr>
              <w:t xml:space="preserve"> </w:t>
            </w:r>
            <w:r>
              <w:rPr>
                <w:w w:val="105"/>
                <w:sz w:val="19"/>
              </w:rPr>
              <w:t>causes:</w:t>
            </w:r>
          </w:p>
          <w:p w:rsidR="00EA1F74" w:rsidRDefault="00FC1CE8">
            <w:pPr>
              <w:pStyle w:val="TableParagraph"/>
              <w:tabs>
                <w:tab w:val="left" w:pos="925"/>
              </w:tabs>
              <w:spacing w:before="11" w:line="206" w:lineRule="exact"/>
              <w:ind w:left="568"/>
              <w:rPr>
                <w:sz w:val="19"/>
              </w:rPr>
            </w:pPr>
            <w:r>
              <w:rPr>
                <w:rFonts w:ascii="Courier New"/>
                <w:w w:val="105"/>
                <w:sz w:val="19"/>
              </w:rPr>
              <w:t>o</w:t>
            </w:r>
            <w:r>
              <w:rPr>
                <w:rFonts w:ascii="Courier New"/>
                <w:w w:val="105"/>
                <w:sz w:val="19"/>
              </w:rPr>
              <w:tab/>
            </w:r>
            <w:r>
              <w:rPr>
                <w:w w:val="105"/>
                <w:sz w:val="19"/>
              </w:rPr>
              <w:t>The majority of these deaths (93%) were due to unintentional or accidental causes,</w:t>
            </w:r>
            <w:r>
              <w:rPr>
                <w:spacing w:val="-12"/>
                <w:w w:val="105"/>
                <w:sz w:val="19"/>
              </w:rPr>
              <w:t xml:space="preserve"> </w:t>
            </w:r>
            <w:r>
              <w:rPr>
                <w:w w:val="105"/>
                <w:sz w:val="19"/>
              </w:rPr>
              <w:t>mainly</w:t>
            </w:r>
          </w:p>
        </w:tc>
      </w:tr>
    </w:tbl>
    <w:p w:rsidR="00EA1F74" w:rsidRDefault="00EA1F74">
      <w:pPr>
        <w:spacing w:line="206" w:lineRule="exact"/>
        <w:rPr>
          <w:sz w:val="19"/>
        </w:rPr>
        <w:sectPr w:rsidR="00EA1F74" w:rsidSect="00FA5D6D">
          <w:pgSz w:w="11900" w:h="16840"/>
          <w:pgMar w:top="1418" w:right="260" w:bottom="1460" w:left="140" w:header="0" w:footer="567" w:gutter="0"/>
          <w:cols w:space="720"/>
          <w:docGrid w:linePitch="299"/>
        </w:sectPr>
      </w:pPr>
    </w:p>
    <w:p w:rsidR="00EA1F74" w:rsidRDefault="00EA1F74" w:rsidP="00625DA1">
      <w:pPr>
        <w:pStyle w:val="BodyText"/>
      </w:pPr>
    </w:p>
    <w:tbl>
      <w:tblPr>
        <w:tblW w:w="0" w:type="auto"/>
        <w:tblInd w:w="4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rsidTr="00A85C4E">
        <w:trPr>
          <w:trHeight w:val="1679"/>
        </w:trPr>
        <w:tc>
          <w:tcPr>
            <w:tcW w:w="960" w:type="dxa"/>
            <w:shd w:val="clear" w:color="auto" w:fill="F2F2F2" w:themeFill="background1" w:themeFillShade="F2"/>
          </w:tcPr>
          <w:p w:rsidR="00EA1F74" w:rsidRDefault="00EA1F74">
            <w:pPr>
              <w:pStyle w:val="TableParagraph"/>
              <w:rPr>
                <w:rFonts w:ascii="Times New Roman"/>
              </w:rPr>
            </w:pPr>
          </w:p>
        </w:tc>
        <w:tc>
          <w:tcPr>
            <w:tcW w:w="9547" w:type="dxa"/>
            <w:shd w:val="clear" w:color="auto" w:fill="F2F2F2" w:themeFill="background1" w:themeFillShade="F2"/>
          </w:tcPr>
          <w:p w:rsidR="00EA1F74" w:rsidRDefault="00FC1CE8">
            <w:pPr>
              <w:pStyle w:val="TableParagraph"/>
              <w:spacing w:before="3"/>
              <w:ind w:left="926"/>
              <w:rPr>
                <w:sz w:val="19"/>
              </w:rPr>
            </w:pPr>
            <w:r>
              <w:rPr>
                <w:w w:val="105"/>
                <w:sz w:val="19"/>
              </w:rPr>
              <w:t>associated with choking on food or other substances.</w:t>
            </w:r>
          </w:p>
          <w:p w:rsidR="00EA1F74" w:rsidRDefault="00FC1CE8">
            <w:pPr>
              <w:pStyle w:val="TableParagraph"/>
              <w:numPr>
                <w:ilvl w:val="0"/>
                <w:numId w:val="38"/>
              </w:numPr>
              <w:tabs>
                <w:tab w:val="left" w:pos="925"/>
                <w:tab w:val="left" w:pos="926"/>
              </w:tabs>
              <w:spacing w:before="12" w:line="233" w:lineRule="exact"/>
              <w:ind w:hanging="358"/>
              <w:rPr>
                <w:sz w:val="19"/>
              </w:rPr>
            </w:pPr>
            <w:r>
              <w:rPr>
                <w:w w:val="105"/>
                <w:sz w:val="19"/>
              </w:rPr>
              <w:t>Two deaths (7%) were due to intentional causes, both</w:t>
            </w:r>
            <w:r>
              <w:rPr>
                <w:spacing w:val="5"/>
                <w:w w:val="105"/>
                <w:sz w:val="19"/>
              </w:rPr>
              <w:t xml:space="preserve"> </w:t>
            </w:r>
            <w:r>
              <w:rPr>
                <w:w w:val="105"/>
                <w:sz w:val="19"/>
              </w:rPr>
              <w:t>suicide.</w:t>
            </w:r>
          </w:p>
          <w:p w:rsidR="00EA1F74" w:rsidRDefault="00FC1CE8">
            <w:pPr>
              <w:pStyle w:val="TableParagraph"/>
              <w:numPr>
                <w:ilvl w:val="0"/>
                <w:numId w:val="38"/>
              </w:numPr>
              <w:tabs>
                <w:tab w:val="left" w:pos="925"/>
                <w:tab w:val="left" w:pos="926"/>
              </w:tabs>
              <w:spacing w:before="1" w:line="235" w:lineRule="auto"/>
              <w:ind w:right="283"/>
              <w:rPr>
                <w:sz w:val="19"/>
              </w:rPr>
            </w:pPr>
            <w:r>
              <w:rPr>
                <w:w w:val="105"/>
                <w:sz w:val="19"/>
              </w:rPr>
              <w:t>Only one of the external cause deaths involved a person in an assisted boarding house – their death was due to a transport-related</w:t>
            </w:r>
            <w:r>
              <w:rPr>
                <w:spacing w:val="6"/>
                <w:w w:val="105"/>
                <w:sz w:val="19"/>
              </w:rPr>
              <w:t xml:space="preserve"> </w:t>
            </w:r>
            <w:r>
              <w:rPr>
                <w:w w:val="105"/>
                <w:sz w:val="19"/>
              </w:rPr>
              <w:t>accident.</w:t>
            </w:r>
          </w:p>
          <w:p w:rsidR="00EA1F74" w:rsidRDefault="00FC1CE8">
            <w:pPr>
              <w:pStyle w:val="TableParagraph"/>
              <w:numPr>
                <w:ilvl w:val="0"/>
                <w:numId w:val="37"/>
              </w:numPr>
              <w:tabs>
                <w:tab w:val="left" w:pos="469"/>
                <w:tab w:val="left" w:pos="470"/>
              </w:tabs>
              <w:spacing w:before="14"/>
              <w:rPr>
                <w:sz w:val="19"/>
              </w:rPr>
            </w:pPr>
            <w:r>
              <w:rPr>
                <w:w w:val="105"/>
                <w:sz w:val="19"/>
              </w:rPr>
              <w:t>For 11 people (2%), the cause of death was unable to be</w:t>
            </w:r>
            <w:r>
              <w:rPr>
                <w:spacing w:val="6"/>
                <w:w w:val="105"/>
                <w:sz w:val="19"/>
              </w:rPr>
              <w:t xml:space="preserve"> </w:t>
            </w:r>
            <w:r>
              <w:rPr>
                <w:w w:val="105"/>
                <w:sz w:val="19"/>
              </w:rPr>
              <w:t>determined</w:t>
            </w:r>
          </w:p>
          <w:p w:rsidR="00EA1F74" w:rsidRDefault="00FC1CE8">
            <w:pPr>
              <w:pStyle w:val="TableParagraph"/>
              <w:numPr>
                <w:ilvl w:val="0"/>
                <w:numId w:val="37"/>
              </w:numPr>
              <w:tabs>
                <w:tab w:val="left" w:pos="469"/>
                <w:tab w:val="left" w:pos="470"/>
              </w:tabs>
              <w:spacing w:before="12" w:line="249" w:lineRule="auto"/>
              <w:ind w:right="1115"/>
              <w:rPr>
                <w:sz w:val="19"/>
              </w:rPr>
            </w:pPr>
            <w:r>
              <w:rPr>
                <w:w w:val="105"/>
                <w:sz w:val="19"/>
              </w:rPr>
              <w:t>The underlying cause of death of 14 people (3%) had not yet been ascertained (still under investigation)</w:t>
            </w:r>
          </w:p>
        </w:tc>
      </w:tr>
    </w:tbl>
    <w:p w:rsidR="003A0312" w:rsidRDefault="003A0312" w:rsidP="001F2413">
      <w:pPr>
        <w:pStyle w:val="BodyText"/>
      </w:pPr>
      <w:bookmarkStart w:id="33" w:name="_TOC_250032"/>
      <w:bookmarkEnd w:id="33"/>
    </w:p>
    <w:p w:rsidR="003A0312" w:rsidRDefault="003A0312" w:rsidP="001F2413">
      <w:pPr>
        <w:pStyle w:val="BodyText"/>
      </w:pPr>
    </w:p>
    <w:p w:rsidR="003A0312" w:rsidRPr="001F2413" w:rsidRDefault="003A0312" w:rsidP="001F2413">
      <w:pPr>
        <w:pStyle w:val="BodyText"/>
      </w:pPr>
    </w:p>
    <w:p w:rsidR="00EA1F74" w:rsidRDefault="00FC1CE8">
      <w:pPr>
        <w:pStyle w:val="Heading4"/>
        <w:spacing w:before="92"/>
      </w:pPr>
      <w:r>
        <w:rPr>
          <w:color w:val="4472C4"/>
        </w:rPr>
        <w:t>Potentially ‘avoidable’, ‘treatable’ and ‘preventable’ deaths</w:t>
      </w:r>
    </w:p>
    <w:p w:rsidR="00EA1F74" w:rsidRDefault="00FC1CE8" w:rsidP="00625DA1">
      <w:pPr>
        <w:pStyle w:val="BodyText"/>
      </w:pPr>
      <w:r>
        <w:t xml:space="preserve">QLD (09-14) was the only state that systematically defined and reported these metrics. They based their definitions of these terms on data from the Australian Bureau of Statistics, Causes of Death in Australia (2012). A death was defined as </w:t>
      </w:r>
      <w:r>
        <w:rPr>
          <w:i/>
        </w:rPr>
        <w:t xml:space="preserve">potentially avoidable </w:t>
      </w:r>
      <w:r>
        <w:t xml:space="preserve">”if, theoretically, it could have been avoided given an understanding of causation, the adoption of available disease prevention initiatives, and with available health care”. Potentially avoidable deaths include both </w:t>
      </w:r>
      <w:r>
        <w:rPr>
          <w:i/>
        </w:rPr>
        <w:t xml:space="preserve">potentially preventable deaths </w:t>
      </w:r>
      <w:r>
        <w:t xml:space="preserve">and </w:t>
      </w:r>
      <w:r>
        <w:rPr>
          <w:i/>
        </w:rPr>
        <w:t>potentially treatable deaths</w:t>
      </w:r>
      <w:r>
        <w:t xml:space="preserve">. </w:t>
      </w:r>
      <w:r>
        <w:rPr>
          <w:i/>
        </w:rPr>
        <w:t xml:space="preserve">Potentially preventable deaths </w:t>
      </w:r>
      <w:r>
        <w:t>are defined as, “…those that are amenable to screening and primary prevention, such as immunisation, and reflect the effectiveness of the current preventive health activities of the health sector”.</w:t>
      </w:r>
    </w:p>
    <w:p w:rsidR="00EA1F74" w:rsidRDefault="00EA1F74" w:rsidP="00625DA1">
      <w:pPr>
        <w:pStyle w:val="BodyText"/>
      </w:pPr>
    </w:p>
    <w:p w:rsidR="00EA1F74" w:rsidRDefault="00FC1CE8" w:rsidP="00625DA1">
      <w:pPr>
        <w:pStyle w:val="BodyText"/>
      </w:pPr>
      <w:r>
        <w:t>Within the QLD sample:</w:t>
      </w:r>
    </w:p>
    <w:p w:rsidR="00EA1F74" w:rsidRDefault="00FC1CE8">
      <w:pPr>
        <w:pStyle w:val="ListParagraph"/>
        <w:numPr>
          <w:ilvl w:val="0"/>
          <w:numId w:val="120"/>
        </w:numPr>
        <w:tabs>
          <w:tab w:val="left" w:pos="1515"/>
          <w:tab w:val="left" w:pos="1516"/>
        </w:tabs>
        <w:spacing w:before="197" w:line="355" w:lineRule="auto"/>
        <w:ind w:right="1336"/>
        <w:rPr>
          <w:sz w:val="24"/>
        </w:rPr>
      </w:pPr>
      <w:r>
        <w:rPr>
          <w:sz w:val="24"/>
        </w:rPr>
        <w:t>Over half of all deaths reviewed (53%) were considered to be potentially treatable or</w:t>
      </w:r>
      <w:r>
        <w:rPr>
          <w:spacing w:val="-1"/>
          <w:sz w:val="24"/>
        </w:rPr>
        <w:t xml:space="preserve"> </w:t>
      </w:r>
      <w:r>
        <w:rPr>
          <w:sz w:val="24"/>
        </w:rPr>
        <w:t>avoidable.</w:t>
      </w:r>
    </w:p>
    <w:p w:rsidR="00EA1F74" w:rsidRDefault="00FC1CE8">
      <w:pPr>
        <w:pStyle w:val="ListParagraph"/>
        <w:numPr>
          <w:ilvl w:val="0"/>
          <w:numId w:val="120"/>
        </w:numPr>
        <w:tabs>
          <w:tab w:val="left" w:pos="1515"/>
          <w:tab w:val="left" w:pos="1516"/>
        </w:tabs>
        <w:spacing w:before="1" w:line="360" w:lineRule="auto"/>
        <w:ind w:right="1295"/>
        <w:rPr>
          <w:sz w:val="24"/>
        </w:rPr>
      </w:pPr>
      <w:r>
        <w:rPr>
          <w:sz w:val="24"/>
        </w:rPr>
        <w:t xml:space="preserve">Potentially avoidable deaths were somewhat more common amongst those individuals who died in hospital. Sixty-two percent of those cases that the Panel considered to have been potentially avoidable died in hospital. The deaths of </w:t>
      </w:r>
      <w:r>
        <w:rPr>
          <w:spacing w:val="-5"/>
          <w:sz w:val="24"/>
        </w:rPr>
        <w:t xml:space="preserve">21% </w:t>
      </w:r>
      <w:r>
        <w:rPr>
          <w:sz w:val="24"/>
        </w:rPr>
        <w:t>of individuals who died in their usual place of accommodation were considered to be potentially</w:t>
      </w:r>
      <w:r>
        <w:rPr>
          <w:spacing w:val="-1"/>
          <w:sz w:val="24"/>
        </w:rPr>
        <w:t xml:space="preserve"> </w:t>
      </w:r>
      <w:r>
        <w:rPr>
          <w:sz w:val="24"/>
        </w:rPr>
        <w:t>avoidable.</w:t>
      </w:r>
    </w:p>
    <w:p w:rsidR="00EA1F74" w:rsidRDefault="00FC1CE8">
      <w:pPr>
        <w:pStyle w:val="ListParagraph"/>
        <w:numPr>
          <w:ilvl w:val="0"/>
          <w:numId w:val="120"/>
        </w:numPr>
        <w:tabs>
          <w:tab w:val="left" w:pos="1515"/>
          <w:tab w:val="left" w:pos="1516"/>
        </w:tabs>
        <w:spacing w:line="350" w:lineRule="auto"/>
        <w:ind w:right="1322"/>
        <w:rPr>
          <w:sz w:val="24"/>
        </w:rPr>
      </w:pPr>
      <w:r>
        <w:rPr>
          <w:sz w:val="24"/>
        </w:rPr>
        <w:t xml:space="preserve">Of those deaths deemed by the Panel to be unexpected, approximately two </w:t>
      </w:r>
      <w:r>
        <w:rPr>
          <w:spacing w:val="-3"/>
          <w:sz w:val="24"/>
        </w:rPr>
        <w:t xml:space="preserve">thirds </w:t>
      </w:r>
      <w:r>
        <w:rPr>
          <w:sz w:val="24"/>
        </w:rPr>
        <w:t>(67%) were also considered to be potentially</w:t>
      </w:r>
      <w:r>
        <w:rPr>
          <w:spacing w:val="-1"/>
          <w:sz w:val="24"/>
        </w:rPr>
        <w:t xml:space="preserve"> </w:t>
      </w:r>
      <w:r>
        <w:rPr>
          <w:sz w:val="24"/>
        </w:rPr>
        <w:t>avoidable</w:t>
      </w:r>
    </w:p>
    <w:p w:rsidR="00EA1F74" w:rsidRDefault="00FC1CE8">
      <w:pPr>
        <w:pStyle w:val="ListParagraph"/>
        <w:numPr>
          <w:ilvl w:val="0"/>
          <w:numId w:val="120"/>
        </w:numPr>
        <w:tabs>
          <w:tab w:val="left" w:pos="1515"/>
          <w:tab w:val="left" w:pos="1516"/>
        </w:tabs>
        <w:spacing w:before="4" w:line="357" w:lineRule="auto"/>
        <w:ind w:right="1416"/>
        <w:rPr>
          <w:sz w:val="24"/>
        </w:rPr>
      </w:pPr>
      <w:r>
        <w:rPr>
          <w:sz w:val="24"/>
        </w:rPr>
        <w:t xml:space="preserve">Diagnoses of epilepsy featured strongly in the case histories of those deaths </w:t>
      </w:r>
      <w:r>
        <w:rPr>
          <w:spacing w:val="-3"/>
          <w:sz w:val="24"/>
        </w:rPr>
        <w:t xml:space="preserve">that </w:t>
      </w:r>
      <w:r>
        <w:rPr>
          <w:sz w:val="24"/>
        </w:rPr>
        <w:t xml:space="preserve">were deemed to be both unexpected and potentially avoidable (23%), with epilepsy/SUDEP identified as the underlying cause of death for 4 individuals </w:t>
      </w:r>
      <w:r>
        <w:rPr>
          <w:spacing w:val="-5"/>
          <w:sz w:val="24"/>
        </w:rPr>
        <w:t xml:space="preserve">(5% </w:t>
      </w:r>
      <w:r>
        <w:rPr>
          <w:sz w:val="24"/>
        </w:rPr>
        <w:t>of the</w:t>
      </w:r>
      <w:r>
        <w:rPr>
          <w:spacing w:val="-1"/>
          <w:sz w:val="24"/>
        </w:rPr>
        <w:t xml:space="preserve"> </w:t>
      </w:r>
      <w:r>
        <w:rPr>
          <w:sz w:val="24"/>
        </w:rPr>
        <w:t>sample).</w:t>
      </w:r>
    </w:p>
    <w:p w:rsidR="00EA1F74" w:rsidRDefault="00FC1CE8">
      <w:pPr>
        <w:pStyle w:val="ListParagraph"/>
        <w:numPr>
          <w:ilvl w:val="0"/>
          <w:numId w:val="120"/>
        </w:numPr>
        <w:tabs>
          <w:tab w:val="left" w:pos="1515"/>
          <w:tab w:val="left" w:pos="1516"/>
        </w:tabs>
        <w:spacing w:before="76" w:line="357" w:lineRule="auto"/>
        <w:ind w:right="1897"/>
        <w:rPr>
          <w:sz w:val="24"/>
        </w:rPr>
      </w:pPr>
      <w:r>
        <w:rPr>
          <w:sz w:val="24"/>
        </w:rPr>
        <w:t xml:space="preserve">Aspiration pneumonia was identified as the underlying cause of death for 8 individuals (11% of the sample), with a further 3 individuals having died </w:t>
      </w:r>
      <w:r>
        <w:rPr>
          <w:spacing w:val="-4"/>
          <w:sz w:val="24"/>
        </w:rPr>
        <w:t xml:space="preserve">from </w:t>
      </w:r>
      <w:r>
        <w:rPr>
          <w:sz w:val="24"/>
        </w:rPr>
        <w:t>bronchopneumonia/pneumonia.</w:t>
      </w:r>
    </w:p>
    <w:p w:rsidR="00EA1F74" w:rsidRDefault="00FC1CE8">
      <w:pPr>
        <w:pStyle w:val="ListParagraph"/>
        <w:numPr>
          <w:ilvl w:val="0"/>
          <w:numId w:val="120"/>
        </w:numPr>
        <w:tabs>
          <w:tab w:val="left" w:pos="1515"/>
          <w:tab w:val="left" w:pos="1516"/>
        </w:tabs>
        <w:spacing w:line="360" w:lineRule="auto"/>
        <w:ind w:right="1270"/>
        <w:rPr>
          <w:sz w:val="24"/>
        </w:rPr>
      </w:pPr>
      <w:r>
        <w:rPr>
          <w:sz w:val="24"/>
        </w:rPr>
        <w:t>Late (or no) diagnosis of relevant conditions was also noted in many of these deaths: Of the 24 people who died due to influenza or pneumonia in the sample, for example, 25% were not diagnosed with the illness until after their death. A further 17% died within 24 hours of their diagnosis and a further 17% within one to three days of their</w:t>
      </w:r>
      <w:r>
        <w:rPr>
          <w:spacing w:val="-2"/>
          <w:sz w:val="24"/>
        </w:rPr>
        <w:t xml:space="preserve"> </w:t>
      </w:r>
      <w:r>
        <w:rPr>
          <w:sz w:val="24"/>
        </w:rPr>
        <w:t>diagnosis.</w:t>
      </w:r>
    </w:p>
    <w:p w:rsidR="00EA1F74" w:rsidRDefault="00EA1F74" w:rsidP="00625DA1">
      <w:pPr>
        <w:pStyle w:val="BodyText"/>
      </w:pPr>
    </w:p>
    <w:p w:rsidR="00EA1F74" w:rsidRDefault="00FC1CE8" w:rsidP="00EE7B87">
      <w:pPr>
        <w:pStyle w:val="Heading3"/>
      </w:pPr>
      <w:bookmarkStart w:id="34" w:name="_TOC_250031"/>
      <w:bookmarkEnd w:id="34"/>
      <w:r>
        <w:t>Underlying causes of death</w:t>
      </w:r>
    </w:p>
    <w:p w:rsidR="00EA1F74" w:rsidRDefault="00EA1F74" w:rsidP="00625DA1">
      <w:pPr>
        <w:pStyle w:val="BodyText"/>
      </w:pPr>
    </w:p>
    <w:p w:rsidR="00EA1F74" w:rsidRDefault="00FC1CE8">
      <w:pPr>
        <w:pStyle w:val="Heading4"/>
      </w:pPr>
      <w:bookmarkStart w:id="35" w:name="_TOC_250030"/>
      <w:bookmarkEnd w:id="35"/>
      <w:r>
        <w:rPr>
          <w:color w:val="4472C4"/>
        </w:rPr>
        <w:t>Underlying causes of death at the ICD-10 Chapter level</w:t>
      </w:r>
    </w:p>
    <w:p w:rsidR="00EA1F74" w:rsidRDefault="00FC1CE8">
      <w:pPr>
        <w:spacing w:before="41" w:line="360" w:lineRule="auto"/>
        <w:ind w:left="733" w:right="1316"/>
        <w:rPr>
          <w:sz w:val="24"/>
        </w:rPr>
      </w:pPr>
      <w:r>
        <w:rPr>
          <w:b/>
          <w:sz w:val="24"/>
        </w:rPr>
        <w:t>The four most common causes of death at the ICD Chapter level across samples were diseases of the respiratory, circulatory and nervous systems and neoplasms</w:t>
      </w:r>
      <w:r>
        <w:rPr>
          <w:sz w:val="24"/>
        </w:rPr>
        <w:t>. Of the 901 deaths included across in-scope reports: respiratory diseases were the underlying cause for the most deaths - 173 (19%), diseases of the nervous system accounted for 126 deaths (14%), and circulatory disease was listed as the underlying cause of death of 121 people (13.42%). One hundred and eighteen people died due to neoplasms (13.09%).</w:t>
      </w:r>
    </w:p>
    <w:p w:rsidR="00EA1F74" w:rsidRDefault="00FC1CE8" w:rsidP="00625DA1">
      <w:pPr>
        <w:pStyle w:val="BodyText"/>
      </w:pPr>
      <w:r>
        <w:t>Both in the VIC 17-18 and QLD 09-14 reports and in the disability services sample of the NSW 12-13 report, respiratory disease was the most frequent underlying cause of death, accounting for between 24% and 34% of all deaths in these samples. Respiratory disease accounted for a smaller proportion of deaths in the assisted boarding house sample in NSW - 14.3%, 12.5% and 10% respectively across the 2012-13, 2014-15 and 2016-17 reporting periods. Compared to the disability services sample, a greater proportion of assisted boarding house residents died from neoplasms and circulatory system diseases. Table 20 provides a more detailed breakdown of causes of death across samples.</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FC1CE8" w:rsidP="00625DA1">
      <w:pPr>
        <w:pStyle w:val="BodyText"/>
      </w:pPr>
      <w:r>
        <w:t>Table 20: Underlying causes of death by ICD Chapter</w:t>
      </w:r>
    </w:p>
    <w:tbl>
      <w:tblPr>
        <w:tblW w:w="0" w:type="auto"/>
        <w:tblInd w:w="57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521"/>
        </w:trPr>
        <w:tc>
          <w:tcPr>
            <w:tcW w:w="960" w:type="dxa"/>
            <w:tcBorders>
              <w:bottom w:val="single" w:sz="18" w:space="0" w:color="A5A5A5"/>
            </w:tcBorders>
          </w:tcPr>
          <w:p w:rsidR="00EA1F74" w:rsidRDefault="00FC1CE8">
            <w:pPr>
              <w:pStyle w:val="TableParagraph"/>
              <w:spacing w:before="8" w:line="252" w:lineRule="auto"/>
              <w:ind w:left="110" w:right="211"/>
              <w:rPr>
                <w:sz w:val="19"/>
              </w:rPr>
            </w:pPr>
            <w:r>
              <w:rPr>
                <w:w w:val="105"/>
                <w:sz w:val="19"/>
              </w:rPr>
              <w:t>Report ID</w:t>
            </w:r>
          </w:p>
        </w:tc>
        <w:tc>
          <w:tcPr>
            <w:tcW w:w="9547" w:type="dxa"/>
            <w:tcBorders>
              <w:bottom w:val="single" w:sz="18" w:space="0" w:color="A5A5A5"/>
            </w:tcBorders>
          </w:tcPr>
          <w:p w:rsidR="00EA1F74" w:rsidRDefault="00FC1CE8">
            <w:pPr>
              <w:pStyle w:val="TableParagraph"/>
              <w:spacing w:before="8"/>
              <w:ind w:left="110"/>
              <w:rPr>
                <w:sz w:val="19"/>
              </w:rPr>
            </w:pPr>
            <w:r>
              <w:rPr>
                <w:w w:val="105"/>
                <w:sz w:val="19"/>
              </w:rPr>
              <w:t>Underlying cause of death by ICD-10 Chapter</w:t>
            </w:r>
          </w:p>
        </w:tc>
      </w:tr>
      <w:tr w:rsidR="00EA1F74" w:rsidTr="00A85C4E">
        <w:trPr>
          <w:trHeight w:val="2960"/>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VIC 17-18</w:t>
            </w:r>
          </w:p>
        </w:tc>
        <w:tc>
          <w:tcPr>
            <w:tcW w:w="9547" w:type="dxa"/>
            <w:tcBorders>
              <w:top w:val="single" w:sz="18" w:space="0" w:color="A5A5A5"/>
            </w:tcBorders>
            <w:shd w:val="clear" w:color="auto" w:fill="F2F2F2" w:themeFill="background1" w:themeFillShade="F2"/>
          </w:tcPr>
          <w:p w:rsidR="00EA1F74" w:rsidRDefault="00FC1CE8">
            <w:pPr>
              <w:pStyle w:val="TableParagraph"/>
              <w:spacing w:before="3" w:line="252" w:lineRule="auto"/>
              <w:ind w:left="110" w:right="71"/>
              <w:rPr>
                <w:sz w:val="19"/>
              </w:rPr>
            </w:pPr>
            <w:r>
              <w:rPr>
                <w:w w:val="105"/>
                <w:sz w:val="19"/>
              </w:rPr>
              <w:t>Only 56% (n=48) of people had cause of death identified through a coronial finding, or information received from the medical inspection or examiner’s report, or autopsy report for deaths in scope of review by the State Coroner. Of these, cause of death was as follows:</w:t>
            </w:r>
          </w:p>
          <w:p w:rsidR="00EA1F74" w:rsidRDefault="00FC1CE8">
            <w:pPr>
              <w:pStyle w:val="TableParagraph"/>
              <w:numPr>
                <w:ilvl w:val="0"/>
                <w:numId w:val="36"/>
              </w:numPr>
              <w:tabs>
                <w:tab w:val="left" w:pos="469"/>
                <w:tab w:val="left" w:pos="470"/>
              </w:tabs>
              <w:spacing w:before="67" w:line="244" w:lineRule="auto"/>
              <w:ind w:right="395"/>
              <w:rPr>
                <w:sz w:val="19"/>
              </w:rPr>
            </w:pPr>
            <w:r>
              <w:rPr>
                <w:w w:val="105"/>
                <w:sz w:val="19"/>
              </w:rPr>
              <w:t>respiratory system diseases (33%): mainly aspiration and pneumonia. This was the most common category of death for males and</w:t>
            </w:r>
            <w:r>
              <w:rPr>
                <w:spacing w:val="4"/>
                <w:w w:val="105"/>
                <w:sz w:val="19"/>
              </w:rPr>
              <w:t xml:space="preserve"> </w:t>
            </w:r>
            <w:r>
              <w:rPr>
                <w:w w:val="105"/>
                <w:sz w:val="19"/>
              </w:rPr>
              <w:t>females</w:t>
            </w:r>
          </w:p>
          <w:p w:rsidR="00EA1F74" w:rsidRDefault="00FC1CE8">
            <w:pPr>
              <w:pStyle w:val="TableParagraph"/>
              <w:numPr>
                <w:ilvl w:val="0"/>
                <w:numId w:val="36"/>
              </w:numPr>
              <w:tabs>
                <w:tab w:val="left" w:pos="469"/>
                <w:tab w:val="left" w:pos="470"/>
              </w:tabs>
              <w:spacing w:before="10" w:line="249" w:lineRule="auto"/>
              <w:ind w:right="109"/>
              <w:rPr>
                <w:sz w:val="19"/>
              </w:rPr>
            </w:pPr>
            <w:r>
              <w:rPr>
                <w:w w:val="105"/>
                <w:sz w:val="19"/>
              </w:rPr>
              <w:t>circulatory system diseases (27%) – mainly ischaemic heart disease. Males overrepresented females for circulatory system</w:t>
            </w:r>
            <w:r>
              <w:rPr>
                <w:spacing w:val="3"/>
                <w:w w:val="105"/>
                <w:sz w:val="19"/>
              </w:rPr>
              <w:t xml:space="preserve"> </w:t>
            </w:r>
            <w:r>
              <w:rPr>
                <w:w w:val="105"/>
                <w:sz w:val="19"/>
              </w:rPr>
              <w:t>deaths</w:t>
            </w:r>
          </w:p>
          <w:p w:rsidR="00EA1F74" w:rsidRDefault="00FC1CE8">
            <w:pPr>
              <w:pStyle w:val="TableParagraph"/>
              <w:numPr>
                <w:ilvl w:val="0"/>
                <w:numId w:val="36"/>
              </w:numPr>
              <w:tabs>
                <w:tab w:val="left" w:pos="469"/>
                <w:tab w:val="left" w:pos="470"/>
              </w:tabs>
              <w:spacing w:before="6"/>
              <w:rPr>
                <w:sz w:val="19"/>
              </w:rPr>
            </w:pPr>
            <w:r>
              <w:rPr>
                <w:w w:val="105"/>
                <w:sz w:val="19"/>
              </w:rPr>
              <w:t>neoplasms (8%) – mainly abdominal and bowel</w:t>
            </w:r>
            <w:r>
              <w:rPr>
                <w:spacing w:val="4"/>
                <w:w w:val="105"/>
                <w:sz w:val="19"/>
              </w:rPr>
              <w:t xml:space="preserve"> </w:t>
            </w:r>
            <w:r>
              <w:rPr>
                <w:w w:val="105"/>
                <w:sz w:val="19"/>
              </w:rPr>
              <w:t>cancers</w:t>
            </w:r>
          </w:p>
          <w:p w:rsidR="00EA1F74" w:rsidRDefault="00FC1CE8">
            <w:pPr>
              <w:pStyle w:val="TableParagraph"/>
              <w:numPr>
                <w:ilvl w:val="0"/>
                <w:numId w:val="36"/>
              </w:numPr>
              <w:tabs>
                <w:tab w:val="left" w:pos="469"/>
                <w:tab w:val="left" w:pos="470"/>
              </w:tabs>
              <w:spacing w:before="12"/>
              <w:rPr>
                <w:sz w:val="19"/>
              </w:rPr>
            </w:pPr>
            <w:r>
              <w:rPr>
                <w:w w:val="105"/>
                <w:sz w:val="19"/>
              </w:rPr>
              <w:t>external causes (6%) – all related to choking on</w:t>
            </w:r>
            <w:r>
              <w:rPr>
                <w:spacing w:val="7"/>
                <w:w w:val="105"/>
                <w:sz w:val="19"/>
              </w:rPr>
              <w:t xml:space="preserve"> </w:t>
            </w:r>
            <w:r>
              <w:rPr>
                <w:w w:val="105"/>
                <w:sz w:val="19"/>
              </w:rPr>
              <w:t>food</w:t>
            </w:r>
          </w:p>
          <w:p w:rsidR="00EA1F74" w:rsidRDefault="00FC1CE8">
            <w:pPr>
              <w:pStyle w:val="TableParagraph"/>
              <w:numPr>
                <w:ilvl w:val="0"/>
                <w:numId w:val="36"/>
              </w:numPr>
              <w:tabs>
                <w:tab w:val="left" w:pos="469"/>
                <w:tab w:val="left" w:pos="470"/>
              </w:tabs>
              <w:spacing w:before="7"/>
              <w:rPr>
                <w:sz w:val="19"/>
              </w:rPr>
            </w:pPr>
            <w:r>
              <w:rPr>
                <w:w w:val="105"/>
                <w:sz w:val="19"/>
              </w:rPr>
              <w:t>nervous system diseases (6%) – primarily sudden unexplained death in</w:t>
            </w:r>
            <w:r>
              <w:rPr>
                <w:spacing w:val="5"/>
                <w:w w:val="105"/>
                <w:sz w:val="19"/>
              </w:rPr>
              <w:t xml:space="preserve"> </w:t>
            </w:r>
            <w:r>
              <w:rPr>
                <w:w w:val="105"/>
                <w:sz w:val="19"/>
              </w:rPr>
              <w:t>epilepsy</w:t>
            </w:r>
          </w:p>
          <w:p w:rsidR="00EA1F74" w:rsidRDefault="00FC1CE8">
            <w:pPr>
              <w:pStyle w:val="TableParagraph"/>
              <w:numPr>
                <w:ilvl w:val="0"/>
                <w:numId w:val="36"/>
              </w:numPr>
              <w:tabs>
                <w:tab w:val="left" w:pos="469"/>
                <w:tab w:val="left" w:pos="470"/>
              </w:tabs>
              <w:spacing w:before="12"/>
              <w:rPr>
                <w:sz w:val="19"/>
              </w:rPr>
            </w:pPr>
            <w:r>
              <w:rPr>
                <w:w w:val="105"/>
                <w:sz w:val="19"/>
              </w:rPr>
              <w:t>unascertained</w:t>
            </w:r>
            <w:r>
              <w:rPr>
                <w:spacing w:val="1"/>
                <w:w w:val="105"/>
                <w:sz w:val="19"/>
              </w:rPr>
              <w:t xml:space="preserve"> </w:t>
            </w:r>
            <w:r>
              <w:rPr>
                <w:w w:val="105"/>
                <w:sz w:val="19"/>
              </w:rPr>
              <w:t>(6%).</w:t>
            </w:r>
          </w:p>
        </w:tc>
      </w:tr>
      <w:tr w:rsidR="00EA1F74">
        <w:trPr>
          <w:trHeight w:val="580"/>
        </w:trPr>
        <w:tc>
          <w:tcPr>
            <w:tcW w:w="960" w:type="dxa"/>
          </w:tcPr>
          <w:p w:rsidR="00EA1F74" w:rsidRDefault="00FC1CE8">
            <w:pPr>
              <w:pStyle w:val="TableParagraph"/>
              <w:spacing w:before="3"/>
              <w:ind w:left="110"/>
              <w:rPr>
                <w:b/>
                <w:sz w:val="19"/>
              </w:rPr>
            </w:pPr>
            <w:r>
              <w:rPr>
                <w:b/>
                <w:w w:val="105"/>
                <w:sz w:val="19"/>
              </w:rPr>
              <w:t>VIC</w:t>
            </w:r>
          </w:p>
          <w:p w:rsidR="00EA1F74" w:rsidRDefault="00FC1CE8">
            <w:pPr>
              <w:pStyle w:val="TableParagraph"/>
              <w:spacing w:before="75"/>
              <w:ind w:left="110"/>
              <w:rPr>
                <w:b/>
                <w:sz w:val="19"/>
              </w:rPr>
            </w:pPr>
            <w:r>
              <w:rPr>
                <w:b/>
                <w:w w:val="105"/>
                <w:sz w:val="19"/>
              </w:rPr>
              <w:t>07-16</w:t>
            </w:r>
          </w:p>
        </w:tc>
        <w:tc>
          <w:tcPr>
            <w:tcW w:w="9547" w:type="dxa"/>
          </w:tcPr>
          <w:p w:rsidR="00EA1F74" w:rsidRDefault="00FC1CE8">
            <w:pPr>
              <w:pStyle w:val="TableParagraph"/>
              <w:spacing w:before="3"/>
              <w:ind w:left="110"/>
              <w:rPr>
                <w:sz w:val="19"/>
              </w:rPr>
            </w:pPr>
            <w:r>
              <w:rPr>
                <w:w w:val="103"/>
                <w:sz w:val="19"/>
              </w:rPr>
              <w:t>-</w:t>
            </w:r>
          </w:p>
        </w:tc>
      </w:tr>
      <w:tr w:rsidR="00EA1F74" w:rsidTr="00A85C4E">
        <w:trPr>
          <w:trHeight w:val="1996"/>
        </w:trPr>
        <w:tc>
          <w:tcPr>
            <w:tcW w:w="960" w:type="dxa"/>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QLD 09-14</w:t>
            </w:r>
          </w:p>
        </w:tc>
        <w:tc>
          <w:tcPr>
            <w:tcW w:w="9547" w:type="dxa"/>
            <w:shd w:val="clear" w:color="auto" w:fill="F2F2F2" w:themeFill="background1" w:themeFillShade="F2"/>
          </w:tcPr>
          <w:p w:rsidR="00EA1F74" w:rsidRDefault="00FC1CE8">
            <w:pPr>
              <w:pStyle w:val="TableParagraph"/>
              <w:numPr>
                <w:ilvl w:val="0"/>
                <w:numId w:val="35"/>
              </w:numPr>
              <w:tabs>
                <w:tab w:val="left" w:pos="469"/>
                <w:tab w:val="left" w:pos="470"/>
              </w:tabs>
              <w:spacing w:before="5"/>
              <w:rPr>
                <w:sz w:val="19"/>
              </w:rPr>
            </w:pPr>
            <w:r>
              <w:rPr>
                <w:w w:val="105"/>
                <w:sz w:val="19"/>
              </w:rPr>
              <w:t>Diseases of the respiratory system</w:t>
            </w:r>
            <w:r>
              <w:rPr>
                <w:spacing w:val="-12"/>
                <w:w w:val="105"/>
                <w:sz w:val="19"/>
              </w:rPr>
              <w:t xml:space="preserve"> </w:t>
            </w:r>
            <w:r>
              <w:rPr>
                <w:w w:val="105"/>
                <w:sz w:val="19"/>
              </w:rPr>
              <w:t>(34%)</w:t>
            </w:r>
          </w:p>
          <w:p w:rsidR="00EA1F74" w:rsidRDefault="00FC1CE8">
            <w:pPr>
              <w:pStyle w:val="TableParagraph"/>
              <w:numPr>
                <w:ilvl w:val="0"/>
                <w:numId w:val="35"/>
              </w:numPr>
              <w:tabs>
                <w:tab w:val="left" w:pos="469"/>
                <w:tab w:val="left" w:pos="470"/>
              </w:tabs>
              <w:spacing w:before="12"/>
              <w:rPr>
                <w:sz w:val="19"/>
              </w:rPr>
            </w:pPr>
            <w:r>
              <w:rPr>
                <w:w w:val="105"/>
                <w:sz w:val="19"/>
              </w:rPr>
              <w:t>Diseases of the circulatory system</w:t>
            </w:r>
            <w:r>
              <w:rPr>
                <w:spacing w:val="-13"/>
                <w:w w:val="105"/>
                <w:sz w:val="19"/>
              </w:rPr>
              <w:t xml:space="preserve"> </w:t>
            </w:r>
            <w:r>
              <w:rPr>
                <w:w w:val="105"/>
                <w:sz w:val="19"/>
              </w:rPr>
              <w:t>(22%)</w:t>
            </w:r>
          </w:p>
          <w:p w:rsidR="00EA1F74" w:rsidRDefault="00FC1CE8">
            <w:pPr>
              <w:pStyle w:val="TableParagraph"/>
              <w:numPr>
                <w:ilvl w:val="0"/>
                <w:numId w:val="35"/>
              </w:numPr>
              <w:tabs>
                <w:tab w:val="left" w:pos="469"/>
                <w:tab w:val="left" w:pos="470"/>
              </w:tabs>
              <w:spacing w:before="12"/>
              <w:rPr>
                <w:sz w:val="19"/>
              </w:rPr>
            </w:pPr>
            <w:r>
              <w:rPr>
                <w:w w:val="105"/>
                <w:sz w:val="19"/>
              </w:rPr>
              <w:t>Diseases of the nervous system</w:t>
            </w:r>
            <w:r>
              <w:rPr>
                <w:spacing w:val="5"/>
                <w:w w:val="105"/>
                <w:sz w:val="19"/>
              </w:rPr>
              <w:t xml:space="preserve"> </w:t>
            </w:r>
            <w:r>
              <w:rPr>
                <w:w w:val="105"/>
                <w:sz w:val="19"/>
              </w:rPr>
              <w:t>(11%)</w:t>
            </w:r>
          </w:p>
          <w:p w:rsidR="00EA1F74" w:rsidRDefault="00FC1CE8">
            <w:pPr>
              <w:pStyle w:val="TableParagraph"/>
              <w:numPr>
                <w:ilvl w:val="0"/>
                <w:numId w:val="35"/>
              </w:numPr>
              <w:tabs>
                <w:tab w:val="left" w:pos="469"/>
                <w:tab w:val="left" w:pos="470"/>
              </w:tabs>
              <w:spacing w:before="7"/>
              <w:rPr>
                <w:sz w:val="19"/>
              </w:rPr>
            </w:pPr>
            <w:r>
              <w:rPr>
                <w:w w:val="105"/>
                <w:sz w:val="19"/>
              </w:rPr>
              <w:t>Neoplasms</w:t>
            </w:r>
            <w:r>
              <w:rPr>
                <w:spacing w:val="1"/>
                <w:w w:val="105"/>
                <w:sz w:val="19"/>
              </w:rPr>
              <w:t xml:space="preserve"> </w:t>
            </w:r>
            <w:r>
              <w:rPr>
                <w:w w:val="105"/>
                <w:sz w:val="19"/>
              </w:rPr>
              <w:t>(10%)</w:t>
            </w:r>
          </w:p>
          <w:p w:rsidR="00EA1F74" w:rsidRDefault="00FC1CE8">
            <w:pPr>
              <w:pStyle w:val="TableParagraph"/>
              <w:numPr>
                <w:ilvl w:val="0"/>
                <w:numId w:val="35"/>
              </w:numPr>
              <w:tabs>
                <w:tab w:val="left" w:pos="469"/>
                <w:tab w:val="left" w:pos="470"/>
              </w:tabs>
              <w:spacing w:before="12"/>
              <w:rPr>
                <w:sz w:val="19"/>
              </w:rPr>
            </w:pPr>
            <w:r>
              <w:rPr>
                <w:w w:val="105"/>
                <w:sz w:val="19"/>
              </w:rPr>
              <w:t>External causes</w:t>
            </w:r>
            <w:r>
              <w:rPr>
                <w:spacing w:val="1"/>
                <w:w w:val="105"/>
                <w:sz w:val="19"/>
              </w:rPr>
              <w:t xml:space="preserve"> </w:t>
            </w:r>
            <w:r>
              <w:rPr>
                <w:w w:val="105"/>
                <w:sz w:val="19"/>
              </w:rPr>
              <w:t>(8%)</w:t>
            </w:r>
          </w:p>
          <w:p w:rsidR="00EA1F74" w:rsidRDefault="00FC1CE8">
            <w:pPr>
              <w:pStyle w:val="TableParagraph"/>
              <w:numPr>
                <w:ilvl w:val="0"/>
                <w:numId w:val="35"/>
              </w:numPr>
              <w:tabs>
                <w:tab w:val="left" w:pos="469"/>
                <w:tab w:val="left" w:pos="470"/>
              </w:tabs>
              <w:spacing w:before="12"/>
              <w:rPr>
                <w:sz w:val="19"/>
              </w:rPr>
            </w:pPr>
            <w:r>
              <w:rPr>
                <w:w w:val="105"/>
                <w:sz w:val="19"/>
              </w:rPr>
              <w:t>Diseases of the blood, blood-forming organs and immune disorder</w:t>
            </w:r>
            <w:r>
              <w:rPr>
                <w:spacing w:val="4"/>
                <w:w w:val="105"/>
                <w:sz w:val="19"/>
              </w:rPr>
              <w:t xml:space="preserve"> </w:t>
            </w:r>
            <w:r>
              <w:rPr>
                <w:w w:val="105"/>
                <w:sz w:val="19"/>
              </w:rPr>
              <w:t>(3%)</w:t>
            </w:r>
          </w:p>
          <w:p w:rsidR="00EA1F74" w:rsidRDefault="00FC1CE8">
            <w:pPr>
              <w:pStyle w:val="TableParagraph"/>
              <w:numPr>
                <w:ilvl w:val="0"/>
                <w:numId w:val="35"/>
              </w:numPr>
              <w:tabs>
                <w:tab w:val="left" w:pos="469"/>
                <w:tab w:val="left" w:pos="470"/>
              </w:tabs>
              <w:spacing w:before="12"/>
              <w:rPr>
                <w:sz w:val="19"/>
              </w:rPr>
            </w:pPr>
            <w:r>
              <w:rPr>
                <w:w w:val="105"/>
                <w:sz w:val="19"/>
              </w:rPr>
              <w:t>Infectious and parasitic diseases</w:t>
            </w:r>
            <w:r>
              <w:rPr>
                <w:spacing w:val="4"/>
                <w:w w:val="105"/>
                <w:sz w:val="19"/>
              </w:rPr>
              <w:t xml:space="preserve"> </w:t>
            </w:r>
            <w:r>
              <w:rPr>
                <w:w w:val="105"/>
                <w:sz w:val="19"/>
              </w:rPr>
              <w:t>(5%)</w:t>
            </w:r>
          </w:p>
        </w:tc>
      </w:tr>
      <w:tr w:rsidR="00EA1F74">
        <w:trPr>
          <w:trHeight w:val="5783"/>
        </w:trPr>
        <w:tc>
          <w:tcPr>
            <w:tcW w:w="960" w:type="dxa"/>
          </w:tcPr>
          <w:p w:rsidR="00EA1F74" w:rsidRDefault="00FC1CE8">
            <w:pPr>
              <w:pStyle w:val="TableParagraph"/>
              <w:spacing w:before="3" w:line="316" w:lineRule="auto"/>
              <w:ind w:left="110" w:right="316"/>
              <w:rPr>
                <w:b/>
                <w:sz w:val="19"/>
              </w:rPr>
            </w:pPr>
            <w:r>
              <w:rPr>
                <w:b/>
                <w:w w:val="105"/>
                <w:sz w:val="19"/>
              </w:rPr>
              <w:t>NSW 12-13</w:t>
            </w:r>
          </w:p>
        </w:tc>
        <w:tc>
          <w:tcPr>
            <w:tcW w:w="9547" w:type="dxa"/>
          </w:tcPr>
          <w:p w:rsidR="00EA1F74" w:rsidRDefault="00FC1CE8">
            <w:pPr>
              <w:pStyle w:val="TableParagraph"/>
              <w:spacing w:before="3"/>
              <w:ind w:left="110"/>
              <w:rPr>
                <w:b/>
                <w:sz w:val="19"/>
              </w:rPr>
            </w:pPr>
            <w:r>
              <w:rPr>
                <w:b/>
                <w:w w:val="105"/>
                <w:sz w:val="19"/>
              </w:rPr>
              <w:t xml:space="preserve">The leading underlying causes of death of people in </w:t>
            </w:r>
            <w:r>
              <w:rPr>
                <w:b/>
                <w:i/>
                <w:w w:val="105"/>
                <w:sz w:val="19"/>
              </w:rPr>
              <w:t xml:space="preserve">disability services </w:t>
            </w:r>
            <w:r>
              <w:rPr>
                <w:b/>
                <w:w w:val="105"/>
                <w:sz w:val="19"/>
              </w:rPr>
              <w:t>were:</w:t>
            </w:r>
          </w:p>
          <w:p w:rsidR="00EA1F74" w:rsidRDefault="00FC1CE8">
            <w:pPr>
              <w:pStyle w:val="TableParagraph"/>
              <w:numPr>
                <w:ilvl w:val="0"/>
                <w:numId w:val="34"/>
              </w:numPr>
              <w:tabs>
                <w:tab w:val="left" w:pos="469"/>
                <w:tab w:val="left" w:pos="470"/>
              </w:tabs>
              <w:spacing w:before="72"/>
              <w:rPr>
                <w:sz w:val="19"/>
              </w:rPr>
            </w:pPr>
            <w:r>
              <w:rPr>
                <w:w w:val="105"/>
                <w:sz w:val="19"/>
              </w:rPr>
              <w:t>Respiratory diseases (24%) – mainly pneumonia and pneumonitis due to solids and</w:t>
            </w:r>
            <w:r>
              <w:rPr>
                <w:spacing w:val="-2"/>
                <w:w w:val="105"/>
                <w:sz w:val="19"/>
              </w:rPr>
              <w:t xml:space="preserve"> </w:t>
            </w:r>
            <w:r>
              <w:rPr>
                <w:w w:val="105"/>
                <w:sz w:val="19"/>
              </w:rPr>
              <w:t>liquids</w:t>
            </w:r>
          </w:p>
          <w:p w:rsidR="00EA1F74" w:rsidRDefault="00FC1CE8">
            <w:pPr>
              <w:pStyle w:val="TableParagraph"/>
              <w:numPr>
                <w:ilvl w:val="0"/>
                <w:numId w:val="34"/>
              </w:numPr>
              <w:tabs>
                <w:tab w:val="left" w:pos="469"/>
                <w:tab w:val="left" w:pos="470"/>
              </w:tabs>
              <w:spacing w:before="12"/>
              <w:rPr>
                <w:sz w:val="19"/>
              </w:rPr>
            </w:pPr>
            <w:r>
              <w:rPr>
                <w:w w:val="105"/>
                <w:sz w:val="19"/>
              </w:rPr>
              <w:t>Nervous system diseases (16.9%) – mainly epilepsy and cerebral</w:t>
            </w:r>
            <w:r>
              <w:rPr>
                <w:spacing w:val="6"/>
                <w:w w:val="105"/>
                <w:sz w:val="19"/>
              </w:rPr>
              <w:t xml:space="preserve"> </w:t>
            </w:r>
            <w:r>
              <w:rPr>
                <w:w w:val="105"/>
                <w:sz w:val="19"/>
              </w:rPr>
              <w:t>palsy</w:t>
            </w:r>
          </w:p>
          <w:p w:rsidR="00EA1F74" w:rsidRDefault="00FC1CE8">
            <w:pPr>
              <w:pStyle w:val="TableParagraph"/>
              <w:numPr>
                <w:ilvl w:val="0"/>
                <w:numId w:val="34"/>
              </w:numPr>
              <w:tabs>
                <w:tab w:val="left" w:pos="469"/>
                <w:tab w:val="left" w:pos="470"/>
              </w:tabs>
              <w:spacing w:before="12"/>
              <w:rPr>
                <w:sz w:val="19"/>
              </w:rPr>
            </w:pPr>
            <w:r>
              <w:rPr>
                <w:w w:val="105"/>
                <w:sz w:val="19"/>
              </w:rPr>
              <w:t>Neoplasms (16%) – mainly lung and breast</w:t>
            </w:r>
            <w:r>
              <w:rPr>
                <w:spacing w:val="6"/>
                <w:w w:val="105"/>
                <w:sz w:val="19"/>
              </w:rPr>
              <w:t xml:space="preserve"> </w:t>
            </w:r>
            <w:r>
              <w:rPr>
                <w:w w:val="105"/>
                <w:sz w:val="19"/>
              </w:rPr>
              <w:t>cancer</w:t>
            </w:r>
          </w:p>
          <w:p w:rsidR="00EA1F74" w:rsidRDefault="00FC1CE8">
            <w:pPr>
              <w:pStyle w:val="TableParagraph"/>
              <w:numPr>
                <w:ilvl w:val="0"/>
                <w:numId w:val="34"/>
              </w:numPr>
              <w:tabs>
                <w:tab w:val="left" w:pos="469"/>
                <w:tab w:val="left" w:pos="470"/>
              </w:tabs>
              <w:spacing w:before="12"/>
              <w:rPr>
                <w:sz w:val="19"/>
              </w:rPr>
            </w:pPr>
            <w:r>
              <w:rPr>
                <w:w w:val="105"/>
                <w:sz w:val="19"/>
              </w:rPr>
              <w:t>Circulatory diseases (11.1%) – primarily ischaemic heart diseases and other heart</w:t>
            </w:r>
            <w:r>
              <w:rPr>
                <w:spacing w:val="-4"/>
                <w:w w:val="105"/>
                <w:sz w:val="19"/>
              </w:rPr>
              <w:t xml:space="preserve"> </w:t>
            </w:r>
            <w:r>
              <w:rPr>
                <w:w w:val="105"/>
                <w:sz w:val="19"/>
              </w:rPr>
              <w:t>diseases</w:t>
            </w:r>
          </w:p>
          <w:p w:rsidR="00EA1F74" w:rsidRDefault="00FC1CE8">
            <w:pPr>
              <w:pStyle w:val="TableParagraph"/>
              <w:numPr>
                <w:ilvl w:val="0"/>
                <w:numId w:val="34"/>
              </w:numPr>
              <w:tabs>
                <w:tab w:val="left" w:pos="469"/>
                <w:tab w:val="left" w:pos="470"/>
              </w:tabs>
              <w:spacing w:before="7"/>
              <w:rPr>
                <w:sz w:val="19"/>
              </w:rPr>
            </w:pPr>
            <w:r>
              <w:rPr>
                <w:w w:val="105"/>
                <w:sz w:val="19"/>
              </w:rPr>
              <w:t>Congenital and chromosomal conditions</w:t>
            </w:r>
            <w:r>
              <w:rPr>
                <w:spacing w:val="2"/>
                <w:w w:val="105"/>
                <w:sz w:val="19"/>
              </w:rPr>
              <w:t xml:space="preserve"> </w:t>
            </w:r>
            <w:r>
              <w:rPr>
                <w:w w:val="105"/>
                <w:sz w:val="19"/>
              </w:rPr>
              <w:t>(11.1%)</w:t>
            </w:r>
          </w:p>
          <w:p w:rsidR="00EA1F74" w:rsidRDefault="00FC1CE8">
            <w:pPr>
              <w:pStyle w:val="TableParagraph"/>
              <w:numPr>
                <w:ilvl w:val="0"/>
                <w:numId w:val="34"/>
              </w:numPr>
              <w:tabs>
                <w:tab w:val="left" w:pos="469"/>
                <w:tab w:val="left" w:pos="470"/>
              </w:tabs>
              <w:spacing w:before="12"/>
              <w:rPr>
                <w:sz w:val="19"/>
              </w:rPr>
            </w:pPr>
            <w:r>
              <w:rPr>
                <w:w w:val="105"/>
                <w:sz w:val="19"/>
              </w:rPr>
              <w:t>External causes (7%)- Mainly</w:t>
            </w:r>
            <w:r>
              <w:rPr>
                <w:spacing w:val="2"/>
                <w:w w:val="105"/>
                <w:sz w:val="19"/>
              </w:rPr>
              <w:t xml:space="preserve"> </w:t>
            </w:r>
            <w:r>
              <w:rPr>
                <w:w w:val="105"/>
                <w:sz w:val="19"/>
              </w:rPr>
              <w:t>choking</w:t>
            </w:r>
          </w:p>
          <w:p w:rsidR="00EA1F74" w:rsidRDefault="00FC1CE8">
            <w:pPr>
              <w:pStyle w:val="TableParagraph"/>
              <w:numPr>
                <w:ilvl w:val="0"/>
                <w:numId w:val="34"/>
              </w:numPr>
              <w:tabs>
                <w:tab w:val="left" w:pos="469"/>
                <w:tab w:val="left" w:pos="470"/>
              </w:tabs>
              <w:spacing w:before="12"/>
              <w:rPr>
                <w:sz w:val="19"/>
              </w:rPr>
            </w:pPr>
            <w:r>
              <w:rPr>
                <w:w w:val="105"/>
                <w:sz w:val="19"/>
              </w:rPr>
              <w:t>Symptoms and signs NEC</w:t>
            </w:r>
            <w:r>
              <w:rPr>
                <w:spacing w:val="5"/>
                <w:w w:val="105"/>
                <w:sz w:val="19"/>
              </w:rPr>
              <w:t xml:space="preserve"> </w:t>
            </w:r>
            <w:r>
              <w:rPr>
                <w:w w:val="105"/>
                <w:sz w:val="19"/>
              </w:rPr>
              <w:t>(4.4%)</w:t>
            </w:r>
          </w:p>
          <w:p w:rsidR="00EA1F74" w:rsidRDefault="00FC1CE8">
            <w:pPr>
              <w:pStyle w:val="TableParagraph"/>
              <w:numPr>
                <w:ilvl w:val="0"/>
                <w:numId w:val="34"/>
              </w:numPr>
              <w:tabs>
                <w:tab w:val="left" w:pos="469"/>
                <w:tab w:val="left" w:pos="470"/>
              </w:tabs>
              <w:spacing w:before="7"/>
              <w:rPr>
                <w:sz w:val="19"/>
              </w:rPr>
            </w:pPr>
            <w:r>
              <w:rPr>
                <w:w w:val="105"/>
                <w:sz w:val="19"/>
              </w:rPr>
              <w:t>Diseases of the digestive system</w:t>
            </w:r>
            <w:r>
              <w:rPr>
                <w:spacing w:val="6"/>
                <w:w w:val="105"/>
                <w:sz w:val="19"/>
              </w:rPr>
              <w:t xml:space="preserve"> </w:t>
            </w:r>
            <w:r>
              <w:rPr>
                <w:w w:val="105"/>
                <w:sz w:val="19"/>
              </w:rPr>
              <w:t>(3.6%)</w:t>
            </w:r>
          </w:p>
          <w:p w:rsidR="00EA1F74" w:rsidRDefault="00FC1CE8">
            <w:pPr>
              <w:pStyle w:val="TableParagraph"/>
              <w:numPr>
                <w:ilvl w:val="0"/>
                <w:numId w:val="34"/>
              </w:numPr>
              <w:tabs>
                <w:tab w:val="left" w:pos="469"/>
                <w:tab w:val="left" w:pos="470"/>
              </w:tabs>
              <w:spacing w:before="12"/>
              <w:rPr>
                <w:sz w:val="19"/>
              </w:rPr>
            </w:pPr>
            <w:r>
              <w:rPr>
                <w:w w:val="105"/>
                <w:sz w:val="19"/>
              </w:rPr>
              <w:t>Diseases of the genitourinary system</w:t>
            </w:r>
            <w:r>
              <w:rPr>
                <w:spacing w:val="5"/>
                <w:w w:val="105"/>
                <w:sz w:val="19"/>
              </w:rPr>
              <w:t xml:space="preserve"> </w:t>
            </w:r>
            <w:r>
              <w:rPr>
                <w:w w:val="105"/>
                <w:sz w:val="19"/>
              </w:rPr>
              <w:t>(2.7%)</w:t>
            </w:r>
          </w:p>
          <w:p w:rsidR="00EA1F74" w:rsidRDefault="00FC1CE8">
            <w:pPr>
              <w:pStyle w:val="TableParagraph"/>
              <w:numPr>
                <w:ilvl w:val="0"/>
                <w:numId w:val="34"/>
              </w:numPr>
              <w:tabs>
                <w:tab w:val="left" w:pos="469"/>
                <w:tab w:val="left" w:pos="470"/>
              </w:tabs>
              <w:spacing w:before="12"/>
              <w:rPr>
                <w:sz w:val="19"/>
              </w:rPr>
            </w:pPr>
            <w:r>
              <w:rPr>
                <w:w w:val="105"/>
                <w:sz w:val="19"/>
              </w:rPr>
              <w:t>Infectious and parasitic diseases</w:t>
            </w:r>
            <w:r>
              <w:rPr>
                <w:spacing w:val="4"/>
                <w:w w:val="105"/>
                <w:sz w:val="19"/>
              </w:rPr>
              <w:t xml:space="preserve"> </w:t>
            </w:r>
            <w:r>
              <w:rPr>
                <w:w w:val="105"/>
                <w:sz w:val="19"/>
              </w:rPr>
              <w:t>(1.3%)</w:t>
            </w:r>
          </w:p>
          <w:p w:rsidR="00EA1F74" w:rsidRDefault="00FC1CE8">
            <w:pPr>
              <w:pStyle w:val="TableParagraph"/>
              <w:numPr>
                <w:ilvl w:val="0"/>
                <w:numId w:val="34"/>
              </w:numPr>
              <w:tabs>
                <w:tab w:val="left" w:pos="469"/>
                <w:tab w:val="left" w:pos="470"/>
              </w:tabs>
              <w:spacing w:before="12"/>
              <w:rPr>
                <w:sz w:val="19"/>
              </w:rPr>
            </w:pPr>
            <w:r>
              <w:rPr>
                <w:w w:val="105"/>
                <w:sz w:val="19"/>
              </w:rPr>
              <w:t>Endocrine, nutritional &amp; metabolic disorders</w:t>
            </w:r>
            <w:r>
              <w:rPr>
                <w:spacing w:val="4"/>
                <w:w w:val="105"/>
                <w:sz w:val="19"/>
              </w:rPr>
              <w:t xml:space="preserve"> </w:t>
            </w:r>
            <w:r>
              <w:rPr>
                <w:w w:val="105"/>
                <w:sz w:val="19"/>
              </w:rPr>
              <w:t>(1.3%)</w:t>
            </w:r>
          </w:p>
          <w:p w:rsidR="00EA1F74" w:rsidRDefault="00FC1CE8">
            <w:pPr>
              <w:pStyle w:val="TableParagraph"/>
              <w:numPr>
                <w:ilvl w:val="0"/>
                <w:numId w:val="34"/>
              </w:numPr>
              <w:tabs>
                <w:tab w:val="left" w:pos="469"/>
                <w:tab w:val="left" w:pos="470"/>
              </w:tabs>
              <w:spacing w:before="8"/>
              <w:rPr>
                <w:sz w:val="19"/>
              </w:rPr>
            </w:pPr>
            <w:r>
              <w:rPr>
                <w:w w:val="105"/>
                <w:sz w:val="19"/>
              </w:rPr>
              <w:t>Musculoskeletal and connective tissue</w:t>
            </w:r>
            <w:r>
              <w:rPr>
                <w:spacing w:val="3"/>
                <w:w w:val="105"/>
                <w:sz w:val="19"/>
              </w:rPr>
              <w:t xml:space="preserve"> </w:t>
            </w:r>
            <w:r>
              <w:rPr>
                <w:w w:val="105"/>
                <w:sz w:val="19"/>
              </w:rPr>
              <w:t>(0.4%)</w:t>
            </w:r>
          </w:p>
          <w:p w:rsidR="00EA1F74" w:rsidRDefault="00FC1CE8">
            <w:pPr>
              <w:pStyle w:val="TableParagraph"/>
              <w:numPr>
                <w:ilvl w:val="0"/>
                <w:numId w:val="34"/>
              </w:numPr>
              <w:tabs>
                <w:tab w:val="left" w:pos="469"/>
                <w:tab w:val="left" w:pos="470"/>
              </w:tabs>
              <w:spacing w:before="12"/>
              <w:rPr>
                <w:sz w:val="19"/>
              </w:rPr>
            </w:pPr>
            <w:r>
              <w:rPr>
                <w:w w:val="105"/>
                <w:sz w:val="19"/>
              </w:rPr>
              <w:t>Mental &amp; behavioural disorders</w:t>
            </w:r>
            <w:r>
              <w:rPr>
                <w:spacing w:val="2"/>
                <w:w w:val="105"/>
                <w:sz w:val="19"/>
              </w:rPr>
              <w:t xml:space="preserve"> </w:t>
            </w:r>
            <w:r>
              <w:rPr>
                <w:w w:val="105"/>
                <w:sz w:val="19"/>
              </w:rPr>
              <w:t>(0%).</w:t>
            </w:r>
          </w:p>
          <w:p w:rsidR="00EA1F74" w:rsidRDefault="00EA1F74">
            <w:pPr>
              <w:pStyle w:val="TableParagraph"/>
              <w:spacing w:before="10"/>
              <w:rPr>
                <w:sz w:val="25"/>
              </w:rPr>
            </w:pPr>
          </w:p>
          <w:p w:rsidR="00EA1F74" w:rsidRDefault="00FC1CE8">
            <w:pPr>
              <w:pStyle w:val="TableParagraph"/>
              <w:spacing w:before="1"/>
              <w:ind w:left="110"/>
              <w:rPr>
                <w:b/>
                <w:sz w:val="19"/>
              </w:rPr>
            </w:pPr>
            <w:r>
              <w:rPr>
                <w:b/>
                <w:w w:val="105"/>
                <w:sz w:val="19"/>
              </w:rPr>
              <w:t xml:space="preserve">The leading underlying causes of death of people in </w:t>
            </w:r>
            <w:r>
              <w:rPr>
                <w:b/>
                <w:i/>
                <w:w w:val="105"/>
                <w:sz w:val="19"/>
              </w:rPr>
              <w:t xml:space="preserve">assisted boarding houses </w:t>
            </w:r>
            <w:r>
              <w:rPr>
                <w:b/>
                <w:w w:val="105"/>
                <w:sz w:val="19"/>
              </w:rPr>
              <w:t>were:</w:t>
            </w:r>
          </w:p>
          <w:p w:rsidR="00EA1F74" w:rsidRDefault="00FC1CE8">
            <w:pPr>
              <w:pStyle w:val="TableParagraph"/>
              <w:numPr>
                <w:ilvl w:val="0"/>
                <w:numId w:val="34"/>
              </w:numPr>
              <w:tabs>
                <w:tab w:val="left" w:pos="469"/>
                <w:tab w:val="left" w:pos="470"/>
              </w:tabs>
              <w:spacing w:before="75"/>
              <w:rPr>
                <w:sz w:val="19"/>
              </w:rPr>
            </w:pPr>
            <w:r>
              <w:rPr>
                <w:w w:val="105"/>
                <w:sz w:val="19"/>
              </w:rPr>
              <w:t>Circulatory system diseases (42.9%) – mainly ischaemic and other heart</w:t>
            </w:r>
            <w:r>
              <w:rPr>
                <w:spacing w:val="3"/>
                <w:w w:val="105"/>
                <w:sz w:val="19"/>
              </w:rPr>
              <w:t xml:space="preserve"> </w:t>
            </w:r>
            <w:r>
              <w:rPr>
                <w:w w:val="105"/>
                <w:sz w:val="19"/>
              </w:rPr>
              <w:t>diseases</w:t>
            </w:r>
          </w:p>
          <w:p w:rsidR="00EA1F74" w:rsidRDefault="00FC1CE8">
            <w:pPr>
              <w:pStyle w:val="TableParagraph"/>
              <w:numPr>
                <w:ilvl w:val="0"/>
                <w:numId w:val="34"/>
              </w:numPr>
              <w:tabs>
                <w:tab w:val="left" w:pos="469"/>
                <w:tab w:val="left" w:pos="470"/>
              </w:tabs>
              <w:spacing w:before="8"/>
              <w:rPr>
                <w:sz w:val="19"/>
              </w:rPr>
            </w:pPr>
            <w:r>
              <w:rPr>
                <w:w w:val="105"/>
                <w:sz w:val="19"/>
              </w:rPr>
              <w:t>Neoplasms (21.4%) – mainly liver</w:t>
            </w:r>
            <w:r>
              <w:rPr>
                <w:spacing w:val="4"/>
                <w:w w:val="105"/>
                <w:sz w:val="19"/>
              </w:rPr>
              <w:t xml:space="preserve"> </w:t>
            </w:r>
            <w:r>
              <w:rPr>
                <w:w w:val="105"/>
                <w:sz w:val="19"/>
              </w:rPr>
              <w:t>cancer</w:t>
            </w:r>
          </w:p>
          <w:p w:rsidR="00EA1F74" w:rsidRDefault="00FC1CE8">
            <w:pPr>
              <w:pStyle w:val="TableParagraph"/>
              <w:numPr>
                <w:ilvl w:val="0"/>
                <w:numId w:val="34"/>
              </w:numPr>
              <w:tabs>
                <w:tab w:val="left" w:pos="469"/>
                <w:tab w:val="left" w:pos="470"/>
              </w:tabs>
              <w:spacing w:before="12"/>
              <w:rPr>
                <w:sz w:val="19"/>
              </w:rPr>
            </w:pPr>
            <w:r>
              <w:rPr>
                <w:w w:val="105"/>
                <w:sz w:val="19"/>
              </w:rPr>
              <w:t>Respiratory diseases (14.3%) – mainly chronic lower respiratory diseases and</w:t>
            </w:r>
            <w:r>
              <w:rPr>
                <w:spacing w:val="-2"/>
                <w:w w:val="105"/>
                <w:sz w:val="19"/>
              </w:rPr>
              <w:t xml:space="preserve"> </w:t>
            </w:r>
            <w:r>
              <w:rPr>
                <w:w w:val="105"/>
                <w:sz w:val="19"/>
              </w:rPr>
              <w:t>pneumonia</w:t>
            </w:r>
          </w:p>
          <w:p w:rsidR="00EA1F74" w:rsidRDefault="00FC1CE8">
            <w:pPr>
              <w:pStyle w:val="TableParagraph"/>
              <w:numPr>
                <w:ilvl w:val="0"/>
                <w:numId w:val="34"/>
              </w:numPr>
              <w:tabs>
                <w:tab w:val="left" w:pos="469"/>
                <w:tab w:val="left" w:pos="470"/>
              </w:tabs>
              <w:spacing w:before="12"/>
              <w:rPr>
                <w:sz w:val="19"/>
              </w:rPr>
            </w:pPr>
            <w:r>
              <w:rPr>
                <w:w w:val="105"/>
                <w:sz w:val="19"/>
              </w:rPr>
              <w:t>Diseases of the digestive system</w:t>
            </w:r>
            <w:r>
              <w:rPr>
                <w:spacing w:val="5"/>
                <w:w w:val="105"/>
                <w:sz w:val="19"/>
              </w:rPr>
              <w:t xml:space="preserve"> </w:t>
            </w:r>
            <w:r>
              <w:rPr>
                <w:w w:val="105"/>
                <w:sz w:val="19"/>
              </w:rPr>
              <w:t>(7.1%)</w:t>
            </w:r>
          </w:p>
          <w:p w:rsidR="00EA1F74" w:rsidRDefault="00FC1CE8">
            <w:pPr>
              <w:pStyle w:val="TableParagraph"/>
              <w:numPr>
                <w:ilvl w:val="0"/>
                <w:numId w:val="34"/>
              </w:numPr>
              <w:tabs>
                <w:tab w:val="left" w:pos="469"/>
                <w:tab w:val="left" w:pos="470"/>
              </w:tabs>
              <w:spacing w:before="7"/>
              <w:rPr>
                <w:sz w:val="19"/>
              </w:rPr>
            </w:pPr>
            <w:r>
              <w:rPr>
                <w:w w:val="105"/>
                <w:sz w:val="19"/>
              </w:rPr>
              <w:t>External causes</w:t>
            </w:r>
            <w:r>
              <w:rPr>
                <w:spacing w:val="1"/>
                <w:w w:val="105"/>
                <w:sz w:val="19"/>
              </w:rPr>
              <w:t xml:space="preserve"> </w:t>
            </w:r>
            <w:r>
              <w:rPr>
                <w:w w:val="105"/>
                <w:sz w:val="19"/>
              </w:rPr>
              <w:t>(7.1%)</w:t>
            </w:r>
          </w:p>
          <w:p w:rsidR="00EA1F74" w:rsidRDefault="00FC1CE8">
            <w:pPr>
              <w:pStyle w:val="TableParagraph"/>
              <w:numPr>
                <w:ilvl w:val="0"/>
                <w:numId w:val="34"/>
              </w:numPr>
              <w:tabs>
                <w:tab w:val="left" w:pos="469"/>
                <w:tab w:val="left" w:pos="470"/>
              </w:tabs>
              <w:spacing w:before="12"/>
              <w:rPr>
                <w:sz w:val="19"/>
              </w:rPr>
            </w:pPr>
            <w:r>
              <w:rPr>
                <w:w w:val="105"/>
                <w:sz w:val="19"/>
              </w:rPr>
              <w:t>Mental &amp; behavioural disorders</w:t>
            </w:r>
            <w:r>
              <w:rPr>
                <w:spacing w:val="2"/>
                <w:w w:val="105"/>
                <w:sz w:val="19"/>
              </w:rPr>
              <w:t xml:space="preserve"> </w:t>
            </w:r>
            <w:r>
              <w:rPr>
                <w:w w:val="105"/>
                <w:sz w:val="19"/>
              </w:rPr>
              <w:t>(7.1%).</w:t>
            </w:r>
          </w:p>
        </w:tc>
      </w:tr>
      <w:tr w:rsidR="00EA1F74" w:rsidTr="00A85C4E">
        <w:trPr>
          <w:trHeight w:val="776"/>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547" w:type="dxa"/>
            <w:shd w:val="clear" w:color="auto" w:fill="F2F2F2" w:themeFill="background1" w:themeFillShade="F2"/>
          </w:tcPr>
          <w:p w:rsidR="00EA1F74" w:rsidRDefault="00FC1CE8">
            <w:pPr>
              <w:pStyle w:val="TableParagraph"/>
              <w:spacing w:before="3"/>
              <w:ind w:left="110"/>
              <w:rPr>
                <w:b/>
                <w:sz w:val="19"/>
              </w:rPr>
            </w:pPr>
            <w:r>
              <w:rPr>
                <w:b/>
                <w:w w:val="105"/>
                <w:sz w:val="19"/>
              </w:rPr>
              <w:t>The leading underlying causes of death for the full sample in residential care in 2014-2017 were:</w:t>
            </w:r>
          </w:p>
          <w:p w:rsidR="00EA1F74" w:rsidRDefault="00FC1CE8">
            <w:pPr>
              <w:pStyle w:val="TableParagraph"/>
              <w:numPr>
                <w:ilvl w:val="0"/>
                <w:numId w:val="33"/>
              </w:numPr>
              <w:tabs>
                <w:tab w:val="left" w:pos="466"/>
                <w:tab w:val="left" w:pos="467"/>
              </w:tabs>
              <w:spacing w:before="76"/>
              <w:rPr>
                <w:sz w:val="19"/>
              </w:rPr>
            </w:pPr>
            <w:r>
              <w:rPr>
                <w:w w:val="105"/>
                <w:sz w:val="19"/>
              </w:rPr>
              <w:t>nervous system diseases (77 people; 16%) – mainly epilepsy and cerebral</w:t>
            </w:r>
            <w:r>
              <w:rPr>
                <w:spacing w:val="4"/>
                <w:w w:val="105"/>
                <w:sz w:val="19"/>
              </w:rPr>
              <w:t xml:space="preserve"> </w:t>
            </w:r>
            <w:r>
              <w:rPr>
                <w:w w:val="105"/>
                <w:sz w:val="19"/>
              </w:rPr>
              <w:t>palsy</w:t>
            </w:r>
          </w:p>
          <w:p w:rsidR="00EA1F74" w:rsidRDefault="00FC1CE8">
            <w:pPr>
              <w:pStyle w:val="TableParagraph"/>
              <w:numPr>
                <w:ilvl w:val="0"/>
                <w:numId w:val="33"/>
              </w:numPr>
              <w:tabs>
                <w:tab w:val="left" w:pos="466"/>
                <w:tab w:val="left" w:pos="467"/>
              </w:tabs>
              <w:spacing w:before="12" w:line="214" w:lineRule="exact"/>
              <w:rPr>
                <w:sz w:val="19"/>
              </w:rPr>
            </w:pPr>
            <w:r>
              <w:rPr>
                <w:w w:val="105"/>
                <w:sz w:val="19"/>
              </w:rPr>
              <w:t>respiratory diseases (76 people; 15%) – mainly aspiration</w:t>
            </w:r>
            <w:r>
              <w:rPr>
                <w:spacing w:val="4"/>
                <w:w w:val="105"/>
                <w:sz w:val="19"/>
              </w:rPr>
              <w:t xml:space="preserve"> </w:t>
            </w:r>
            <w:r>
              <w:rPr>
                <w:w w:val="105"/>
                <w:sz w:val="19"/>
              </w:rPr>
              <w:t>pneumonia</w:t>
            </w:r>
          </w:p>
        </w:tc>
      </w:tr>
    </w:tbl>
    <w:p w:rsidR="00EA1F74" w:rsidRDefault="00EA1F74">
      <w:pPr>
        <w:spacing w:line="214" w:lineRule="exact"/>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tbl>
      <w:tblPr>
        <w:tblW w:w="0" w:type="auto"/>
        <w:tblInd w:w="57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rsidTr="00A85C4E">
        <w:trPr>
          <w:trHeight w:val="6603"/>
        </w:trPr>
        <w:tc>
          <w:tcPr>
            <w:tcW w:w="960" w:type="dxa"/>
            <w:shd w:val="clear" w:color="auto" w:fill="F2F2F2" w:themeFill="background1" w:themeFillShade="F2"/>
          </w:tcPr>
          <w:p w:rsidR="00EA1F74" w:rsidRDefault="00EA1F74">
            <w:pPr>
              <w:pStyle w:val="TableParagraph"/>
              <w:rPr>
                <w:rFonts w:ascii="Times New Roman"/>
                <w:sz w:val="20"/>
              </w:rPr>
            </w:pPr>
          </w:p>
        </w:tc>
        <w:tc>
          <w:tcPr>
            <w:tcW w:w="9547" w:type="dxa"/>
            <w:shd w:val="clear" w:color="auto" w:fill="F2F2F2" w:themeFill="background1" w:themeFillShade="F2"/>
          </w:tcPr>
          <w:p w:rsidR="00EA1F74" w:rsidRDefault="00FC1CE8">
            <w:pPr>
              <w:pStyle w:val="TableParagraph"/>
              <w:numPr>
                <w:ilvl w:val="0"/>
                <w:numId w:val="32"/>
              </w:numPr>
              <w:tabs>
                <w:tab w:val="left" w:pos="466"/>
                <w:tab w:val="left" w:pos="467"/>
              </w:tabs>
              <w:spacing w:before="5"/>
              <w:rPr>
                <w:sz w:val="19"/>
              </w:rPr>
            </w:pPr>
            <w:r>
              <w:rPr>
                <w:w w:val="105"/>
                <w:sz w:val="19"/>
              </w:rPr>
              <w:t>neoplasms (68 people; 14%) – mainly lung and breast</w:t>
            </w:r>
            <w:r>
              <w:rPr>
                <w:spacing w:val="6"/>
                <w:w w:val="105"/>
                <w:sz w:val="19"/>
              </w:rPr>
              <w:t xml:space="preserve"> </w:t>
            </w:r>
            <w:r>
              <w:rPr>
                <w:w w:val="105"/>
                <w:sz w:val="19"/>
              </w:rPr>
              <w:t>cancer</w:t>
            </w:r>
          </w:p>
          <w:p w:rsidR="00EA1F74" w:rsidRDefault="00FC1CE8">
            <w:pPr>
              <w:pStyle w:val="TableParagraph"/>
              <w:numPr>
                <w:ilvl w:val="0"/>
                <w:numId w:val="32"/>
              </w:numPr>
              <w:tabs>
                <w:tab w:val="left" w:pos="466"/>
                <w:tab w:val="left" w:pos="467"/>
              </w:tabs>
              <w:spacing w:before="12"/>
              <w:rPr>
                <w:sz w:val="19"/>
              </w:rPr>
            </w:pPr>
            <w:r>
              <w:rPr>
                <w:w w:val="105"/>
                <w:sz w:val="19"/>
              </w:rPr>
              <w:t>congenital and chromosomal conditions (63 people; 13%) – mainly Down</w:t>
            </w:r>
            <w:r>
              <w:rPr>
                <w:spacing w:val="1"/>
                <w:w w:val="105"/>
                <w:sz w:val="19"/>
              </w:rPr>
              <w:t xml:space="preserve"> </w:t>
            </w:r>
            <w:r>
              <w:rPr>
                <w:w w:val="105"/>
                <w:sz w:val="19"/>
              </w:rPr>
              <w:t>syndrome</w:t>
            </w:r>
          </w:p>
          <w:p w:rsidR="00EA1F74" w:rsidRDefault="00FC1CE8">
            <w:pPr>
              <w:pStyle w:val="TableParagraph"/>
              <w:numPr>
                <w:ilvl w:val="0"/>
                <w:numId w:val="32"/>
              </w:numPr>
              <w:tabs>
                <w:tab w:val="left" w:pos="466"/>
                <w:tab w:val="left" w:pos="467"/>
              </w:tabs>
              <w:spacing w:before="12"/>
              <w:rPr>
                <w:sz w:val="19"/>
              </w:rPr>
            </w:pPr>
            <w:r>
              <w:rPr>
                <w:w w:val="105"/>
                <w:sz w:val="19"/>
              </w:rPr>
              <w:t>circulatory diseases (61 people; 12%) – mainly ischaemic heart</w:t>
            </w:r>
            <w:r>
              <w:rPr>
                <w:spacing w:val="-26"/>
                <w:w w:val="105"/>
                <w:sz w:val="19"/>
              </w:rPr>
              <w:t xml:space="preserve"> </w:t>
            </w:r>
            <w:r>
              <w:rPr>
                <w:w w:val="105"/>
                <w:sz w:val="19"/>
              </w:rPr>
              <w:t>diseases.</w:t>
            </w:r>
          </w:p>
          <w:p w:rsidR="00EA1F74" w:rsidRDefault="00EA1F74">
            <w:pPr>
              <w:pStyle w:val="TableParagraph"/>
              <w:spacing w:before="11"/>
              <w:rPr>
                <w:sz w:val="25"/>
              </w:rPr>
            </w:pPr>
          </w:p>
          <w:p w:rsidR="00EA1F74" w:rsidRDefault="00FC1CE8">
            <w:pPr>
              <w:pStyle w:val="TableParagraph"/>
              <w:ind w:left="110"/>
              <w:rPr>
                <w:b/>
                <w:sz w:val="19"/>
              </w:rPr>
            </w:pPr>
            <w:r>
              <w:rPr>
                <w:b/>
                <w:w w:val="105"/>
                <w:sz w:val="19"/>
              </w:rPr>
              <w:t xml:space="preserve">The leading underlying causes of death of people in </w:t>
            </w:r>
            <w:r>
              <w:rPr>
                <w:b/>
                <w:i/>
                <w:w w:val="105"/>
                <w:sz w:val="19"/>
              </w:rPr>
              <w:t>disability services</w:t>
            </w:r>
            <w:r>
              <w:rPr>
                <w:b/>
                <w:i/>
                <w:spacing w:val="-30"/>
                <w:w w:val="105"/>
                <w:sz w:val="19"/>
              </w:rPr>
              <w:t xml:space="preserve"> </w:t>
            </w:r>
            <w:r>
              <w:rPr>
                <w:b/>
                <w:w w:val="105"/>
                <w:sz w:val="19"/>
              </w:rPr>
              <w:t>were:</w:t>
            </w:r>
          </w:p>
          <w:p w:rsidR="00EA1F74" w:rsidRDefault="00FC1CE8">
            <w:pPr>
              <w:pStyle w:val="TableParagraph"/>
              <w:numPr>
                <w:ilvl w:val="0"/>
                <w:numId w:val="32"/>
              </w:numPr>
              <w:tabs>
                <w:tab w:val="left" w:pos="469"/>
                <w:tab w:val="left" w:pos="470"/>
              </w:tabs>
              <w:spacing w:before="71"/>
              <w:ind w:left="470" w:hanging="360"/>
              <w:rPr>
                <w:sz w:val="19"/>
              </w:rPr>
            </w:pPr>
            <w:r>
              <w:rPr>
                <w:w w:val="105"/>
                <w:sz w:val="19"/>
              </w:rPr>
              <w:t xml:space="preserve">In </w:t>
            </w:r>
            <w:r>
              <w:rPr>
                <w:i/>
                <w:w w:val="105"/>
                <w:sz w:val="19"/>
              </w:rPr>
              <w:t xml:space="preserve">2016-2017, </w:t>
            </w:r>
            <w:r>
              <w:rPr>
                <w:w w:val="105"/>
                <w:sz w:val="19"/>
              </w:rPr>
              <w:t>the leading five underlying causes of death</w:t>
            </w:r>
            <w:r>
              <w:rPr>
                <w:spacing w:val="6"/>
                <w:w w:val="105"/>
                <w:sz w:val="19"/>
              </w:rPr>
              <w:t xml:space="preserve"> </w:t>
            </w:r>
            <w:r>
              <w:rPr>
                <w:w w:val="105"/>
                <w:sz w:val="19"/>
              </w:rPr>
              <w:t>were:</w:t>
            </w:r>
          </w:p>
          <w:p w:rsidR="00EA1F74" w:rsidRDefault="00FC1CE8">
            <w:pPr>
              <w:pStyle w:val="TableParagraph"/>
              <w:numPr>
                <w:ilvl w:val="1"/>
                <w:numId w:val="32"/>
              </w:numPr>
              <w:tabs>
                <w:tab w:val="left" w:pos="829"/>
                <w:tab w:val="left" w:pos="830"/>
              </w:tabs>
              <w:spacing w:before="11" w:line="244" w:lineRule="auto"/>
              <w:ind w:right="95"/>
              <w:rPr>
                <w:sz w:val="19"/>
              </w:rPr>
            </w:pPr>
            <w:r>
              <w:rPr>
                <w:w w:val="105"/>
                <w:sz w:val="19"/>
              </w:rPr>
              <w:t>Diseases of the respiratory system (17.34%); Congenital and chromosomal conditions (13.71%); Neoplasms (12.5%); Diseases of the nervous system (12.1%); Diseases of the circulatory system (11.69%)</w:t>
            </w:r>
          </w:p>
          <w:p w:rsidR="00EA1F74" w:rsidRDefault="00FC1CE8">
            <w:pPr>
              <w:pStyle w:val="TableParagraph"/>
              <w:numPr>
                <w:ilvl w:val="1"/>
                <w:numId w:val="32"/>
              </w:numPr>
              <w:tabs>
                <w:tab w:val="left" w:pos="829"/>
                <w:tab w:val="left" w:pos="830"/>
              </w:tabs>
              <w:spacing w:before="6" w:line="234" w:lineRule="exact"/>
              <w:rPr>
                <w:sz w:val="19"/>
              </w:rPr>
            </w:pPr>
            <w:r>
              <w:rPr>
                <w:w w:val="105"/>
                <w:sz w:val="19"/>
              </w:rPr>
              <w:t>6.05% of deaths were due to external</w:t>
            </w:r>
            <w:r>
              <w:rPr>
                <w:spacing w:val="6"/>
                <w:w w:val="105"/>
                <w:sz w:val="19"/>
              </w:rPr>
              <w:t xml:space="preserve"> </w:t>
            </w:r>
            <w:r>
              <w:rPr>
                <w:w w:val="105"/>
                <w:sz w:val="19"/>
              </w:rPr>
              <w:t>causes.</w:t>
            </w:r>
          </w:p>
          <w:p w:rsidR="00EA1F74" w:rsidRDefault="00FC1CE8">
            <w:pPr>
              <w:pStyle w:val="TableParagraph"/>
              <w:numPr>
                <w:ilvl w:val="0"/>
                <w:numId w:val="32"/>
              </w:numPr>
              <w:tabs>
                <w:tab w:val="left" w:pos="469"/>
                <w:tab w:val="left" w:pos="470"/>
              </w:tabs>
              <w:spacing w:line="231" w:lineRule="exact"/>
              <w:ind w:left="470" w:hanging="360"/>
              <w:rPr>
                <w:sz w:val="19"/>
              </w:rPr>
            </w:pPr>
            <w:r>
              <w:rPr>
                <w:w w:val="105"/>
                <w:sz w:val="19"/>
              </w:rPr>
              <w:t xml:space="preserve">In </w:t>
            </w:r>
            <w:r>
              <w:rPr>
                <w:i/>
                <w:w w:val="105"/>
                <w:sz w:val="19"/>
              </w:rPr>
              <w:t xml:space="preserve">2014-2015, </w:t>
            </w:r>
            <w:r>
              <w:rPr>
                <w:w w:val="105"/>
                <w:sz w:val="19"/>
              </w:rPr>
              <w:t>the leading five underlying causes of death</w:t>
            </w:r>
            <w:r>
              <w:rPr>
                <w:spacing w:val="6"/>
                <w:w w:val="105"/>
                <w:sz w:val="19"/>
              </w:rPr>
              <w:t xml:space="preserve"> </w:t>
            </w:r>
            <w:r>
              <w:rPr>
                <w:w w:val="105"/>
                <w:sz w:val="19"/>
              </w:rPr>
              <w:t>were:</w:t>
            </w:r>
          </w:p>
          <w:p w:rsidR="00EA1F74" w:rsidRDefault="00FC1CE8">
            <w:pPr>
              <w:pStyle w:val="TableParagraph"/>
              <w:numPr>
                <w:ilvl w:val="1"/>
                <w:numId w:val="32"/>
              </w:numPr>
              <w:tabs>
                <w:tab w:val="left" w:pos="829"/>
                <w:tab w:val="left" w:pos="830"/>
              </w:tabs>
              <w:spacing w:before="5" w:line="244" w:lineRule="auto"/>
              <w:ind w:right="228"/>
              <w:rPr>
                <w:sz w:val="19"/>
              </w:rPr>
            </w:pPr>
            <w:r>
              <w:rPr>
                <w:w w:val="105"/>
                <w:sz w:val="19"/>
              </w:rPr>
              <w:t>Diseases of the nervous system (20.6%); Neoplasms (14%); Diseases of the respiratory system (13.6%); Congenital and chromosomal conditions (12.7%); Diseases of the circulatory system (11.8%)</w:t>
            </w:r>
          </w:p>
          <w:p w:rsidR="00EA1F74" w:rsidRDefault="00FC1CE8">
            <w:pPr>
              <w:pStyle w:val="TableParagraph"/>
              <w:numPr>
                <w:ilvl w:val="1"/>
                <w:numId w:val="32"/>
              </w:numPr>
              <w:tabs>
                <w:tab w:val="left" w:pos="829"/>
                <w:tab w:val="left" w:pos="830"/>
              </w:tabs>
              <w:spacing w:before="6"/>
              <w:rPr>
                <w:sz w:val="19"/>
              </w:rPr>
            </w:pPr>
            <w:r>
              <w:rPr>
                <w:w w:val="105"/>
                <w:sz w:val="19"/>
              </w:rPr>
              <w:t>4.8 % of deaths were due to external</w:t>
            </w:r>
            <w:r>
              <w:rPr>
                <w:spacing w:val="7"/>
                <w:w w:val="105"/>
                <w:sz w:val="19"/>
              </w:rPr>
              <w:t xml:space="preserve"> </w:t>
            </w:r>
            <w:r>
              <w:rPr>
                <w:w w:val="105"/>
                <w:sz w:val="19"/>
              </w:rPr>
              <w:t>causes.</w:t>
            </w:r>
          </w:p>
          <w:p w:rsidR="00EA1F74" w:rsidRDefault="00EA1F74">
            <w:pPr>
              <w:pStyle w:val="TableParagraph"/>
              <w:spacing w:before="7"/>
              <w:rPr>
                <w:sz w:val="24"/>
              </w:rPr>
            </w:pPr>
          </w:p>
          <w:p w:rsidR="00EA1F74" w:rsidRDefault="00FC1CE8">
            <w:pPr>
              <w:pStyle w:val="TableParagraph"/>
              <w:ind w:left="110"/>
              <w:rPr>
                <w:b/>
                <w:sz w:val="19"/>
              </w:rPr>
            </w:pPr>
            <w:r>
              <w:rPr>
                <w:b/>
                <w:w w:val="105"/>
                <w:sz w:val="19"/>
              </w:rPr>
              <w:t xml:space="preserve">The leading underlying causes of death of people in </w:t>
            </w:r>
            <w:r>
              <w:rPr>
                <w:b/>
                <w:i/>
                <w:w w:val="105"/>
                <w:sz w:val="19"/>
              </w:rPr>
              <w:t xml:space="preserve">assisted boarding houses </w:t>
            </w:r>
            <w:r>
              <w:rPr>
                <w:b/>
                <w:w w:val="105"/>
                <w:sz w:val="19"/>
              </w:rPr>
              <w:t>were:</w:t>
            </w:r>
          </w:p>
          <w:p w:rsidR="00EA1F74" w:rsidRDefault="00FC1CE8">
            <w:pPr>
              <w:pStyle w:val="TableParagraph"/>
              <w:numPr>
                <w:ilvl w:val="0"/>
                <w:numId w:val="32"/>
              </w:numPr>
              <w:tabs>
                <w:tab w:val="left" w:pos="469"/>
                <w:tab w:val="left" w:pos="470"/>
              </w:tabs>
              <w:spacing w:before="76"/>
              <w:ind w:left="470" w:hanging="360"/>
              <w:rPr>
                <w:sz w:val="19"/>
              </w:rPr>
            </w:pPr>
            <w:r>
              <w:rPr>
                <w:w w:val="105"/>
                <w:sz w:val="19"/>
              </w:rPr>
              <w:t xml:space="preserve">In </w:t>
            </w:r>
            <w:r>
              <w:rPr>
                <w:i/>
                <w:w w:val="105"/>
                <w:sz w:val="19"/>
              </w:rPr>
              <w:t xml:space="preserve">2016-2017, </w:t>
            </w:r>
            <w:r>
              <w:rPr>
                <w:w w:val="105"/>
                <w:sz w:val="19"/>
              </w:rPr>
              <w:t>the leading underlying causes of death</w:t>
            </w:r>
            <w:r>
              <w:rPr>
                <w:spacing w:val="5"/>
                <w:w w:val="105"/>
                <w:sz w:val="19"/>
              </w:rPr>
              <w:t xml:space="preserve"> </w:t>
            </w:r>
            <w:r>
              <w:rPr>
                <w:w w:val="105"/>
                <w:sz w:val="19"/>
              </w:rPr>
              <w:t>were:</w:t>
            </w:r>
          </w:p>
          <w:p w:rsidR="00EA1F74" w:rsidRDefault="00FC1CE8">
            <w:pPr>
              <w:pStyle w:val="TableParagraph"/>
              <w:numPr>
                <w:ilvl w:val="1"/>
                <w:numId w:val="32"/>
              </w:numPr>
              <w:tabs>
                <w:tab w:val="left" w:pos="829"/>
                <w:tab w:val="left" w:pos="830"/>
              </w:tabs>
              <w:spacing w:before="10" w:line="242" w:lineRule="auto"/>
              <w:ind w:right="193"/>
              <w:rPr>
                <w:sz w:val="19"/>
              </w:rPr>
            </w:pPr>
            <w:r>
              <w:rPr>
                <w:w w:val="105"/>
                <w:sz w:val="19"/>
              </w:rPr>
              <w:t>Neoplasms (30%); Diseases of the circulatory system (20%); Diseases of the respiratory system (10%); Symptoms, signs and abnormal clinical and laboratory findings, not elsewhere classified (10%)</w:t>
            </w:r>
          </w:p>
          <w:p w:rsidR="00EA1F74" w:rsidRDefault="00FC1CE8">
            <w:pPr>
              <w:pStyle w:val="TableParagraph"/>
              <w:numPr>
                <w:ilvl w:val="1"/>
                <w:numId w:val="32"/>
              </w:numPr>
              <w:tabs>
                <w:tab w:val="left" w:pos="829"/>
                <w:tab w:val="left" w:pos="830"/>
              </w:tabs>
              <w:spacing w:before="8" w:line="234" w:lineRule="exact"/>
              <w:rPr>
                <w:sz w:val="19"/>
              </w:rPr>
            </w:pPr>
            <w:r>
              <w:rPr>
                <w:w w:val="105"/>
                <w:sz w:val="19"/>
              </w:rPr>
              <w:t>10% of deaths were due to external</w:t>
            </w:r>
            <w:r>
              <w:rPr>
                <w:spacing w:val="6"/>
                <w:w w:val="105"/>
                <w:sz w:val="19"/>
              </w:rPr>
              <w:t xml:space="preserve"> </w:t>
            </w:r>
            <w:r>
              <w:rPr>
                <w:w w:val="105"/>
                <w:sz w:val="19"/>
              </w:rPr>
              <w:t>causes.</w:t>
            </w:r>
          </w:p>
          <w:p w:rsidR="00EA1F74" w:rsidRDefault="00FC1CE8">
            <w:pPr>
              <w:pStyle w:val="TableParagraph"/>
              <w:numPr>
                <w:ilvl w:val="0"/>
                <w:numId w:val="32"/>
              </w:numPr>
              <w:tabs>
                <w:tab w:val="left" w:pos="469"/>
                <w:tab w:val="left" w:pos="470"/>
              </w:tabs>
              <w:spacing w:line="231" w:lineRule="exact"/>
              <w:ind w:left="470" w:hanging="360"/>
              <w:rPr>
                <w:sz w:val="19"/>
              </w:rPr>
            </w:pPr>
            <w:r>
              <w:rPr>
                <w:w w:val="105"/>
                <w:sz w:val="19"/>
              </w:rPr>
              <w:t xml:space="preserve">In </w:t>
            </w:r>
            <w:r>
              <w:rPr>
                <w:i/>
                <w:w w:val="105"/>
                <w:sz w:val="19"/>
              </w:rPr>
              <w:t xml:space="preserve">2014-2015, </w:t>
            </w:r>
            <w:r>
              <w:rPr>
                <w:w w:val="105"/>
                <w:sz w:val="19"/>
              </w:rPr>
              <w:t>the leading underlying causes of death</w:t>
            </w:r>
            <w:r>
              <w:rPr>
                <w:spacing w:val="5"/>
                <w:w w:val="105"/>
                <w:sz w:val="19"/>
              </w:rPr>
              <w:t xml:space="preserve"> </w:t>
            </w:r>
            <w:r>
              <w:rPr>
                <w:w w:val="105"/>
                <w:sz w:val="19"/>
              </w:rPr>
              <w:t>were:</w:t>
            </w:r>
          </w:p>
          <w:p w:rsidR="00EA1F74" w:rsidRDefault="00FC1CE8">
            <w:pPr>
              <w:pStyle w:val="TableParagraph"/>
              <w:numPr>
                <w:ilvl w:val="1"/>
                <w:numId w:val="32"/>
              </w:numPr>
              <w:tabs>
                <w:tab w:val="left" w:pos="829"/>
                <w:tab w:val="left" w:pos="830"/>
              </w:tabs>
              <w:spacing w:before="14" w:line="235" w:lineRule="auto"/>
              <w:ind w:right="716"/>
              <w:rPr>
                <w:sz w:val="19"/>
              </w:rPr>
            </w:pPr>
            <w:r>
              <w:rPr>
                <w:w w:val="105"/>
                <w:sz w:val="19"/>
              </w:rPr>
              <w:t>Diseases of the circulatory system (37.5%); Neoplasms (25%); Diseases of the respiratory system (12.5%); Certain infectious and parasitic diseases</w:t>
            </w:r>
            <w:r>
              <w:rPr>
                <w:spacing w:val="4"/>
                <w:w w:val="105"/>
                <w:sz w:val="19"/>
              </w:rPr>
              <w:t xml:space="preserve"> </w:t>
            </w:r>
            <w:r>
              <w:rPr>
                <w:w w:val="105"/>
                <w:sz w:val="19"/>
              </w:rPr>
              <w:t>(12.5%)</w:t>
            </w:r>
          </w:p>
          <w:p w:rsidR="00EA1F74" w:rsidRDefault="00FC1CE8">
            <w:pPr>
              <w:pStyle w:val="TableParagraph"/>
              <w:numPr>
                <w:ilvl w:val="1"/>
                <w:numId w:val="32"/>
              </w:numPr>
              <w:tabs>
                <w:tab w:val="left" w:pos="829"/>
                <w:tab w:val="left" w:pos="830"/>
              </w:tabs>
              <w:spacing w:before="12"/>
              <w:rPr>
                <w:sz w:val="19"/>
              </w:rPr>
            </w:pPr>
            <w:r>
              <w:rPr>
                <w:w w:val="105"/>
                <w:sz w:val="19"/>
              </w:rPr>
              <w:t>No deaths had external causes listed as an underlying</w:t>
            </w:r>
            <w:r>
              <w:rPr>
                <w:spacing w:val="7"/>
                <w:w w:val="105"/>
                <w:sz w:val="19"/>
              </w:rPr>
              <w:t xml:space="preserve"> </w:t>
            </w:r>
            <w:r>
              <w:rPr>
                <w:w w:val="105"/>
                <w:sz w:val="19"/>
              </w:rPr>
              <w:t>cause.</w:t>
            </w:r>
          </w:p>
        </w:tc>
      </w:tr>
    </w:tbl>
    <w:p w:rsidR="00EA1F74" w:rsidRDefault="00EA1F74" w:rsidP="00625DA1">
      <w:pPr>
        <w:pStyle w:val="BodyText"/>
      </w:pPr>
    </w:p>
    <w:p w:rsidR="00EA1F74" w:rsidRDefault="00EA1F74" w:rsidP="00625DA1">
      <w:pPr>
        <w:pStyle w:val="BodyText"/>
      </w:pPr>
    </w:p>
    <w:p w:rsidR="00EA1F74" w:rsidRDefault="00EA1F74" w:rsidP="003A0312">
      <w:pPr>
        <w:pStyle w:val="BodyText"/>
        <w:ind w:left="0"/>
      </w:pPr>
    </w:p>
    <w:p w:rsidR="00EA1F74" w:rsidRDefault="00FC1CE8">
      <w:pPr>
        <w:pStyle w:val="Heading4"/>
        <w:spacing w:before="92"/>
      </w:pPr>
      <w:bookmarkStart w:id="36" w:name="_TOC_250029"/>
      <w:bookmarkEnd w:id="36"/>
      <w:r>
        <w:rPr>
          <w:color w:val="4472C4"/>
        </w:rPr>
        <w:t>Underlying causes of death at ICD 10 Sub-Chapter level</w:t>
      </w:r>
    </w:p>
    <w:p w:rsidR="00EA1F74" w:rsidRDefault="00FC1CE8" w:rsidP="00625DA1">
      <w:pPr>
        <w:pStyle w:val="BodyText"/>
      </w:pPr>
      <w:r>
        <w:t xml:space="preserve">At the ICD Sub-Chapter level, the leading underlying causes of </w:t>
      </w:r>
      <w:r>
        <w:rPr>
          <w:i/>
        </w:rPr>
        <w:t xml:space="preserve">respiratory deaths </w:t>
      </w:r>
      <w:r>
        <w:t xml:space="preserve">reported across samples were pneumonitis due to solids and liquids, and pneumonia. Ischaemic heart disease was the highest frequency cause of </w:t>
      </w:r>
      <w:r>
        <w:rPr>
          <w:i/>
        </w:rPr>
        <w:t xml:space="preserve">circulatory </w:t>
      </w:r>
      <w:r>
        <w:t xml:space="preserve">system deaths, while epilepsy was the leading cause of </w:t>
      </w:r>
      <w:r>
        <w:rPr>
          <w:i/>
        </w:rPr>
        <w:t xml:space="preserve">nervous system </w:t>
      </w:r>
      <w:r>
        <w:t>deaths across jurisdictions.</w:t>
      </w:r>
    </w:p>
    <w:p w:rsidR="00EA1F74" w:rsidRDefault="00FC1CE8" w:rsidP="00625DA1">
      <w:pPr>
        <w:pStyle w:val="BodyText"/>
      </w:pPr>
      <w:r>
        <w:t xml:space="preserve">Down syndrome was the most frequently reported cause of </w:t>
      </w:r>
      <w:r>
        <w:rPr>
          <w:i/>
        </w:rPr>
        <w:t xml:space="preserve">congenital and chromosomal </w:t>
      </w:r>
      <w:r>
        <w:t xml:space="preserve">deaths. No report attempted to recode deaths due to congenital and chromosomal conditions to examine underlying causes of death. Malignant neoplasms of the digestive organs and malignant neoplasms of the trachea, bronchus and lungs were the most frequently reported types of neoplasms. Inhalation and ingestion of food causing obstruction of the respiratory tract was the most frequently reported </w:t>
      </w:r>
      <w:r>
        <w:rPr>
          <w:i/>
        </w:rPr>
        <w:t xml:space="preserve">external </w:t>
      </w:r>
      <w:r>
        <w:t>underlying cause of deaths across samples. Accidental choking was associated with 34 of the 901 deaths that were in-scope for this review (4%).</w:t>
      </w:r>
    </w:p>
    <w:p w:rsidR="00EA1F74" w:rsidRDefault="00FC1CE8" w:rsidP="00625DA1">
      <w:pPr>
        <w:pStyle w:val="BodyText"/>
      </w:pPr>
      <w:r>
        <w:t>Pneumonitis due to solids and liquids, and pneumonia were the most common single categories of death in the VIC 17-18 and QLD 09-14 samples, and the NSW 12-13 sample, collectively accounting for between 15% to 33% of all deaths in these samples. A higher proportion of people residing in assisted boarding houses, died from circulatory diseases and neoplasms than from respiratory diseases (NSW 12-13 &amp; 14-17). Ischaemic heart diseases and other heart diseases accounted for between 20% - 37.5% of all deaths in the NSW assisted boarding house samples between 2012-2017. Table 21 provides a more detailed picture of underlying causes of death at the sub-chapter level.</w:t>
      </w:r>
    </w:p>
    <w:p w:rsidR="00EA1F74" w:rsidRDefault="00EA1F74" w:rsidP="00625DA1">
      <w:pPr>
        <w:pStyle w:val="BodyText"/>
      </w:pPr>
    </w:p>
    <w:p w:rsidR="00EA1F74" w:rsidRDefault="00EA1F74" w:rsidP="00625DA1">
      <w:pPr>
        <w:pStyle w:val="BodyText"/>
      </w:pPr>
    </w:p>
    <w:p w:rsidR="00EA1F74" w:rsidRDefault="00FC1CE8" w:rsidP="00625DA1">
      <w:pPr>
        <w:pStyle w:val="BodyText"/>
      </w:pPr>
      <w:r>
        <w:t>Table 21: Underlying causes of death by ICD Sub-Chapter</w:t>
      </w:r>
    </w:p>
    <w:tbl>
      <w:tblPr>
        <w:tblW w:w="0" w:type="auto"/>
        <w:tblInd w:w="393"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517"/>
        </w:trPr>
        <w:tc>
          <w:tcPr>
            <w:tcW w:w="960" w:type="dxa"/>
            <w:tcBorders>
              <w:bottom w:val="single" w:sz="18" w:space="0" w:color="A5A5A5"/>
            </w:tcBorders>
          </w:tcPr>
          <w:p w:rsidR="00EA1F74" w:rsidRDefault="00FC1CE8">
            <w:pPr>
              <w:pStyle w:val="TableParagraph"/>
              <w:spacing w:before="3" w:line="252" w:lineRule="auto"/>
              <w:ind w:left="109" w:right="212"/>
              <w:rPr>
                <w:sz w:val="19"/>
              </w:rPr>
            </w:pPr>
            <w:r>
              <w:rPr>
                <w:w w:val="105"/>
                <w:sz w:val="19"/>
              </w:rPr>
              <w:t>Report ID</w:t>
            </w:r>
          </w:p>
        </w:tc>
        <w:tc>
          <w:tcPr>
            <w:tcW w:w="9547" w:type="dxa"/>
            <w:tcBorders>
              <w:bottom w:val="single" w:sz="18" w:space="0" w:color="A5A5A5"/>
            </w:tcBorders>
          </w:tcPr>
          <w:p w:rsidR="00EA1F74" w:rsidRDefault="00FC1CE8">
            <w:pPr>
              <w:pStyle w:val="TableParagraph"/>
              <w:spacing w:before="3"/>
              <w:ind w:left="109"/>
              <w:rPr>
                <w:sz w:val="19"/>
              </w:rPr>
            </w:pPr>
            <w:r>
              <w:rPr>
                <w:w w:val="105"/>
                <w:sz w:val="19"/>
              </w:rPr>
              <w:t>Underlying causes of death by ICD subchapter or other level</w:t>
            </w:r>
          </w:p>
        </w:tc>
      </w:tr>
      <w:tr w:rsidR="00EA1F74" w:rsidTr="00A85C4E">
        <w:trPr>
          <w:trHeight w:val="2734"/>
        </w:trPr>
        <w:tc>
          <w:tcPr>
            <w:tcW w:w="960" w:type="dxa"/>
            <w:tcBorders>
              <w:top w:val="single" w:sz="18" w:space="0" w:color="A5A5A5"/>
            </w:tcBorders>
            <w:shd w:val="clear" w:color="auto" w:fill="F2F2F2" w:themeFill="background1" w:themeFillShade="F2"/>
          </w:tcPr>
          <w:p w:rsidR="00EA1F74" w:rsidRDefault="00FC1CE8">
            <w:pPr>
              <w:pStyle w:val="TableParagraph"/>
              <w:spacing w:before="8" w:line="316" w:lineRule="auto"/>
              <w:ind w:left="109" w:right="316"/>
              <w:rPr>
                <w:b/>
                <w:sz w:val="19"/>
              </w:rPr>
            </w:pPr>
            <w:r>
              <w:rPr>
                <w:b/>
                <w:w w:val="105"/>
                <w:sz w:val="19"/>
              </w:rPr>
              <w:t>VIC 17-18</w:t>
            </w:r>
          </w:p>
        </w:tc>
        <w:tc>
          <w:tcPr>
            <w:tcW w:w="9547" w:type="dxa"/>
            <w:tcBorders>
              <w:top w:val="single" w:sz="18" w:space="0" w:color="A5A5A5"/>
            </w:tcBorders>
            <w:shd w:val="clear" w:color="auto" w:fill="F2F2F2" w:themeFill="background1" w:themeFillShade="F2"/>
          </w:tcPr>
          <w:p w:rsidR="00EA1F74" w:rsidRDefault="00FC1CE8">
            <w:pPr>
              <w:pStyle w:val="TableParagraph"/>
              <w:spacing w:before="8" w:line="252" w:lineRule="auto"/>
              <w:ind w:left="109"/>
              <w:rPr>
                <w:sz w:val="19"/>
              </w:rPr>
            </w:pPr>
            <w:r>
              <w:rPr>
                <w:w w:val="105"/>
                <w:sz w:val="19"/>
              </w:rPr>
              <w:t>ICD sub-chapter causes of death were not systematically or quantifiably described in this report. The following patterns relevant to the ICD Sub-chapter level deaths were described:</w:t>
            </w:r>
          </w:p>
          <w:p w:rsidR="00EA1F74" w:rsidRDefault="00FC1CE8">
            <w:pPr>
              <w:pStyle w:val="TableParagraph"/>
              <w:numPr>
                <w:ilvl w:val="0"/>
                <w:numId w:val="31"/>
              </w:numPr>
              <w:tabs>
                <w:tab w:val="left" w:pos="469"/>
                <w:tab w:val="left" w:pos="470"/>
              </w:tabs>
              <w:spacing w:before="61" w:line="249" w:lineRule="auto"/>
              <w:ind w:left="469" w:right="1050"/>
              <w:rPr>
                <w:sz w:val="19"/>
              </w:rPr>
            </w:pPr>
            <w:r>
              <w:rPr>
                <w:b/>
                <w:w w:val="105"/>
                <w:sz w:val="19"/>
              </w:rPr>
              <w:t>respiratory system diseases</w:t>
            </w:r>
            <w:r>
              <w:rPr>
                <w:w w:val="105"/>
                <w:sz w:val="19"/>
              </w:rPr>
              <w:t>: mainly aspiration pneumonia (15%) and pneumonia (% not specified). This was the most common category of death for males and</w:t>
            </w:r>
            <w:r>
              <w:rPr>
                <w:spacing w:val="-4"/>
                <w:w w:val="105"/>
                <w:sz w:val="19"/>
              </w:rPr>
              <w:t xml:space="preserve"> </w:t>
            </w:r>
            <w:r>
              <w:rPr>
                <w:w w:val="105"/>
                <w:sz w:val="19"/>
              </w:rPr>
              <w:t>females</w:t>
            </w:r>
          </w:p>
          <w:p w:rsidR="00EA1F74" w:rsidRDefault="00FC1CE8">
            <w:pPr>
              <w:pStyle w:val="TableParagraph"/>
              <w:numPr>
                <w:ilvl w:val="0"/>
                <w:numId w:val="31"/>
              </w:numPr>
              <w:tabs>
                <w:tab w:val="left" w:pos="469"/>
                <w:tab w:val="left" w:pos="470"/>
              </w:tabs>
              <w:spacing w:before="6" w:line="244" w:lineRule="auto"/>
              <w:ind w:left="469" w:right="1307"/>
              <w:rPr>
                <w:sz w:val="19"/>
              </w:rPr>
            </w:pPr>
            <w:r>
              <w:rPr>
                <w:b/>
                <w:w w:val="105"/>
                <w:sz w:val="19"/>
              </w:rPr>
              <w:t>circulatory system diseases</w:t>
            </w:r>
            <w:r>
              <w:rPr>
                <w:w w:val="105"/>
                <w:sz w:val="19"/>
              </w:rPr>
              <w:t>: mainly ischaemic heart disease (% not specified). Males overrepresented females for circulatory system</w:t>
            </w:r>
            <w:r>
              <w:rPr>
                <w:spacing w:val="4"/>
                <w:w w:val="105"/>
                <w:sz w:val="19"/>
              </w:rPr>
              <w:t xml:space="preserve"> </w:t>
            </w:r>
            <w:r>
              <w:rPr>
                <w:w w:val="105"/>
                <w:sz w:val="19"/>
              </w:rPr>
              <w:t>deaths</w:t>
            </w:r>
          </w:p>
          <w:p w:rsidR="00EA1F74" w:rsidRDefault="00FC1CE8">
            <w:pPr>
              <w:pStyle w:val="TableParagraph"/>
              <w:numPr>
                <w:ilvl w:val="0"/>
                <w:numId w:val="31"/>
              </w:numPr>
              <w:tabs>
                <w:tab w:val="left" w:pos="469"/>
                <w:tab w:val="left" w:pos="470"/>
              </w:tabs>
              <w:spacing w:before="10"/>
              <w:ind w:hanging="361"/>
              <w:rPr>
                <w:sz w:val="19"/>
              </w:rPr>
            </w:pPr>
            <w:r>
              <w:rPr>
                <w:b/>
                <w:w w:val="105"/>
                <w:sz w:val="19"/>
              </w:rPr>
              <w:t>neoplasms</w:t>
            </w:r>
            <w:r>
              <w:rPr>
                <w:w w:val="105"/>
                <w:sz w:val="19"/>
              </w:rPr>
              <w:t>: mainly abdominal and bowel cancers (% not</w:t>
            </w:r>
            <w:r>
              <w:rPr>
                <w:spacing w:val="4"/>
                <w:w w:val="105"/>
                <w:sz w:val="19"/>
              </w:rPr>
              <w:t xml:space="preserve"> </w:t>
            </w:r>
            <w:r>
              <w:rPr>
                <w:w w:val="105"/>
                <w:sz w:val="19"/>
              </w:rPr>
              <w:t>specified)</w:t>
            </w:r>
          </w:p>
          <w:p w:rsidR="00EA1F74" w:rsidRDefault="00FC1CE8">
            <w:pPr>
              <w:pStyle w:val="TableParagraph"/>
              <w:numPr>
                <w:ilvl w:val="0"/>
                <w:numId w:val="31"/>
              </w:numPr>
              <w:tabs>
                <w:tab w:val="left" w:pos="469"/>
                <w:tab w:val="left" w:pos="470"/>
              </w:tabs>
              <w:spacing w:before="12"/>
              <w:ind w:hanging="361"/>
              <w:rPr>
                <w:sz w:val="19"/>
              </w:rPr>
            </w:pPr>
            <w:r>
              <w:rPr>
                <w:b/>
                <w:w w:val="105"/>
                <w:sz w:val="19"/>
              </w:rPr>
              <w:t>external causes</w:t>
            </w:r>
            <w:r>
              <w:rPr>
                <w:w w:val="105"/>
                <w:sz w:val="19"/>
              </w:rPr>
              <w:t>: choking on food accounted for all external deaths</w:t>
            </w:r>
            <w:r>
              <w:rPr>
                <w:spacing w:val="2"/>
                <w:w w:val="105"/>
                <w:sz w:val="19"/>
              </w:rPr>
              <w:t xml:space="preserve"> </w:t>
            </w:r>
            <w:r>
              <w:rPr>
                <w:w w:val="105"/>
                <w:sz w:val="19"/>
              </w:rPr>
              <w:t>(6%)</w:t>
            </w:r>
          </w:p>
          <w:p w:rsidR="00EA1F74" w:rsidRDefault="00FC1CE8">
            <w:pPr>
              <w:pStyle w:val="TableParagraph"/>
              <w:numPr>
                <w:ilvl w:val="0"/>
                <w:numId w:val="31"/>
              </w:numPr>
              <w:tabs>
                <w:tab w:val="left" w:pos="469"/>
                <w:tab w:val="left" w:pos="470"/>
              </w:tabs>
              <w:spacing w:before="12"/>
              <w:ind w:hanging="361"/>
              <w:rPr>
                <w:sz w:val="19"/>
              </w:rPr>
            </w:pPr>
            <w:r>
              <w:rPr>
                <w:b/>
                <w:w w:val="105"/>
                <w:sz w:val="19"/>
              </w:rPr>
              <w:t>nervous system diseases</w:t>
            </w:r>
            <w:r>
              <w:rPr>
                <w:w w:val="105"/>
                <w:sz w:val="19"/>
              </w:rPr>
              <w:t>: primarily sudden unexplained death in epilepsy (% not</w:t>
            </w:r>
            <w:r>
              <w:rPr>
                <w:spacing w:val="-6"/>
                <w:w w:val="105"/>
                <w:sz w:val="19"/>
              </w:rPr>
              <w:t xml:space="preserve"> </w:t>
            </w:r>
            <w:r>
              <w:rPr>
                <w:w w:val="105"/>
                <w:sz w:val="19"/>
              </w:rPr>
              <w:t>specified)</w:t>
            </w:r>
          </w:p>
          <w:p w:rsidR="00EA1F74" w:rsidRDefault="00FC1CE8">
            <w:pPr>
              <w:pStyle w:val="TableParagraph"/>
              <w:numPr>
                <w:ilvl w:val="0"/>
                <w:numId w:val="31"/>
              </w:numPr>
              <w:tabs>
                <w:tab w:val="left" w:pos="469"/>
                <w:tab w:val="left" w:pos="470"/>
              </w:tabs>
              <w:spacing w:before="7"/>
              <w:ind w:hanging="361"/>
              <w:rPr>
                <w:sz w:val="19"/>
              </w:rPr>
            </w:pPr>
            <w:r>
              <w:rPr>
                <w:b/>
                <w:w w:val="105"/>
                <w:sz w:val="19"/>
              </w:rPr>
              <w:t>unascertained</w:t>
            </w:r>
            <w:r>
              <w:rPr>
                <w:b/>
                <w:spacing w:val="2"/>
                <w:w w:val="105"/>
                <w:sz w:val="19"/>
              </w:rPr>
              <w:t xml:space="preserve"> </w:t>
            </w:r>
            <w:r>
              <w:rPr>
                <w:w w:val="105"/>
                <w:sz w:val="19"/>
              </w:rPr>
              <w:t>(6%).</w:t>
            </w:r>
          </w:p>
        </w:tc>
      </w:tr>
      <w:tr w:rsidR="00EA1F74">
        <w:trPr>
          <w:trHeight w:val="1491"/>
        </w:trPr>
        <w:tc>
          <w:tcPr>
            <w:tcW w:w="960" w:type="dxa"/>
          </w:tcPr>
          <w:p w:rsidR="00EA1F74" w:rsidRDefault="00FC1CE8">
            <w:pPr>
              <w:pStyle w:val="TableParagraph"/>
              <w:spacing w:before="3" w:line="316" w:lineRule="auto"/>
              <w:ind w:left="109" w:right="316"/>
              <w:rPr>
                <w:b/>
                <w:sz w:val="19"/>
              </w:rPr>
            </w:pPr>
            <w:r>
              <w:rPr>
                <w:b/>
                <w:w w:val="105"/>
                <w:sz w:val="19"/>
              </w:rPr>
              <w:t>VIC 07-16</w:t>
            </w:r>
          </w:p>
        </w:tc>
        <w:tc>
          <w:tcPr>
            <w:tcW w:w="9547" w:type="dxa"/>
          </w:tcPr>
          <w:p w:rsidR="00EA1F74" w:rsidRDefault="00FC1CE8">
            <w:pPr>
              <w:pStyle w:val="TableParagraph"/>
              <w:numPr>
                <w:ilvl w:val="0"/>
                <w:numId w:val="30"/>
              </w:numPr>
              <w:tabs>
                <w:tab w:val="left" w:pos="469"/>
                <w:tab w:val="left" w:pos="470"/>
              </w:tabs>
              <w:spacing w:before="5" w:line="244" w:lineRule="auto"/>
              <w:ind w:left="469" w:right="673"/>
              <w:rPr>
                <w:sz w:val="19"/>
              </w:rPr>
            </w:pPr>
            <w:r>
              <w:rPr>
                <w:b/>
                <w:w w:val="105"/>
                <w:sz w:val="19"/>
              </w:rPr>
              <w:t xml:space="preserve">Accidental choking </w:t>
            </w:r>
            <w:r>
              <w:rPr>
                <w:w w:val="105"/>
                <w:sz w:val="19"/>
              </w:rPr>
              <w:t>on food or other objects: cause of death noted in four of the seven deaths (57%) considered by the inquiry into abuse in disability</w:t>
            </w:r>
            <w:r>
              <w:rPr>
                <w:spacing w:val="5"/>
                <w:w w:val="105"/>
                <w:sz w:val="19"/>
              </w:rPr>
              <w:t xml:space="preserve"> </w:t>
            </w:r>
            <w:r>
              <w:rPr>
                <w:w w:val="105"/>
                <w:sz w:val="19"/>
              </w:rPr>
              <w:t>services</w:t>
            </w:r>
          </w:p>
          <w:p w:rsidR="00EA1F74" w:rsidRDefault="00FC1CE8">
            <w:pPr>
              <w:pStyle w:val="TableParagraph"/>
              <w:numPr>
                <w:ilvl w:val="0"/>
                <w:numId w:val="30"/>
              </w:numPr>
              <w:tabs>
                <w:tab w:val="left" w:pos="469"/>
                <w:tab w:val="left" w:pos="470"/>
              </w:tabs>
              <w:spacing w:before="10"/>
              <w:ind w:hanging="361"/>
              <w:rPr>
                <w:sz w:val="19"/>
              </w:rPr>
            </w:pPr>
            <w:r>
              <w:rPr>
                <w:b/>
                <w:w w:val="105"/>
                <w:sz w:val="19"/>
              </w:rPr>
              <w:t xml:space="preserve">Physical restraint </w:t>
            </w:r>
            <w:r>
              <w:rPr>
                <w:w w:val="105"/>
                <w:sz w:val="19"/>
              </w:rPr>
              <w:t>(1</w:t>
            </w:r>
            <w:r>
              <w:rPr>
                <w:spacing w:val="2"/>
                <w:w w:val="105"/>
                <w:sz w:val="19"/>
              </w:rPr>
              <w:t xml:space="preserve"> </w:t>
            </w:r>
            <w:r>
              <w:rPr>
                <w:w w:val="105"/>
                <w:sz w:val="19"/>
              </w:rPr>
              <w:t>death)</w:t>
            </w:r>
          </w:p>
          <w:p w:rsidR="00EA1F74" w:rsidRDefault="00FC1CE8">
            <w:pPr>
              <w:pStyle w:val="TableParagraph"/>
              <w:numPr>
                <w:ilvl w:val="0"/>
                <w:numId w:val="30"/>
              </w:numPr>
              <w:tabs>
                <w:tab w:val="left" w:pos="469"/>
                <w:tab w:val="left" w:pos="470"/>
              </w:tabs>
              <w:spacing w:before="12"/>
              <w:ind w:hanging="361"/>
              <w:rPr>
                <w:sz w:val="19"/>
              </w:rPr>
            </w:pPr>
            <w:r>
              <w:rPr>
                <w:b/>
                <w:w w:val="105"/>
                <w:sz w:val="19"/>
              </w:rPr>
              <w:t xml:space="preserve">Inadequate supervision </w:t>
            </w:r>
            <w:r>
              <w:rPr>
                <w:w w:val="105"/>
                <w:sz w:val="19"/>
              </w:rPr>
              <w:t>(1</w:t>
            </w:r>
            <w:r>
              <w:rPr>
                <w:spacing w:val="2"/>
                <w:w w:val="105"/>
                <w:sz w:val="19"/>
              </w:rPr>
              <w:t xml:space="preserve"> </w:t>
            </w:r>
            <w:r>
              <w:rPr>
                <w:w w:val="105"/>
                <w:sz w:val="19"/>
              </w:rPr>
              <w:t>death)</w:t>
            </w:r>
          </w:p>
          <w:p w:rsidR="00EA1F74" w:rsidRDefault="00FC1CE8">
            <w:pPr>
              <w:pStyle w:val="TableParagraph"/>
              <w:numPr>
                <w:ilvl w:val="0"/>
                <w:numId w:val="30"/>
              </w:numPr>
              <w:tabs>
                <w:tab w:val="left" w:pos="469"/>
                <w:tab w:val="left" w:pos="470"/>
              </w:tabs>
              <w:spacing w:before="12"/>
              <w:ind w:hanging="361"/>
              <w:rPr>
                <w:sz w:val="19"/>
              </w:rPr>
            </w:pPr>
            <w:r>
              <w:rPr>
                <w:b/>
                <w:w w:val="105"/>
                <w:sz w:val="19"/>
              </w:rPr>
              <w:t xml:space="preserve">Inappropriate access to medication </w:t>
            </w:r>
            <w:r>
              <w:rPr>
                <w:w w:val="105"/>
                <w:sz w:val="19"/>
              </w:rPr>
              <w:t>(1</w:t>
            </w:r>
            <w:r>
              <w:rPr>
                <w:spacing w:val="4"/>
                <w:w w:val="105"/>
                <w:sz w:val="19"/>
              </w:rPr>
              <w:t xml:space="preserve"> </w:t>
            </w:r>
            <w:r>
              <w:rPr>
                <w:w w:val="105"/>
                <w:sz w:val="19"/>
              </w:rPr>
              <w:t>death)</w:t>
            </w:r>
          </w:p>
        </w:tc>
      </w:tr>
      <w:tr w:rsidR="00EA1F74" w:rsidTr="00A85C4E">
        <w:trPr>
          <w:trHeight w:val="4088"/>
        </w:trPr>
        <w:tc>
          <w:tcPr>
            <w:tcW w:w="960" w:type="dxa"/>
            <w:shd w:val="clear" w:color="auto" w:fill="F2F2F2" w:themeFill="background1" w:themeFillShade="F2"/>
          </w:tcPr>
          <w:p w:rsidR="00EA1F74" w:rsidRDefault="00FC1CE8">
            <w:pPr>
              <w:pStyle w:val="TableParagraph"/>
              <w:spacing w:before="3" w:line="321" w:lineRule="auto"/>
              <w:ind w:left="109" w:right="316"/>
              <w:rPr>
                <w:b/>
                <w:sz w:val="19"/>
              </w:rPr>
            </w:pPr>
            <w:r>
              <w:rPr>
                <w:b/>
                <w:w w:val="105"/>
                <w:sz w:val="19"/>
              </w:rPr>
              <w:t>QLD 09-14</w:t>
            </w:r>
          </w:p>
        </w:tc>
        <w:tc>
          <w:tcPr>
            <w:tcW w:w="9547" w:type="dxa"/>
            <w:shd w:val="clear" w:color="auto" w:fill="F2F2F2" w:themeFill="background1" w:themeFillShade="F2"/>
          </w:tcPr>
          <w:p w:rsidR="00EA1F74" w:rsidRDefault="00FC1CE8">
            <w:pPr>
              <w:pStyle w:val="TableParagraph"/>
              <w:spacing w:before="3"/>
              <w:ind w:left="109"/>
              <w:rPr>
                <w:sz w:val="19"/>
              </w:rPr>
            </w:pPr>
            <w:r>
              <w:rPr>
                <w:b/>
                <w:w w:val="105"/>
                <w:sz w:val="19"/>
              </w:rPr>
              <w:t>Diseases of the respiratory system</w:t>
            </w:r>
            <w:r>
              <w:rPr>
                <w:w w:val="105"/>
                <w:sz w:val="19"/>
              </w:rPr>
              <w:t>:</w:t>
            </w:r>
          </w:p>
          <w:p w:rsidR="00EA1F74" w:rsidRDefault="00FC1CE8">
            <w:pPr>
              <w:pStyle w:val="TableParagraph"/>
              <w:numPr>
                <w:ilvl w:val="0"/>
                <w:numId w:val="29"/>
              </w:numPr>
              <w:tabs>
                <w:tab w:val="left" w:pos="469"/>
                <w:tab w:val="left" w:pos="470"/>
              </w:tabs>
              <w:spacing w:before="76" w:line="244" w:lineRule="auto"/>
              <w:ind w:left="469" w:right="320"/>
              <w:rPr>
                <w:sz w:val="19"/>
              </w:rPr>
            </w:pPr>
            <w:r>
              <w:rPr>
                <w:w w:val="105"/>
                <w:sz w:val="19"/>
              </w:rPr>
              <w:t>influenza and pneumonia (namely aspiration pneumonia, pneumonia, bronchopneumonia and HN1 Influenza) (24 individuals/</w:t>
            </w:r>
            <w:r>
              <w:rPr>
                <w:spacing w:val="1"/>
                <w:w w:val="105"/>
                <w:sz w:val="19"/>
              </w:rPr>
              <w:t xml:space="preserve"> </w:t>
            </w:r>
            <w:r>
              <w:rPr>
                <w:w w:val="105"/>
                <w:sz w:val="19"/>
              </w:rPr>
              <w:t>33%)</w:t>
            </w:r>
          </w:p>
          <w:p w:rsidR="00EA1F74" w:rsidRDefault="00FC1CE8">
            <w:pPr>
              <w:pStyle w:val="TableParagraph"/>
              <w:numPr>
                <w:ilvl w:val="0"/>
                <w:numId w:val="29"/>
              </w:numPr>
              <w:tabs>
                <w:tab w:val="left" w:pos="469"/>
                <w:tab w:val="left" w:pos="470"/>
              </w:tabs>
              <w:spacing w:before="11" w:line="249" w:lineRule="auto"/>
              <w:ind w:left="469" w:right="630"/>
              <w:rPr>
                <w:sz w:val="19"/>
              </w:rPr>
            </w:pPr>
            <w:r>
              <w:rPr>
                <w:w w:val="105"/>
                <w:sz w:val="19"/>
              </w:rPr>
              <w:t>other respiratory diseases primarily affecting the interstitium (namely interstitial lung disease) (1 individual).</w:t>
            </w:r>
          </w:p>
          <w:p w:rsidR="00EA1F74" w:rsidRDefault="00EA1F74">
            <w:pPr>
              <w:pStyle w:val="TableParagraph"/>
              <w:spacing w:before="4"/>
              <w:rPr>
                <w:sz w:val="25"/>
              </w:rPr>
            </w:pPr>
          </w:p>
          <w:p w:rsidR="00EA1F74" w:rsidRDefault="00FC1CE8">
            <w:pPr>
              <w:pStyle w:val="TableParagraph"/>
              <w:ind w:left="109"/>
              <w:rPr>
                <w:sz w:val="19"/>
              </w:rPr>
            </w:pPr>
            <w:r>
              <w:rPr>
                <w:b/>
                <w:w w:val="105"/>
                <w:sz w:val="19"/>
              </w:rPr>
              <w:t>Diseases of the circulatory system</w:t>
            </w:r>
            <w:r>
              <w:rPr>
                <w:w w:val="105"/>
                <w:sz w:val="19"/>
              </w:rPr>
              <w:t>:</w:t>
            </w:r>
          </w:p>
          <w:p w:rsidR="00EA1F74" w:rsidRDefault="00FC1CE8">
            <w:pPr>
              <w:pStyle w:val="TableParagraph"/>
              <w:numPr>
                <w:ilvl w:val="0"/>
                <w:numId w:val="29"/>
              </w:numPr>
              <w:tabs>
                <w:tab w:val="left" w:pos="469"/>
                <w:tab w:val="left" w:pos="470"/>
              </w:tabs>
              <w:spacing w:before="76"/>
              <w:ind w:hanging="361"/>
              <w:rPr>
                <w:sz w:val="19"/>
              </w:rPr>
            </w:pPr>
            <w:r>
              <w:rPr>
                <w:w w:val="105"/>
                <w:sz w:val="19"/>
              </w:rPr>
              <w:t>Ischaemic heart disease (8 individuals;</w:t>
            </w:r>
            <w:r>
              <w:rPr>
                <w:spacing w:val="3"/>
                <w:w w:val="105"/>
                <w:sz w:val="19"/>
              </w:rPr>
              <w:t xml:space="preserve"> </w:t>
            </w:r>
            <w:r>
              <w:rPr>
                <w:w w:val="105"/>
                <w:sz w:val="19"/>
              </w:rPr>
              <w:t>11%)</w:t>
            </w:r>
          </w:p>
          <w:p w:rsidR="00EA1F74" w:rsidRDefault="00FC1CE8">
            <w:pPr>
              <w:pStyle w:val="TableParagraph"/>
              <w:numPr>
                <w:ilvl w:val="0"/>
                <w:numId w:val="29"/>
              </w:numPr>
              <w:tabs>
                <w:tab w:val="left" w:pos="469"/>
                <w:tab w:val="left" w:pos="470"/>
              </w:tabs>
              <w:spacing w:before="7"/>
              <w:ind w:hanging="361"/>
              <w:rPr>
                <w:sz w:val="19"/>
              </w:rPr>
            </w:pPr>
            <w:r>
              <w:rPr>
                <w:w w:val="105"/>
                <w:sz w:val="19"/>
              </w:rPr>
              <w:t>pulmonary heart disease (1</w:t>
            </w:r>
            <w:r>
              <w:rPr>
                <w:spacing w:val="3"/>
                <w:w w:val="105"/>
                <w:sz w:val="19"/>
              </w:rPr>
              <w:t xml:space="preserve"> </w:t>
            </w:r>
            <w:r>
              <w:rPr>
                <w:w w:val="105"/>
                <w:sz w:val="19"/>
              </w:rPr>
              <w:t>individual)</w:t>
            </w:r>
          </w:p>
          <w:p w:rsidR="00EA1F74" w:rsidRDefault="00FC1CE8">
            <w:pPr>
              <w:pStyle w:val="TableParagraph"/>
              <w:numPr>
                <w:ilvl w:val="0"/>
                <w:numId w:val="29"/>
              </w:numPr>
              <w:tabs>
                <w:tab w:val="left" w:pos="469"/>
                <w:tab w:val="left" w:pos="470"/>
              </w:tabs>
              <w:spacing w:before="13"/>
              <w:ind w:hanging="361"/>
              <w:rPr>
                <w:sz w:val="19"/>
              </w:rPr>
            </w:pPr>
            <w:r>
              <w:rPr>
                <w:w w:val="105"/>
                <w:sz w:val="19"/>
              </w:rPr>
              <w:t>other forms of heart disease (5</w:t>
            </w:r>
            <w:r>
              <w:rPr>
                <w:spacing w:val="3"/>
                <w:w w:val="105"/>
                <w:sz w:val="19"/>
              </w:rPr>
              <w:t xml:space="preserve"> </w:t>
            </w:r>
            <w:r>
              <w:rPr>
                <w:w w:val="105"/>
                <w:sz w:val="19"/>
              </w:rPr>
              <w:t>individuals)</w:t>
            </w:r>
          </w:p>
          <w:p w:rsidR="00EA1F74" w:rsidRDefault="00FC1CE8">
            <w:pPr>
              <w:pStyle w:val="TableParagraph"/>
              <w:numPr>
                <w:ilvl w:val="0"/>
                <w:numId w:val="29"/>
              </w:numPr>
              <w:tabs>
                <w:tab w:val="left" w:pos="469"/>
                <w:tab w:val="left" w:pos="470"/>
              </w:tabs>
              <w:spacing w:before="12"/>
              <w:ind w:hanging="361"/>
              <w:rPr>
                <w:sz w:val="19"/>
              </w:rPr>
            </w:pPr>
            <w:r>
              <w:rPr>
                <w:w w:val="105"/>
                <w:sz w:val="19"/>
              </w:rPr>
              <w:t>diseases of the veins and lymphatic vessels (namely deep vein thrombosis) (2</w:t>
            </w:r>
            <w:r>
              <w:rPr>
                <w:spacing w:val="-3"/>
                <w:w w:val="105"/>
                <w:sz w:val="19"/>
              </w:rPr>
              <w:t xml:space="preserve"> </w:t>
            </w:r>
            <w:r>
              <w:rPr>
                <w:w w:val="105"/>
                <w:sz w:val="19"/>
              </w:rPr>
              <w:t>individuals).</w:t>
            </w:r>
          </w:p>
          <w:p w:rsidR="00EA1F74" w:rsidRDefault="00EA1F74">
            <w:pPr>
              <w:pStyle w:val="TableParagraph"/>
              <w:spacing w:before="10"/>
              <w:rPr>
                <w:sz w:val="25"/>
              </w:rPr>
            </w:pPr>
          </w:p>
          <w:p w:rsidR="00EA1F74" w:rsidRDefault="00FC1CE8">
            <w:pPr>
              <w:pStyle w:val="TableParagraph"/>
              <w:spacing w:before="1"/>
              <w:ind w:left="109"/>
              <w:rPr>
                <w:sz w:val="19"/>
              </w:rPr>
            </w:pPr>
            <w:r>
              <w:rPr>
                <w:b/>
                <w:w w:val="105"/>
                <w:sz w:val="19"/>
              </w:rPr>
              <w:t>Diseases of the nervous system</w:t>
            </w:r>
            <w:r>
              <w:rPr>
                <w:w w:val="105"/>
                <w:sz w:val="19"/>
              </w:rPr>
              <w:t>:</w:t>
            </w:r>
          </w:p>
          <w:p w:rsidR="00EA1F74" w:rsidRDefault="00FC1CE8">
            <w:pPr>
              <w:pStyle w:val="TableParagraph"/>
              <w:numPr>
                <w:ilvl w:val="0"/>
                <w:numId w:val="29"/>
              </w:numPr>
              <w:tabs>
                <w:tab w:val="left" w:pos="469"/>
                <w:tab w:val="left" w:pos="470"/>
              </w:tabs>
              <w:spacing w:before="71"/>
              <w:ind w:hanging="361"/>
              <w:rPr>
                <w:sz w:val="19"/>
              </w:rPr>
            </w:pPr>
            <w:r>
              <w:rPr>
                <w:w w:val="105"/>
                <w:sz w:val="19"/>
              </w:rPr>
              <w:t>episodic and paroxysmal disorders (namely epilepsy) (7 individuals;</w:t>
            </w:r>
            <w:r>
              <w:rPr>
                <w:spacing w:val="2"/>
                <w:w w:val="105"/>
                <w:sz w:val="19"/>
              </w:rPr>
              <w:t xml:space="preserve"> </w:t>
            </w:r>
            <w:r>
              <w:rPr>
                <w:w w:val="105"/>
                <w:sz w:val="19"/>
              </w:rPr>
              <w:t>10%)</w:t>
            </w:r>
          </w:p>
          <w:p w:rsidR="00EA1F74" w:rsidRDefault="00FC1CE8">
            <w:pPr>
              <w:pStyle w:val="TableParagraph"/>
              <w:numPr>
                <w:ilvl w:val="0"/>
                <w:numId w:val="29"/>
              </w:numPr>
              <w:tabs>
                <w:tab w:val="left" w:pos="469"/>
                <w:tab w:val="left" w:pos="470"/>
              </w:tabs>
              <w:spacing w:before="12" w:line="230" w:lineRule="atLeast"/>
              <w:ind w:left="469" w:right="454"/>
              <w:rPr>
                <w:sz w:val="19"/>
              </w:rPr>
            </w:pPr>
            <w:r>
              <w:rPr>
                <w:w w:val="105"/>
                <w:sz w:val="19"/>
              </w:rPr>
              <w:t>systemic atrophies primary affecting the central nervous system (Amyotrophic lateral sclerosis) (1 individual).</w:t>
            </w:r>
          </w:p>
        </w:tc>
      </w:tr>
    </w:tbl>
    <w:p w:rsidR="00EA1F74" w:rsidRDefault="00EA1F74" w:rsidP="00FA1F07">
      <w:pPr>
        <w:pStyle w:val="BodyText"/>
        <w:ind w:left="0"/>
        <w:rPr>
          <w:sz w:val="19"/>
        </w:rPr>
      </w:pPr>
    </w:p>
    <w:tbl>
      <w:tblPr>
        <w:tblW w:w="0" w:type="auto"/>
        <w:tblInd w:w="393"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rsidTr="00A85C4E">
        <w:trPr>
          <w:trHeight w:val="6243"/>
        </w:trPr>
        <w:tc>
          <w:tcPr>
            <w:tcW w:w="960" w:type="dxa"/>
            <w:shd w:val="clear" w:color="auto" w:fill="F2F2F2" w:themeFill="background1" w:themeFillShade="F2"/>
          </w:tcPr>
          <w:p w:rsidR="00EA1F74" w:rsidRDefault="00EA1F74">
            <w:pPr>
              <w:pStyle w:val="TableParagraph"/>
              <w:rPr>
                <w:rFonts w:ascii="Times New Roman"/>
                <w:sz w:val="18"/>
              </w:rPr>
            </w:pPr>
          </w:p>
        </w:tc>
        <w:tc>
          <w:tcPr>
            <w:tcW w:w="9547" w:type="dxa"/>
            <w:shd w:val="clear" w:color="auto" w:fill="F2F2F2" w:themeFill="background1" w:themeFillShade="F2"/>
          </w:tcPr>
          <w:p w:rsidR="00EA1F74" w:rsidRDefault="00EA1F74">
            <w:pPr>
              <w:pStyle w:val="TableParagraph"/>
              <w:spacing w:before="9"/>
              <w:rPr>
                <w:sz w:val="25"/>
              </w:rPr>
            </w:pPr>
          </w:p>
          <w:p w:rsidR="00EA1F74" w:rsidRDefault="00FC1CE8">
            <w:pPr>
              <w:pStyle w:val="TableParagraph"/>
              <w:ind w:left="109"/>
              <w:rPr>
                <w:sz w:val="19"/>
              </w:rPr>
            </w:pPr>
            <w:r>
              <w:rPr>
                <w:b/>
                <w:w w:val="105"/>
                <w:sz w:val="19"/>
              </w:rPr>
              <w:t>Neoplasms</w:t>
            </w:r>
            <w:r>
              <w:rPr>
                <w:w w:val="105"/>
                <w:sz w:val="19"/>
              </w:rPr>
              <w:t>:</w:t>
            </w:r>
          </w:p>
          <w:p w:rsidR="00EA1F74" w:rsidRDefault="00FC1CE8">
            <w:pPr>
              <w:pStyle w:val="TableParagraph"/>
              <w:numPr>
                <w:ilvl w:val="0"/>
                <w:numId w:val="28"/>
              </w:numPr>
              <w:tabs>
                <w:tab w:val="left" w:pos="469"/>
                <w:tab w:val="left" w:pos="470"/>
              </w:tabs>
              <w:spacing w:before="71" w:line="249" w:lineRule="auto"/>
              <w:ind w:left="469" w:right="797"/>
              <w:rPr>
                <w:sz w:val="19"/>
              </w:rPr>
            </w:pPr>
            <w:r>
              <w:rPr>
                <w:w w:val="105"/>
                <w:sz w:val="19"/>
              </w:rPr>
              <w:t>malignant neoplasms of the digestive organs (namely pancreatic, colorectal and oesophageal cancer) (3 individuals;</w:t>
            </w:r>
            <w:r>
              <w:rPr>
                <w:spacing w:val="1"/>
                <w:w w:val="105"/>
                <w:sz w:val="19"/>
              </w:rPr>
              <w:t xml:space="preserve"> </w:t>
            </w:r>
            <w:r>
              <w:rPr>
                <w:w w:val="105"/>
                <w:sz w:val="19"/>
              </w:rPr>
              <w:t>4%)</w:t>
            </w:r>
          </w:p>
          <w:p w:rsidR="00EA1F74" w:rsidRDefault="00FC1CE8">
            <w:pPr>
              <w:pStyle w:val="TableParagraph"/>
              <w:numPr>
                <w:ilvl w:val="0"/>
                <w:numId w:val="28"/>
              </w:numPr>
              <w:tabs>
                <w:tab w:val="left" w:pos="469"/>
                <w:tab w:val="left" w:pos="470"/>
              </w:tabs>
              <w:spacing w:before="6"/>
              <w:ind w:hanging="361"/>
              <w:rPr>
                <w:sz w:val="19"/>
              </w:rPr>
            </w:pPr>
            <w:r>
              <w:rPr>
                <w:w w:val="105"/>
                <w:sz w:val="19"/>
              </w:rPr>
              <w:t>malignant neoplasms of thyroid and other endocrine glands (thyroid cancer) (1</w:t>
            </w:r>
            <w:r>
              <w:rPr>
                <w:spacing w:val="-6"/>
                <w:w w:val="105"/>
                <w:sz w:val="19"/>
              </w:rPr>
              <w:t xml:space="preserve"> </w:t>
            </w:r>
            <w:r>
              <w:rPr>
                <w:w w:val="105"/>
                <w:sz w:val="19"/>
              </w:rPr>
              <w:t>individual)</w:t>
            </w:r>
          </w:p>
          <w:p w:rsidR="00EA1F74" w:rsidRDefault="00FC1CE8">
            <w:pPr>
              <w:pStyle w:val="TableParagraph"/>
              <w:numPr>
                <w:ilvl w:val="0"/>
                <w:numId w:val="28"/>
              </w:numPr>
              <w:tabs>
                <w:tab w:val="left" w:pos="469"/>
                <w:tab w:val="left" w:pos="470"/>
              </w:tabs>
              <w:spacing w:before="12" w:line="244" w:lineRule="auto"/>
              <w:ind w:left="469" w:right="774"/>
              <w:rPr>
                <w:sz w:val="19"/>
              </w:rPr>
            </w:pPr>
            <w:r>
              <w:rPr>
                <w:w w:val="105"/>
                <w:sz w:val="19"/>
              </w:rPr>
              <w:t>malignant neoplasms of eye, brain and other parts of the central nervous system (Gilomatosis Cerebri) (1</w:t>
            </w:r>
            <w:r>
              <w:rPr>
                <w:spacing w:val="1"/>
                <w:w w:val="105"/>
                <w:sz w:val="19"/>
              </w:rPr>
              <w:t xml:space="preserve"> </w:t>
            </w:r>
            <w:r>
              <w:rPr>
                <w:w w:val="105"/>
                <w:sz w:val="19"/>
              </w:rPr>
              <w:t>individual)</w:t>
            </w:r>
          </w:p>
          <w:p w:rsidR="00EA1F74" w:rsidRDefault="00FC1CE8">
            <w:pPr>
              <w:pStyle w:val="TableParagraph"/>
              <w:numPr>
                <w:ilvl w:val="0"/>
                <w:numId w:val="28"/>
              </w:numPr>
              <w:tabs>
                <w:tab w:val="left" w:pos="469"/>
                <w:tab w:val="left" w:pos="470"/>
              </w:tabs>
              <w:spacing w:before="10" w:line="249" w:lineRule="auto"/>
              <w:ind w:left="469" w:right="688"/>
              <w:rPr>
                <w:sz w:val="19"/>
              </w:rPr>
            </w:pPr>
            <w:r>
              <w:rPr>
                <w:w w:val="105"/>
                <w:sz w:val="19"/>
              </w:rPr>
              <w:t>malignant neoplasms of the respiratory and intrathoracic organs (non small cell lung cancer) (1 individual)</w:t>
            </w:r>
          </w:p>
          <w:p w:rsidR="00EA1F74" w:rsidRDefault="00FC1CE8">
            <w:pPr>
              <w:pStyle w:val="TableParagraph"/>
              <w:numPr>
                <w:ilvl w:val="0"/>
                <w:numId w:val="28"/>
              </w:numPr>
              <w:tabs>
                <w:tab w:val="left" w:pos="469"/>
                <w:tab w:val="left" w:pos="470"/>
              </w:tabs>
              <w:spacing w:before="6" w:line="244" w:lineRule="auto"/>
              <w:ind w:left="469" w:right="873"/>
              <w:rPr>
                <w:sz w:val="19"/>
              </w:rPr>
            </w:pPr>
            <w:r>
              <w:rPr>
                <w:w w:val="105"/>
                <w:sz w:val="19"/>
              </w:rPr>
              <w:t>malignant neoplasms of ill defined, secondary and unspecified sites (malignancy of unknown aetiology (1</w:t>
            </w:r>
            <w:r>
              <w:rPr>
                <w:spacing w:val="2"/>
                <w:w w:val="105"/>
                <w:sz w:val="19"/>
              </w:rPr>
              <w:t xml:space="preserve"> </w:t>
            </w:r>
            <w:r>
              <w:rPr>
                <w:w w:val="105"/>
                <w:sz w:val="19"/>
              </w:rPr>
              <w:t>individual).</w:t>
            </w:r>
          </w:p>
          <w:p w:rsidR="00EA1F74" w:rsidRDefault="00EA1F74">
            <w:pPr>
              <w:pStyle w:val="TableParagraph"/>
              <w:spacing w:before="2"/>
              <w:rPr>
                <w:sz w:val="26"/>
              </w:rPr>
            </w:pPr>
          </w:p>
          <w:p w:rsidR="00EA1F74" w:rsidRDefault="00FC1CE8">
            <w:pPr>
              <w:pStyle w:val="TableParagraph"/>
              <w:ind w:left="109"/>
              <w:rPr>
                <w:sz w:val="19"/>
              </w:rPr>
            </w:pPr>
            <w:r>
              <w:rPr>
                <w:b/>
                <w:w w:val="105"/>
                <w:sz w:val="19"/>
              </w:rPr>
              <w:t>External causes</w:t>
            </w:r>
            <w:r>
              <w:rPr>
                <w:w w:val="105"/>
                <w:sz w:val="19"/>
              </w:rPr>
              <w:t>:</w:t>
            </w:r>
          </w:p>
          <w:p w:rsidR="00EA1F74" w:rsidRDefault="00FC1CE8">
            <w:pPr>
              <w:pStyle w:val="TableParagraph"/>
              <w:spacing w:before="70"/>
              <w:ind w:left="109"/>
              <w:rPr>
                <w:sz w:val="19"/>
              </w:rPr>
            </w:pPr>
            <w:r>
              <w:rPr>
                <w:w w:val="105"/>
                <w:sz w:val="19"/>
              </w:rPr>
              <w:t>These were all due to other accidental threats to breathing, namely:</w:t>
            </w:r>
          </w:p>
          <w:p w:rsidR="00EA1F74" w:rsidRDefault="00FC1CE8">
            <w:pPr>
              <w:pStyle w:val="TableParagraph"/>
              <w:numPr>
                <w:ilvl w:val="0"/>
                <w:numId w:val="28"/>
              </w:numPr>
              <w:tabs>
                <w:tab w:val="left" w:pos="469"/>
                <w:tab w:val="left" w:pos="470"/>
              </w:tabs>
              <w:spacing w:before="76"/>
              <w:ind w:hanging="361"/>
              <w:rPr>
                <w:sz w:val="19"/>
              </w:rPr>
            </w:pPr>
            <w:r>
              <w:rPr>
                <w:w w:val="105"/>
                <w:sz w:val="19"/>
              </w:rPr>
              <w:t>food bolus asphyxia or choking- 5</w:t>
            </w:r>
            <w:r>
              <w:rPr>
                <w:spacing w:val="4"/>
                <w:w w:val="105"/>
                <w:sz w:val="19"/>
              </w:rPr>
              <w:t xml:space="preserve"> </w:t>
            </w:r>
            <w:r>
              <w:rPr>
                <w:w w:val="105"/>
                <w:sz w:val="19"/>
              </w:rPr>
              <w:t>individuals</w:t>
            </w:r>
          </w:p>
          <w:p w:rsidR="00EA1F74" w:rsidRDefault="00FC1CE8">
            <w:pPr>
              <w:pStyle w:val="TableParagraph"/>
              <w:numPr>
                <w:ilvl w:val="0"/>
                <w:numId w:val="28"/>
              </w:numPr>
              <w:tabs>
                <w:tab w:val="left" w:pos="469"/>
                <w:tab w:val="left" w:pos="470"/>
              </w:tabs>
              <w:spacing w:before="7"/>
              <w:ind w:hanging="361"/>
              <w:rPr>
                <w:sz w:val="19"/>
              </w:rPr>
            </w:pPr>
            <w:r>
              <w:rPr>
                <w:w w:val="105"/>
                <w:sz w:val="19"/>
              </w:rPr>
              <w:t>aspiration on vomit-1</w:t>
            </w:r>
            <w:r>
              <w:rPr>
                <w:spacing w:val="3"/>
                <w:w w:val="105"/>
                <w:sz w:val="19"/>
              </w:rPr>
              <w:t xml:space="preserve"> </w:t>
            </w:r>
            <w:r>
              <w:rPr>
                <w:w w:val="105"/>
                <w:sz w:val="19"/>
              </w:rPr>
              <w:t>individual.</w:t>
            </w:r>
          </w:p>
          <w:p w:rsidR="00EA1F74" w:rsidRDefault="00EA1F74">
            <w:pPr>
              <w:pStyle w:val="TableParagraph"/>
              <w:spacing w:before="4"/>
              <w:rPr>
                <w:sz w:val="26"/>
              </w:rPr>
            </w:pPr>
          </w:p>
          <w:p w:rsidR="00EA1F74" w:rsidRDefault="00FC1CE8">
            <w:pPr>
              <w:pStyle w:val="TableParagraph"/>
              <w:ind w:left="109"/>
              <w:rPr>
                <w:b/>
                <w:sz w:val="19"/>
              </w:rPr>
            </w:pPr>
            <w:r>
              <w:rPr>
                <w:b/>
                <w:w w:val="105"/>
                <w:sz w:val="19"/>
              </w:rPr>
              <w:t>Diseases of the blood, blood-forming organs and immune disorder:</w:t>
            </w:r>
          </w:p>
          <w:p w:rsidR="00EA1F74" w:rsidRDefault="00FC1CE8">
            <w:pPr>
              <w:pStyle w:val="TableParagraph"/>
              <w:numPr>
                <w:ilvl w:val="0"/>
                <w:numId w:val="28"/>
              </w:numPr>
              <w:tabs>
                <w:tab w:val="left" w:pos="469"/>
                <w:tab w:val="left" w:pos="470"/>
              </w:tabs>
              <w:spacing w:before="71" w:line="249" w:lineRule="auto"/>
              <w:ind w:left="469" w:right="610"/>
              <w:rPr>
                <w:sz w:val="19"/>
              </w:rPr>
            </w:pPr>
            <w:r>
              <w:rPr>
                <w:w w:val="105"/>
                <w:sz w:val="19"/>
              </w:rPr>
              <w:t>Diseases of the veins, lymphatic vessels and lymph nodes, not elsewhere classified (Deep Vein Thrombosis) (2 individuals –</w:t>
            </w:r>
            <w:r>
              <w:rPr>
                <w:spacing w:val="4"/>
                <w:w w:val="105"/>
                <w:sz w:val="19"/>
              </w:rPr>
              <w:t xml:space="preserve"> </w:t>
            </w:r>
            <w:r>
              <w:rPr>
                <w:w w:val="105"/>
                <w:sz w:val="19"/>
              </w:rPr>
              <w:t>3%).</w:t>
            </w:r>
          </w:p>
          <w:p w:rsidR="00EA1F74" w:rsidRDefault="00EA1F74">
            <w:pPr>
              <w:pStyle w:val="TableParagraph"/>
              <w:spacing w:before="5"/>
              <w:rPr>
                <w:sz w:val="25"/>
              </w:rPr>
            </w:pPr>
          </w:p>
          <w:p w:rsidR="00EA1F74" w:rsidRDefault="00FC1CE8">
            <w:pPr>
              <w:pStyle w:val="TableParagraph"/>
              <w:ind w:left="109"/>
              <w:rPr>
                <w:b/>
                <w:sz w:val="19"/>
              </w:rPr>
            </w:pPr>
            <w:r>
              <w:rPr>
                <w:b/>
                <w:w w:val="105"/>
                <w:sz w:val="19"/>
              </w:rPr>
              <w:t>Infectious and parasitic diseases:</w:t>
            </w:r>
          </w:p>
          <w:p w:rsidR="00EA1F74" w:rsidRDefault="00FC1CE8">
            <w:pPr>
              <w:pStyle w:val="TableParagraph"/>
              <w:numPr>
                <w:ilvl w:val="0"/>
                <w:numId w:val="28"/>
              </w:numPr>
              <w:tabs>
                <w:tab w:val="left" w:pos="469"/>
                <w:tab w:val="left" w:pos="470"/>
              </w:tabs>
              <w:spacing w:before="71"/>
              <w:ind w:hanging="361"/>
              <w:rPr>
                <w:sz w:val="19"/>
              </w:rPr>
            </w:pPr>
            <w:r>
              <w:rPr>
                <w:w w:val="105"/>
                <w:sz w:val="19"/>
              </w:rPr>
              <w:t>Other bacterial diseases (mostly septic shock) (4 individuals -</w:t>
            </w:r>
            <w:r>
              <w:rPr>
                <w:spacing w:val="1"/>
                <w:w w:val="105"/>
                <w:sz w:val="19"/>
              </w:rPr>
              <w:t xml:space="preserve"> </w:t>
            </w:r>
            <w:r>
              <w:rPr>
                <w:w w:val="105"/>
                <w:sz w:val="19"/>
              </w:rPr>
              <w:t>5%).</w:t>
            </w:r>
          </w:p>
        </w:tc>
      </w:tr>
      <w:tr w:rsidR="00EA1F74">
        <w:trPr>
          <w:trHeight w:val="6872"/>
        </w:trPr>
        <w:tc>
          <w:tcPr>
            <w:tcW w:w="960" w:type="dxa"/>
          </w:tcPr>
          <w:p w:rsidR="00EA1F74" w:rsidRDefault="00FC1CE8">
            <w:pPr>
              <w:pStyle w:val="TableParagraph"/>
              <w:spacing w:before="3" w:line="316" w:lineRule="auto"/>
              <w:ind w:left="109" w:right="316"/>
              <w:rPr>
                <w:b/>
                <w:sz w:val="19"/>
              </w:rPr>
            </w:pPr>
            <w:r>
              <w:rPr>
                <w:b/>
                <w:w w:val="105"/>
                <w:sz w:val="19"/>
              </w:rPr>
              <w:t>NSW 12-13</w:t>
            </w:r>
          </w:p>
        </w:tc>
        <w:tc>
          <w:tcPr>
            <w:tcW w:w="9547" w:type="dxa"/>
          </w:tcPr>
          <w:p w:rsidR="00EA1F74" w:rsidRDefault="00FC1CE8">
            <w:pPr>
              <w:pStyle w:val="TableParagraph"/>
              <w:spacing w:before="3" w:line="249" w:lineRule="auto"/>
              <w:ind w:left="109" w:right="158"/>
              <w:jc w:val="both"/>
              <w:rPr>
                <w:b/>
                <w:sz w:val="19"/>
              </w:rPr>
            </w:pPr>
            <w:r>
              <w:rPr>
                <w:b/>
                <w:w w:val="105"/>
                <w:sz w:val="19"/>
              </w:rPr>
              <w:t>Across the full sample (combining both assisted boarding house and disability service residents) the leading 11 underlying causes of death at ICD sub-chapter level (which accounted for 51.9% of the underlying causes) were:</w:t>
            </w:r>
          </w:p>
          <w:p w:rsidR="00EA1F74" w:rsidRDefault="00FC1CE8">
            <w:pPr>
              <w:pStyle w:val="TableParagraph"/>
              <w:numPr>
                <w:ilvl w:val="0"/>
                <w:numId w:val="27"/>
              </w:numPr>
              <w:tabs>
                <w:tab w:val="left" w:pos="469"/>
                <w:tab w:val="left" w:pos="470"/>
              </w:tabs>
              <w:spacing w:before="69"/>
              <w:ind w:hanging="361"/>
              <w:rPr>
                <w:sz w:val="19"/>
              </w:rPr>
            </w:pPr>
            <w:r>
              <w:rPr>
                <w:w w:val="105"/>
                <w:sz w:val="19"/>
              </w:rPr>
              <w:t>Pneumonitis due to solids and liquids</w:t>
            </w:r>
            <w:r>
              <w:rPr>
                <w:spacing w:val="7"/>
                <w:w w:val="105"/>
                <w:sz w:val="19"/>
              </w:rPr>
              <w:t xml:space="preserve"> </w:t>
            </w:r>
            <w:r>
              <w:rPr>
                <w:w w:val="105"/>
                <w:sz w:val="19"/>
              </w:rPr>
              <w:t>(9.2%)</w:t>
            </w:r>
          </w:p>
          <w:p w:rsidR="00EA1F74" w:rsidRDefault="00FC1CE8">
            <w:pPr>
              <w:pStyle w:val="TableParagraph"/>
              <w:numPr>
                <w:ilvl w:val="0"/>
                <w:numId w:val="27"/>
              </w:numPr>
              <w:tabs>
                <w:tab w:val="left" w:pos="469"/>
                <w:tab w:val="left" w:pos="470"/>
              </w:tabs>
              <w:spacing w:before="12"/>
              <w:ind w:hanging="361"/>
              <w:rPr>
                <w:sz w:val="19"/>
              </w:rPr>
            </w:pPr>
            <w:r>
              <w:rPr>
                <w:w w:val="105"/>
                <w:sz w:val="19"/>
              </w:rPr>
              <w:t>Pneumonia</w:t>
            </w:r>
            <w:r>
              <w:rPr>
                <w:spacing w:val="1"/>
                <w:w w:val="105"/>
                <w:sz w:val="19"/>
              </w:rPr>
              <w:t xml:space="preserve"> </w:t>
            </w:r>
            <w:r>
              <w:rPr>
                <w:w w:val="105"/>
                <w:sz w:val="19"/>
              </w:rPr>
              <w:t>(8.8%)</w:t>
            </w:r>
          </w:p>
          <w:p w:rsidR="00EA1F74" w:rsidRDefault="00FC1CE8">
            <w:pPr>
              <w:pStyle w:val="TableParagraph"/>
              <w:numPr>
                <w:ilvl w:val="0"/>
                <w:numId w:val="27"/>
              </w:numPr>
              <w:tabs>
                <w:tab w:val="left" w:pos="469"/>
                <w:tab w:val="left" w:pos="470"/>
              </w:tabs>
              <w:spacing w:before="7"/>
              <w:ind w:hanging="361"/>
              <w:rPr>
                <w:sz w:val="19"/>
              </w:rPr>
            </w:pPr>
            <w:r>
              <w:rPr>
                <w:w w:val="105"/>
                <w:sz w:val="19"/>
              </w:rPr>
              <w:t>Cerebral palsy</w:t>
            </w:r>
            <w:r>
              <w:rPr>
                <w:spacing w:val="1"/>
                <w:w w:val="105"/>
                <w:sz w:val="19"/>
              </w:rPr>
              <w:t xml:space="preserve"> </w:t>
            </w:r>
            <w:r>
              <w:rPr>
                <w:w w:val="105"/>
                <w:sz w:val="19"/>
              </w:rPr>
              <w:t>(6.7%)</w:t>
            </w:r>
          </w:p>
          <w:p w:rsidR="00EA1F74" w:rsidRDefault="00FC1CE8">
            <w:pPr>
              <w:pStyle w:val="TableParagraph"/>
              <w:numPr>
                <w:ilvl w:val="0"/>
                <w:numId w:val="27"/>
              </w:numPr>
              <w:tabs>
                <w:tab w:val="left" w:pos="469"/>
                <w:tab w:val="left" w:pos="470"/>
              </w:tabs>
              <w:spacing w:before="13"/>
              <w:ind w:hanging="361"/>
              <w:rPr>
                <w:sz w:val="19"/>
              </w:rPr>
            </w:pPr>
            <w:r>
              <w:rPr>
                <w:w w:val="105"/>
                <w:sz w:val="19"/>
              </w:rPr>
              <w:t>Epilepsy</w:t>
            </w:r>
            <w:r>
              <w:rPr>
                <w:spacing w:val="1"/>
                <w:w w:val="105"/>
                <w:sz w:val="19"/>
              </w:rPr>
              <w:t xml:space="preserve"> </w:t>
            </w:r>
            <w:r>
              <w:rPr>
                <w:w w:val="105"/>
                <w:sz w:val="19"/>
              </w:rPr>
              <w:t>(5.4%)</w:t>
            </w:r>
          </w:p>
          <w:p w:rsidR="00EA1F74" w:rsidRDefault="00FC1CE8">
            <w:pPr>
              <w:pStyle w:val="TableParagraph"/>
              <w:numPr>
                <w:ilvl w:val="0"/>
                <w:numId w:val="27"/>
              </w:numPr>
              <w:tabs>
                <w:tab w:val="left" w:pos="469"/>
                <w:tab w:val="left" w:pos="470"/>
              </w:tabs>
              <w:spacing w:before="12"/>
              <w:ind w:hanging="361"/>
              <w:rPr>
                <w:sz w:val="19"/>
              </w:rPr>
            </w:pPr>
            <w:r>
              <w:rPr>
                <w:w w:val="105"/>
                <w:sz w:val="19"/>
              </w:rPr>
              <w:t>Ischaemic heart diseases</w:t>
            </w:r>
            <w:r>
              <w:rPr>
                <w:spacing w:val="2"/>
                <w:w w:val="105"/>
                <w:sz w:val="19"/>
              </w:rPr>
              <w:t xml:space="preserve"> </w:t>
            </w:r>
            <w:r>
              <w:rPr>
                <w:w w:val="105"/>
                <w:sz w:val="19"/>
              </w:rPr>
              <w:t>(4.6%)</w:t>
            </w:r>
          </w:p>
          <w:p w:rsidR="00EA1F74" w:rsidRDefault="00FC1CE8">
            <w:pPr>
              <w:pStyle w:val="TableParagraph"/>
              <w:numPr>
                <w:ilvl w:val="0"/>
                <w:numId w:val="27"/>
              </w:numPr>
              <w:tabs>
                <w:tab w:val="left" w:pos="469"/>
                <w:tab w:val="left" w:pos="470"/>
              </w:tabs>
              <w:spacing w:before="12"/>
              <w:ind w:hanging="361"/>
              <w:rPr>
                <w:sz w:val="19"/>
              </w:rPr>
            </w:pPr>
            <w:r>
              <w:rPr>
                <w:w w:val="105"/>
                <w:sz w:val="19"/>
              </w:rPr>
              <w:t>Inhalation and ingestion of food causing obstruction of respiratory tract</w:t>
            </w:r>
            <w:r>
              <w:rPr>
                <w:spacing w:val="2"/>
                <w:w w:val="105"/>
                <w:sz w:val="19"/>
              </w:rPr>
              <w:t xml:space="preserve"> </w:t>
            </w:r>
            <w:r>
              <w:rPr>
                <w:w w:val="105"/>
                <w:sz w:val="19"/>
              </w:rPr>
              <w:t>(3.8%)</w:t>
            </w:r>
          </w:p>
          <w:p w:rsidR="00EA1F74" w:rsidRDefault="00FC1CE8">
            <w:pPr>
              <w:pStyle w:val="TableParagraph"/>
              <w:numPr>
                <w:ilvl w:val="0"/>
                <w:numId w:val="27"/>
              </w:numPr>
              <w:tabs>
                <w:tab w:val="left" w:pos="469"/>
                <w:tab w:val="left" w:pos="470"/>
              </w:tabs>
              <w:spacing w:before="7"/>
              <w:ind w:hanging="361"/>
              <w:rPr>
                <w:sz w:val="19"/>
              </w:rPr>
            </w:pPr>
            <w:r>
              <w:rPr>
                <w:w w:val="105"/>
                <w:sz w:val="19"/>
              </w:rPr>
              <w:t>Other heart diseases</w:t>
            </w:r>
            <w:r>
              <w:rPr>
                <w:spacing w:val="1"/>
                <w:w w:val="105"/>
                <w:sz w:val="19"/>
              </w:rPr>
              <w:t xml:space="preserve"> </w:t>
            </w:r>
            <w:r>
              <w:rPr>
                <w:w w:val="105"/>
                <w:sz w:val="19"/>
              </w:rPr>
              <w:t>(3.8%)</w:t>
            </w:r>
          </w:p>
          <w:p w:rsidR="00EA1F74" w:rsidRDefault="00FC1CE8">
            <w:pPr>
              <w:pStyle w:val="TableParagraph"/>
              <w:numPr>
                <w:ilvl w:val="0"/>
                <w:numId w:val="27"/>
              </w:numPr>
              <w:tabs>
                <w:tab w:val="left" w:pos="469"/>
                <w:tab w:val="left" w:pos="470"/>
              </w:tabs>
              <w:spacing w:before="12"/>
              <w:ind w:hanging="361"/>
              <w:rPr>
                <w:sz w:val="19"/>
              </w:rPr>
            </w:pPr>
            <w:r>
              <w:rPr>
                <w:w w:val="105"/>
                <w:sz w:val="19"/>
              </w:rPr>
              <w:t>Down syndrome</w:t>
            </w:r>
            <w:r>
              <w:rPr>
                <w:spacing w:val="2"/>
                <w:w w:val="105"/>
                <w:sz w:val="19"/>
              </w:rPr>
              <w:t xml:space="preserve"> </w:t>
            </w:r>
            <w:r>
              <w:rPr>
                <w:w w:val="105"/>
                <w:sz w:val="19"/>
              </w:rPr>
              <w:t>(3.3%)</w:t>
            </w:r>
          </w:p>
          <w:p w:rsidR="00EA1F74" w:rsidRDefault="00FC1CE8">
            <w:pPr>
              <w:pStyle w:val="TableParagraph"/>
              <w:numPr>
                <w:ilvl w:val="0"/>
                <w:numId w:val="27"/>
              </w:numPr>
              <w:tabs>
                <w:tab w:val="left" w:pos="469"/>
                <w:tab w:val="left" w:pos="470"/>
              </w:tabs>
              <w:spacing w:before="12"/>
              <w:ind w:hanging="361"/>
              <w:rPr>
                <w:sz w:val="19"/>
              </w:rPr>
            </w:pPr>
            <w:r>
              <w:rPr>
                <w:w w:val="105"/>
                <w:sz w:val="19"/>
              </w:rPr>
              <w:t>Malignant neoplasm of trachea, bronchus and lung</w:t>
            </w:r>
            <w:r>
              <w:rPr>
                <w:spacing w:val="4"/>
                <w:w w:val="105"/>
                <w:sz w:val="19"/>
              </w:rPr>
              <w:t xml:space="preserve"> </w:t>
            </w:r>
            <w:r>
              <w:rPr>
                <w:w w:val="105"/>
                <w:sz w:val="19"/>
              </w:rPr>
              <w:t>(2.1%)</w:t>
            </w:r>
          </w:p>
          <w:p w:rsidR="00EA1F74" w:rsidRDefault="00FC1CE8">
            <w:pPr>
              <w:pStyle w:val="TableParagraph"/>
              <w:numPr>
                <w:ilvl w:val="0"/>
                <w:numId w:val="27"/>
              </w:numPr>
              <w:tabs>
                <w:tab w:val="left" w:pos="469"/>
                <w:tab w:val="left" w:pos="470"/>
              </w:tabs>
              <w:spacing w:before="7"/>
              <w:ind w:hanging="361"/>
              <w:rPr>
                <w:sz w:val="19"/>
              </w:rPr>
            </w:pPr>
            <w:r>
              <w:rPr>
                <w:w w:val="105"/>
                <w:sz w:val="19"/>
              </w:rPr>
              <w:t>Cerebrovascular diseases</w:t>
            </w:r>
            <w:r>
              <w:rPr>
                <w:spacing w:val="1"/>
                <w:w w:val="105"/>
                <w:sz w:val="19"/>
              </w:rPr>
              <w:t xml:space="preserve"> </w:t>
            </w:r>
            <w:r>
              <w:rPr>
                <w:w w:val="105"/>
                <w:sz w:val="19"/>
              </w:rPr>
              <w:t>(2.1%)</w:t>
            </w:r>
          </w:p>
          <w:p w:rsidR="00EA1F74" w:rsidRDefault="00FC1CE8">
            <w:pPr>
              <w:pStyle w:val="TableParagraph"/>
              <w:numPr>
                <w:ilvl w:val="0"/>
                <w:numId w:val="27"/>
              </w:numPr>
              <w:tabs>
                <w:tab w:val="left" w:pos="469"/>
                <w:tab w:val="left" w:pos="470"/>
              </w:tabs>
              <w:spacing w:before="12"/>
              <w:ind w:hanging="361"/>
              <w:rPr>
                <w:sz w:val="19"/>
              </w:rPr>
            </w:pPr>
            <w:r>
              <w:rPr>
                <w:w w:val="105"/>
                <w:sz w:val="19"/>
              </w:rPr>
              <w:t>Chronic lower respiratory diseases</w:t>
            </w:r>
            <w:r>
              <w:rPr>
                <w:spacing w:val="3"/>
                <w:w w:val="105"/>
                <w:sz w:val="19"/>
              </w:rPr>
              <w:t xml:space="preserve"> </w:t>
            </w:r>
            <w:r>
              <w:rPr>
                <w:w w:val="105"/>
                <w:sz w:val="19"/>
              </w:rPr>
              <w:t>(2.1%).</w:t>
            </w:r>
          </w:p>
          <w:p w:rsidR="00EA1F74" w:rsidRDefault="00EA1F74">
            <w:pPr>
              <w:pStyle w:val="TableParagraph"/>
              <w:spacing w:before="11"/>
              <w:rPr>
                <w:sz w:val="25"/>
              </w:rPr>
            </w:pPr>
          </w:p>
          <w:p w:rsidR="00EA1F74" w:rsidRDefault="00FC1CE8">
            <w:pPr>
              <w:pStyle w:val="TableParagraph"/>
              <w:spacing w:line="321" w:lineRule="auto"/>
              <w:ind w:left="109" w:right="1056"/>
              <w:rPr>
                <w:sz w:val="19"/>
              </w:rPr>
            </w:pPr>
            <w:r>
              <w:rPr>
                <w:b/>
                <w:w w:val="105"/>
                <w:sz w:val="19"/>
              </w:rPr>
              <w:t xml:space="preserve">The leading underlying causes of death of people in </w:t>
            </w:r>
            <w:r>
              <w:rPr>
                <w:b/>
                <w:i/>
                <w:w w:val="105"/>
                <w:sz w:val="19"/>
              </w:rPr>
              <w:t xml:space="preserve">disability services </w:t>
            </w:r>
            <w:r>
              <w:rPr>
                <w:b/>
                <w:w w:val="105"/>
                <w:sz w:val="19"/>
              </w:rPr>
              <w:t>were: Respiratory diseases</w:t>
            </w:r>
            <w:r>
              <w:rPr>
                <w:w w:val="105"/>
                <w:sz w:val="19"/>
              </w:rPr>
              <w:t>:</w:t>
            </w:r>
          </w:p>
          <w:p w:rsidR="00EA1F74" w:rsidRDefault="00FC1CE8">
            <w:pPr>
              <w:pStyle w:val="TableParagraph"/>
              <w:numPr>
                <w:ilvl w:val="0"/>
                <w:numId w:val="27"/>
              </w:numPr>
              <w:tabs>
                <w:tab w:val="left" w:pos="469"/>
                <w:tab w:val="left" w:pos="470"/>
              </w:tabs>
              <w:spacing w:line="230" w:lineRule="exact"/>
              <w:ind w:hanging="361"/>
              <w:rPr>
                <w:sz w:val="19"/>
              </w:rPr>
            </w:pPr>
            <w:r>
              <w:rPr>
                <w:w w:val="105"/>
                <w:sz w:val="19"/>
              </w:rPr>
              <w:t>pneumonia</w:t>
            </w:r>
            <w:r>
              <w:rPr>
                <w:spacing w:val="1"/>
                <w:w w:val="105"/>
                <w:sz w:val="19"/>
              </w:rPr>
              <w:t xml:space="preserve"> </w:t>
            </w:r>
            <w:r>
              <w:rPr>
                <w:w w:val="105"/>
                <w:sz w:val="19"/>
              </w:rPr>
              <w:t>(8.9%)</w:t>
            </w:r>
          </w:p>
          <w:p w:rsidR="00EA1F74" w:rsidRDefault="00FC1CE8">
            <w:pPr>
              <w:pStyle w:val="TableParagraph"/>
              <w:numPr>
                <w:ilvl w:val="0"/>
                <w:numId w:val="27"/>
              </w:numPr>
              <w:tabs>
                <w:tab w:val="left" w:pos="469"/>
                <w:tab w:val="left" w:pos="470"/>
              </w:tabs>
              <w:spacing w:before="12"/>
              <w:ind w:hanging="361"/>
              <w:rPr>
                <w:sz w:val="19"/>
              </w:rPr>
            </w:pPr>
            <w:r>
              <w:rPr>
                <w:w w:val="105"/>
                <w:sz w:val="19"/>
              </w:rPr>
              <w:t>pneumonitis due to solids and liquids</w:t>
            </w:r>
            <w:r>
              <w:rPr>
                <w:spacing w:val="6"/>
                <w:w w:val="105"/>
                <w:sz w:val="19"/>
              </w:rPr>
              <w:t xml:space="preserve"> </w:t>
            </w:r>
            <w:r>
              <w:rPr>
                <w:w w:val="105"/>
                <w:sz w:val="19"/>
              </w:rPr>
              <w:t>(9.8%).</w:t>
            </w:r>
          </w:p>
          <w:p w:rsidR="00EA1F74" w:rsidRDefault="00FC1CE8">
            <w:pPr>
              <w:pStyle w:val="TableParagraph"/>
              <w:spacing w:before="11"/>
              <w:ind w:left="109"/>
              <w:rPr>
                <w:b/>
                <w:sz w:val="19"/>
              </w:rPr>
            </w:pPr>
            <w:r>
              <w:rPr>
                <w:b/>
                <w:w w:val="105"/>
                <w:sz w:val="19"/>
              </w:rPr>
              <w:t>Nervous system diseases:</w:t>
            </w:r>
          </w:p>
          <w:p w:rsidR="00EA1F74" w:rsidRDefault="00FC1CE8">
            <w:pPr>
              <w:pStyle w:val="TableParagraph"/>
              <w:numPr>
                <w:ilvl w:val="0"/>
                <w:numId w:val="27"/>
              </w:numPr>
              <w:tabs>
                <w:tab w:val="left" w:pos="469"/>
                <w:tab w:val="left" w:pos="470"/>
              </w:tabs>
              <w:spacing w:before="71"/>
              <w:ind w:hanging="361"/>
              <w:rPr>
                <w:sz w:val="19"/>
              </w:rPr>
            </w:pPr>
            <w:r>
              <w:rPr>
                <w:w w:val="105"/>
                <w:sz w:val="19"/>
              </w:rPr>
              <w:t>epilepsy</w:t>
            </w:r>
            <w:r>
              <w:rPr>
                <w:spacing w:val="1"/>
                <w:w w:val="105"/>
                <w:sz w:val="19"/>
              </w:rPr>
              <w:t xml:space="preserve"> </w:t>
            </w:r>
            <w:r>
              <w:rPr>
                <w:w w:val="105"/>
                <w:sz w:val="19"/>
              </w:rPr>
              <w:t>(5.8%)</w:t>
            </w:r>
          </w:p>
          <w:p w:rsidR="00EA1F74" w:rsidRDefault="00FC1CE8">
            <w:pPr>
              <w:pStyle w:val="TableParagraph"/>
              <w:numPr>
                <w:ilvl w:val="0"/>
                <w:numId w:val="27"/>
              </w:numPr>
              <w:tabs>
                <w:tab w:val="left" w:pos="469"/>
                <w:tab w:val="left" w:pos="470"/>
              </w:tabs>
              <w:spacing w:before="12"/>
              <w:ind w:hanging="361"/>
              <w:rPr>
                <w:sz w:val="19"/>
              </w:rPr>
            </w:pPr>
            <w:r>
              <w:rPr>
                <w:w w:val="105"/>
                <w:sz w:val="19"/>
              </w:rPr>
              <w:t>cerebral palsy</w:t>
            </w:r>
            <w:r>
              <w:rPr>
                <w:spacing w:val="1"/>
                <w:w w:val="105"/>
                <w:sz w:val="19"/>
              </w:rPr>
              <w:t xml:space="preserve"> </w:t>
            </w:r>
            <w:r>
              <w:rPr>
                <w:w w:val="105"/>
                <w:sz w:val="19"/>
              </w:rPr>
              <w:t>(7.1%).</w:t>
            </w:r>
          </w:p>
          <w:p w:rsidR="00EA1F74" w:rsidRDefault="00FC1CE8">
            <w:pPr>
              <w:pStyle w:val="TableParagraph"/>
              <w:spacing w:before="5"/>
              <w:ind w:left="109"/>
              <w:rPr>
                <w:b/>
                <w:sz w:val="19"/>
              </w:rPr>
            </w:pPr>
            <w:r>
              <w:rPr>
                <w:b/>
                <w:w w:val="105"/>
                <w:sz w:val="19"/>
              </w:rPr>
              <w:t>Neoplasms:</w:t>
            </w:r>
          </w:p>
          <w:p w:rsidR="00EA1F74" w:rsidRDefault="00FC1CE8">
            <w:pPr>
              <w:pStyle w:val="TableParagraph"/>
              <w:numPr>
                <w:ilvl w:val="0"/>
                <w:numId w:val="27"/>
              </w:numPr>
              <w:tabs>
                <w:tab w:val="left" w:pos="469"/>
                <w:tab w:val="left" w:pos="470"/>
              </w:tabs>
              <w:spacing w:before="76"/>
              <w:ind w:hanging="361"/>
              <w:rPr>
                <w:sz w:val="19"/>
              </w:rPr>
            </w:pPr>
            <w:r>
              <w:rPr>
                <w:w w:val="105"/>
                <w:sz w:val="19"/>
              </w:rPr>
              <w:t>lung and breast cancer. Malignant neoplasm of trachea, bronchus and lung accounted for</w:t>
            </w:r>
            <w:r>
              <w:rPr>
                <w:spacing w:val="-11"/>
                <w:w w:val="105"/>
                <w:sz w:val="19"/>
              </w:rPr>
              <w:t xml:space="preserve"> </w:t>
            </w:r>
            <w:r>
              <w:rPr>
                <w:w w:val="105"/>
                <w:sz w:val="19"/>
              </w:rPr>
              <w:t>2.2%.</w:t>
            </w:r>
          </w:p>
          <w:p w:rsidR="00EA1F74" w:rsidRDefault="00FC1CE8">
            <w:pPr>
              <w:pStyle w:val="TableParagraph"/>
              <w:spacing w:before="6"/>
              <w:ind w:left="109"/>
              <w:rPr>
                <w:b/>
                <w:sz w:val="19"/>
              </w:rPr>
            </w:pPr>
            <w:r>
              <w:rPr>
                <w:b/>
                <w:w w:val="105"/>
                <w:sz w:val="19"/>
              </w:rPr>
              <w:t>Circulatory diseases:</w:t>
            </w:r>
          </w:p>
          <w:p w:rsidR="00EA1F74" w:rsidRDefault="00FC1CE8">
            <w:pPr>
              <w:pStyle w:val="TableParagraph"/>
              <w:numPr>
                <w:ilvl w:val="0"/>
                <w:numId w:val="27"/>
              </w:numPr>
              <w:tabs>
                <w:tab w:val="left" w:pos="469"/>
                <w:tab w:val="left" w:pos="470"/>
              </w:tabs>
              <w:spacing w:before="76"/>
              <w:ind w:hanging="361"/>
              <w:rPr>
                <w:sz w:val="19"/>
              </w:rPr>
            </w:pPr>
            <w:r>
              <w:rPr>
                <w:w w:val="105"/>
                <w:sz w:val="19"/>
              </w:rPr>
              <w:t>ischaemic heart diseases</w:t>
            </w:r>
            <w:r>
              <w:rPr>
                <w:spacing w:val="2"/>
                <w:w w:val="105"/>
                <w:sz w:val="19"/>
              </w:rPr>
              <w:t xml:space="preserve"> </w:t>
            </w:r>
            <w:r>
              <w:rPr>
                <w:w w:val="105"/>
                <w:sz w:val="19"/>
              </w:rPr>
              <w:t>(4%)</w:t>
            </w:r>
          </w:p>
          <w:p w:rsidR="00EA1F74" w:rsidRDefault="00FC1CE8">
            <w:pPr>
              <w:pStyle w:val="TableParagraph"/>
              <w:numPr>
                <w:ilvl w:val="0"/>
                <w:numId w:val="27"/>
              </w:numPr>
              <w:tabs>
                <w:tab w:val="left" w:pos="469"/>
                <w:tab w:val="left" w:pos="470"/>
              </w:tabs>
              <w:spacing w:before="12" w:line="219" w:lineRule="exact"/>
              <w:ind w:hanging="361"/>
              <w:rPr>
                <w:sz w:val="19"/>
              </w:rPr>
            </w:pPr>
            <w:r>
              <w:rPr>
                <w:w w:val="105"/>
                <w:sz w:val="19"/>
              </w:rPr>
              <w:t>other heart diseases</w:t>
            </w:r>
            <w:r>
              <w:rPr>
                <w:spacing w:val="1"/>
                <w:w w:val="105"/>
                <w:sz w:val="19"/>
              </w:rPr>
              <w:t xml:space="preserve"> </w:t>
            </w:r>
            <w:r>
              <w:rPr>
                <w:w w:val="105"/>
                <w:sz w:val="19"/>
              </w:rPr>
              <w:t>(2.7%).</w:t>
            </w:r>
          </w:p>
        </w:tc>
      </w:tr>
    </w:tbl>
    <w:p w:rsidR="00EA1F74" w:rsidRDefault="00EA1F74">
      <w:pPr>
        <w:spacing w:line="219" w:lineRule="exact"/>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93"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547"/>
      </w:tblGrid>
      <w:tr w:rsidR="00EA1F74">
        <w:trPr>
          <w:trHeight w:val="4194"/>
        </w:trPr>
        <w:tc>
          <w:tcPr>
            <w:tcW w:w="960" w:type="dxa"/>
          </w:tcPr>
          <w:p w:rsidR="00EA1F74" w:rsidRDefault="00EA1F74">
            <w:pPr>
              <w:pStyle w:val="TableParagraph"/>
              <w:rPr>
                <w:rFonts w:ascii="Times New Roman"/>
                <w:sz w:val="18"/>
              </w:rPr>
            </w:pPr>
          </w:p>
        </w:tc>
        <w:tc>
          <w:tcPr>
            <w:tcW w:w="9547" w:type="dxa"/>
          </w:tcPr>
          <w:p w:rsidR="00EA1F74" w:rsidRDefault="00FC1CE8">
            <w:pPr>
              <w:pStyle w:val="TableParagraph"/>
              <w:spacing w:before="3"/>
              <w:ind w:left="109"/>
              <w:rPr>
                <w:b/>
                <w:sz w:val="19"/>
              </w:rPr>
            </w:pPr>
            <w:r>
              <w:rPr>
                <w:b/>
                <w:w w:val="105"/>
                <w:sz w:val="19"/>
              </w:rPr>
              <w:t>Congenital and chromosomal conditions:</w:t>
            </w:r>
          </w:p>
          <w:p w:rsidR="00EA1F74" w:rsidRDefault="00FC1CE8">
            <w:pPr>
              <w:pStyle w:val="TableParagraph"/>
              <w:numPr>
                <w:ilvl w:val="0"/>
                <w:numId w:val="26"/>
              </w:numPr>
              <w:tabs>
                <w:tab w:val="left" w:pos="469"/>
                <w:tab w:val="left" w:pos="470"/>
              </w:tabs>
              <w:spacing w:before="76"/>
              <w:ind w:hanging="361"/>
              <w:rPr>
                <w:sz w:val="19"/>
              </w:rPr>
            </w:pPr>
            <w:r>
              <w:rPr>
                <w:w w:val="105"/>
                <w:sz w:val="19"/>
              </w:rPr>
              <w:t>Down syndrome</w:t>
            </w:r>
            <w:r>
              <w:rPr>
                <w:spacing w:val="2"/>
                <w:w w:val="105"/>
                <w:sz w:val="19"/>
              </w:rPr>
              <w:t xml:space="preserve"> </w:t>
            </w:r>
            <w:r>
              <w:rPr>
                <w:w w:val="105"/>
                <w:sz w:val="19"/>
              </w:rPr>
              <w:t>(3.6%).</w:t>
            </w:r>
          </w:p>
          <w:p w:rsidR="00EA1F74" w:rsidRDefault="00FC1CE8">
            <w:pPr>
              <w:pStyle w:val="TableParagraph"/>
              <w:spacing w:before="6"/>
              <w:ind w:left="109"/>
              <w:rPr>
                <w:b/>
                <w:sz w:val="19"/>
              </w:rPr>
            </w:pPr>
            <w:r>
              <w:rPr>
                <w:b/>
                <w:w w:val="105"/>
                <w:sz w:val="19"/>
              </w:rPr>
              <w:t>External causes:</w:t>
            </w:r>
          </w:p>
          <w:p w:rsidR="00EA1F74" w:rsidRDefault="00FC1CE8">
            <w:pPr>
              <w:pStyle w:val="TableParagraph"/>
              <w:numPr>
                <w:ilvl w:val="0"/>
                <w:numId w:val="26"/>
              </w:numPr>
              <w:tabs>
                <w:tab w:val="left" w:pos="469"/>
                <w:tab w:val="left" w:pos="470"/>
              </w:tabs>
              <w:spacing w:before="76"/>
              <w:ind w:hanging="361"/>
              <w:rPr>
                <w:sz w:val="19"/>
              </w:rPr>
            </w:pPr>
            <w:r>
              <w:rPr>
                <w:w w:val="105"/>
                <w:sz w:val="19"/>
              </w:rPr>
              <w:t>Choking - Inhalation and ingestion of food causing obstruction of respiratory tract</w:t>
            </w:r>
            <w:r>
              <w:rPr>
                <w:spacing w:val="-3"/>
                <w:w w:val="105"/>
                <w:sz w:val="19"/>
              </w:rPr>
              <w:t xml:space="preserve"> </w:t>
            </w:r>
            <w:r>
              <w:rPr>
                <w:w w:val="105"/>
                <w:sz w:val="19"/>
              </w:rPr>
              <w:t>(4%).</w:t>
            </w:r>
          </w:p>
          <w:p w:rsidR="00EA1F74" w:rsidRDefault="00EA1F74">
            <w:pPr>
              <w:pStyle w:val="TableParagraph"/>
              <w:spacing w:before="11"/>
              <w:rPr>
                <w:sz w:val="20"/>
              </w:rPr>
            </w:pPr>
          </w:p>
          <w:p w:rsidR="00EA1F74" w:rsidRDefault="00FC1CE8">
            <w:pPr>
              <w:pStyle w:val="TableParagraph"/>
              <w:spacing w:line="247" w:lineRule="auto"/>
              <w:ind w:left="109" w:right="71"/>
              <w:rPr>
                <w:b/>
                <w:sz w:val="19"/>
              </w:rPr>
            </w:pPr>
            <w:r>
              <w:rPr>
                <w:b/>
                <w:w w:val="105"/>
                <w:sz w:val="19"/>
              </w:rPr>
              <w:t xml:space="preserve">The only underlying causes of death of people in </w:t>
            </w:r>
            <w:r>
              <w:rPr>
                <w:b/>
                <w:i/>
                <w:w w:val="105"/>
                <w:sz w:val="19"/>
              </w:rPr>
              <w:t xml:space="preserve">assisted boarding houses </w:t>
            </w:r>
            <w:r>
              <w:rPr>
                <w:b/>
                <w:w w:val="105"/>
                <w:sz w:val="19"/>
              </w:rPr>
              <w:t>listed at ICD subchapter level were:</w:t>
            </w:r>
          </w:p>
          <w:p w:rsidR="00EA1F74" w:rsidRDefault="00FC1CE8">
            <w:pPr>
              <w:pStyle w:val="TableParagraph"/>
              <w:spacing w:before="68"/>
              <w:ind w:left="109"/>
              <w:rPr>
                <w:b/>
                <w:sz w:val="19"/>
              </w:rPr>
            </w:pPr>
            <w:r>
              <w:rPr>
                <w:b/>
                <w:w w:val="105"/>
                <w:sz w:val="19"/>
              </w:rPr>
              <w:t>Circulatory system diseases:</w:t>
            </w:r>
          </w:p>
          <w:p w:rsidR="00EA1F74" w:rsidRDefault="00FC1CE8">
            <w:pPr>
              <w:pStyle w:val="TableParagraph"/>
              <w:numPr>
                <w:ilvl w:val="0"/>
                <w:numId w:val="26"/>
              </w:numPr>
              <w:tabs>
                <w:tab w:val="left" w:pos="469"/>
                <w:tab w:val="left" w:pos="470"/>
              </w:tabs>
              <w:spacing w:before="71"/>
              <w:ind w:hanging="361"/>
              <w:rPr>
                <w:sz w:val="19"/>
              </w:rPr>
            </w:pPr>
            <w:r>
              <w:rPr>
                <w:w w:val="105"/>
                <w:sz w:val="19"/>
              </w:rPr>
              <w:t>ischaemic</w:t>
            </w:r>
            <w:r>
              <w:rPr>
                <w:spacing w:val="1"/>
                <w:w w:val="105"/>
                <w:sz w:val="19"/>
              </w:rPr>
              <w:t xml:space="preserve"> </w:t>
            </w:r>
            <w:r>
              <w:rPr>
                <w:w w:val="105"/>
                <w:sz w:val="19"/>
              </w:rPr>
              <w:t>(14.3%)</w:t>
            </w:r>
          </w:p>
          <w:p w:rsidR="00EA1F74" w:rsidRDefault="00FC1CE8">
            <w:pPr>
              <w:pStyle w:val="TableParagraph"/>
              <w:numPr>
                <w:ilvl w:val="0"/>
                <w:numId w:val="26"/>
              </w:numPr>
              <w:tabs>
                <w:tab w:val="left" w:pos="469"/>
                <w:tab w:val="left" w:pos="470"/>
              </w:tabs>
              <w:spacing w:before="12"/>
              <w:ind w:hanging="361"/>
              <w:rPr>
                <w:sz w:val="19"/>
              </w:rPr>
            </w:pPr>
            <w:r>
              <w:rPr>
                <w:w w:val="105"/>
                <w:sz w:val="19"/>
              </w:rPr>
              <w:t>other heart diseases</w:t>
            </w:r>
            <w:r>
              <w:rPr>
                <w:spacing w:val="1"/>
                <w:w w:val="105"/>
                <w:sz w:val="19"/>
              </w:rPr>
              <w:t xml:space="preserve"> </w:t>
            </w:r>
            <w:r>
              <w:rPr>
                <w:w w:val="105"/>
                <w:sz w:val="19"/>
              </w:rPr>
              <w:t>(21.4%).</w:t>
            </w:r>
          </w:p>
          <w:p w:rsidR="00EA1F74" w:rsidRDefault="00FC1CE8">
            <w:pPr>
              <w:pStyle w:val="TableParagraph"/>
              <w:spacing w:before="11"/>
              <w:ind w:left="109"/>
              <w:rPr>
                <w:b/>
                <w:sz w:val="19"/>
              </w:rPr>
            </w:pPr>
            <w:r>
              <w:rPr>
                <w:b/>
                <w:w w:val="105"/>
                <w:sz w:val="19"/>
              </w:rPr>
              <w:t>Neoplasms:</w:t>
            </w:r>
          </w:p>
          <w:p w:rsidR="00EA1F74" w:rsidRDefault="00FC1CE8">
            <w:pPr>
              <w:pStyle w:val="TableParagraph"/>
              <w:numPr>
                <w:ilvl w:val="0"/>
                <w:numId w:val="26"/>
              </w:numPr>
              <w:tabs>
                <w:tab w:val="left" w:pos="469"/>
                <w:tab w:val="left" w:pos="470"/>
              </w:tabs>
              <w:spacing w:before="71"/>
              <w:ind w:hanging="361"/>
              <w:rPr>
                <w:sz w:val="19"/>
              </w:rPr>
            </w:pPr>
            <w:r>
              <w:rPr>
                <w:w w:val="105"/>
                <w:sz w:val="19"/>
              </w:rPr>
              <w:t>mainly liver cancer (% not</w:t>
            </w:r>
            <w:r>
              <w:rPr>
                <w:spacing w:val="3"/>
                <w:w w:val="105"/>
                <w:sz w:val="19"/>
              </w:rPr>
              <w:t xml:space="preserve"> </w:t>
            </w:r>
            <w:r>
              <w:rPr>
                <w:w w:val="105"/>
                <w:sz w:val="19"/>
              </w:rPr>
              <w:t>provided).</w:t>
            </w:r>
          </w:p>
          <w:p w:rsidR="00EA1F74" w:rsidRDefault="00FC1CE8">
            <w:pPr>
              <w:pStyle w:val="TableParagraph"/>
              <w:spacing w:before="10"/>
              <w:ind w:left="109"/>
              <w:rPr>
                <w:b/>
                <w:sz w:val="19"/>
              </w:rPr>
            </w:pPr>
            <w:r>
              <w:rPr>
                <w:b/>
                <w:w w:val="105"/>
                <w:sz w:val="19"/>
              </w:rPr>
              <w:t>Respiratory diseases:</w:t>
            </w:r>
          </w:p>
          <w:p w:rsidR="00EA1F74" w:rsidRDefault="00FC1CE8">
            <w:pPr>
              <w:pStyle w:val="TableParagraph"/>
              <w:numPr>
                <w:ilvl w:val="0"/>
                <w:numId w:val="26"/>
              </w:numPr>
              <w:tabs>
                <w:tab w:val="left" w:pos="469"/>
                <w:tab w:val="left" w:pos="470"/>
              </w:tabs>
              <w:spacing w:before="71"/>
              <w:ind w:hanging="361"/>
              <w:rPr>
                <w:sz w:val="19"/>
              </w:rPr>
            </w:pPr>
            <w:r>
              <w:rPr>
                <w:w w:val="105"/>
                <w:sz w:val="19"/>
              </w:rPr>
              <w:t>chronic lower respiratory diseases</w:t>
            </w:r>
            <w:r>
              <w:rPr>
                <w:spacing w:val="3"/>
                <w:w w:val="105"/>
                <w:sz w:val="19"/>
              </w:rPr>
              <w:t xml:space="preserve"> </w:t>
            </w:r>
            <w:r>
              <w:rPr>
                <w:w w:val="105"/>
                <w:sz w:val="19"/>
              </w:rPr>
              <w:t>(7.1%)</w:t>
            </w:r>
          </w:p>
          <w:p w:rsidR="00EA1F74" w:rsidRDefault="00FC1CE8">
            <w:pPr>
              <w:pStyle w:val="TableParagraph"/>
              <w:numPr>
                <w:ilvl w:val="0"/>
                <w:numId w:val="26"/>
              </w:numPr>
              <w:tabs>
                <w:tab w:val="left" w:pos="469"/>
                <w:tab w:val="left" w:pos="470"/>
              </w:tabs>
              <w:spacing w:before="12"/>
              <w:ind w:hanging="361"/>
              <w:rPr>
                <w:sz w:val="19"/>
              </w:rPr>
            </w:pPr>
            <w:r>
              <w:rPr>
                <w:w w:val="105"/>
                <w:sz w:val="19"/>
              </w:rPr>
              <w:t>pneumonia</w:t>
            </w:r>
            <w:r>
              <w:rPr>
                <w:spacing w:val="1"/>
                <w:w w:val="105"/>
                <w:sz w:val="19"/>
              </w:rPr>
              <w:t xml:space="preserve"> </w:t>
            </w:r>
            <w:r>
              <w:rPr>
                <w:w w:val="105"/>
                <w:sz w:val="19"/>
              </w:rPr>
              <w:t>(7.1%).</w:t>
            </w:r>
          </w:p>
        </w:tc>
      </w:tr>
      <w:tr w:rsidR="00EA1F74" w:rsidTr="00A85C4E">
        <w:trPr>
          <w:trHeight w:val="228"/>
        </w:trPr>
        <w:tc>
          <w:tcPr>
            <w:tcW w:w="960" w:type="dxa"/>
            <w:tcBorders>
              <w:bottom w:val="nil"/>
            </w:tcBorders>
            <w:shd w:val="clear" w:color="auto" w:fill="F2F2F2" w:themeFill="background1" w:themeFillShade="F2"/>
          </w:tcPr>
          <w:p w:rsidR="00EA1F74" w:rsidRDefault="00FC1CE8">
            <w:pPr>
              <w:pStyle w:val="TableParagraph"/>
              <w:spacing w:before="3" w:line="205" w:lineRule="exact"/>
              <w:ind w:left="109"/>
              <w:rPr>
                <w:b/>
                <w:sz w:val="19"/>
              </w:rPr>
            </w:pPr>
            <w:r>
              <w:rPr>
                <w:b/>
                <w:w w:val="105"/>
                <w:sz w:val="19"/>
              </w:rPr>
              <w:t>NSW</w:t>
            </w:r>
          </w:p>
        </w:tc>
        <w:tc>
          <w:tcPr>
            <w:tcW w:w="9547" w:type="dxa"/>
            <w:tcBorders>
              <w:bottom w:val="nil"/>
            </w:tcBorders>
            <w:shd w:val="clear" w:color="auto" w:fill="F2F2F2" w:themeFill="background1" w:themeFillShade="F2"/>
          </w:tcPr>
          <w:p w:rsidR="00EA1F74" w:rsidRDefault="00FC1CE8">
            <w:pPr>
              <w:pStyle w:val="TableParagraph"/>
              <w:spacing w:before="3" w:line="205" w:lineRule="exact"/>
              <w:ind w:left="109"/>
              <w:rPr>
                <w:b/>
                <w:i/>
                <w:sz w:val="19"/>
              </w:rPr>
            </w:pPr>
            <w:r>
              <w:rPr>
                <w:b/>
                <w:w w:val="105"/>
                <w:sz w:val="19"/>
              </w:rPr>
              <w:t xml:space="preserve">The leading underlying causes of death of people in </w:t>
            </w:r>
            <w:r>
              <w:rPr>
                <w:b/>
                <w:i/>
                <w:w w:val="105"/>
                <w:sz w:val="19"/>
              </w:rPr>
              <w:t>disability services:</w:t>
            </w:r>
          </w:p>
        </w:tc>
      </w:tr>
      <w:tr w:rsidR="00EA1F74" w:rsidTr="00A85C4E">
        <w:trPr>
          <w:trHeight w:val="328"/>
        </w:trPr>
        <w:tc>
          <w:tcPr>
            <w:tcW w:w="960" w:type="dxa"/>
            <w:tcBorders>
              <w:top w:val="nil"/>
              <w:bottom w:val="nil"/>
            </w:tcBorders>
            <w:shd w:val="clear" w:color="auto" w:fill="F2F2F2" w:themeFill="background1" w:themeFillShade="F2"/>
          </w:tcPr>
          <w:p w:rsidR="00EA1F74" w:rsidRDefault="00FC1CE8">
            <w:pPr>
              <w:pStyle w:val="TableParagraph"/>
              <w:spacing w:before="5"/>
              <w:ind w:left="109"/>
              <w:rPr>
                <w:b/>
                <w:sz w:val="19"/>
              </w:rPr>
            </w:pPr>
            <w:r>
              <w:rPr>
                <w:b/>
                <w:w w:val="105"/>
                <w:sz w:val="19"/>
              </w:rPr>
              <w:t>14-17</w:t>
            </w:r>
          </w:p>
        </w:tc>
        <w:tc>
          <w:tcPr>
            <w:tcW w:w="9547" w:type="dxa"/>
            <w:tcBorders>
              <w:top w:val="nil"/>
              <w:bottom w:val="nil"/>
            </w:tcBorders>
            <w:shd w:val="clear" w:color="auto" w:fill="F2F2F2" w:themeFill="background1" w:themeFillShade="F2"/>
          </w:tcPr>
          <w:p w:rsidR="00EA1F74" w:rsidRDefault="00FC1CE8">
            <w:pPr>
              <w:pStyle w:val="TableParagraph"/>
              <w:spacing w:before="67"/>
              <w:ind w:left="109"/>
              <w:rPr>
                <w:b/>
                <w:sz w:val="19"/>
              </w:rPr>
            </w:pPr>
            <w:r>
              <w:rPr>
                <w:b/>
                <w:w w:val="105"/>
                <w:sz w:val="19"/>
              </w:rPr>
              <w:t>In 2014-2015:</w:t>
            </w:r>
          </w:p>
        </w:tc>
      </w:tr>
      <w:tr w:rsidR="00EA1F74" w:rsidTr="00A85C4E">
        <w:trPr>
          <w:trHeight w:val="28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25"/>
              </w:numPr>
              <w:tabs>
                <w:tab w:val="left" w:pos="426"/>
                <w:tab w:val="left" w:pos="427"/>
              </w:tabs>
              <w:spacing w:before="28"/>
              <w:ind w:hanging="318"/>
              <w:rPr>
                <w:sz w:val="19"/>
              </w:rPr>
            </w:pPr>
            <w:r>
              <w:rPr>
                <w:w w:val="105"/>
                <w:sz w:val="19"/>
              </w:rPr>
              <w:t>Cerebral palsy</w:t>
            </w:r>
            <w:r>
              <w:rPr>
                <w:spacing w:val="1"/>
                <w:w w:val="105"/>
                <w:sz w:val="19"/>
              </w:rPr>
              <w:t xml:space="preserve"> </w:t>
            </w:r>
            <w:r>
              <w:rPr>
                <w:w w:val="105"/>
                <w:sz w:val="19"/>
              </w:rPr>
              <w:t>(7.46%);</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24"/>
              </w:numPr>
              <w:tabs>
                <w:tab w:val="left" w:pos="426"/>
                <w:tab w:val="left" w:pos="427"/>
              </w:tabs>
              <w:spacing w:line="224" w:lineRule="exact"/>
              <w:ind w:hanging="318"/>
              <w:rPr>
                <w:sz w:val="19"/>
              </w:rPr>
            </w:pPr>
            <w:r>
              <w:rPr>
                <w:w w:val="105"/>
                <w:sz w:val="19"/>
              </w:rPr>
              <w:t>Down syndrome</w:t>
            </w:r>
            <w:r>
              <w:rPr>
                <w:spacing w:val="2"/>
                <w:w w:val="105"/>
                <w:sz w:val="19"/>
              </w:rPr>
              <w:t xml:space="preserve"> </w:t>
            </w:r>
            <w:r>
              <w:rPr>
                <w:w w:val="105"/>
                <w:sz w:val="19"/>
              </w:rPr>
              <w:t>(7.02%)</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23"/>
              </w:numPr>
              <w:tabs>
                <w:tab w:val="left" w:pos="426"/>
                <w:tab w:val="left" w:pos="427"/>
              </w:tabs>
              <w:spacing w:line="222" w:lineRule="exact"/>
              <w:ind w:hanging="318"/>
              <w:rPr>
                <w:sz w:val="19"/>
              </w:rPr>
            </w:pPr>
            <w:r>
              <w:rPr>
                <w:w w:val="105"/>
                <w:sz w:val="19"/>
              </w:rPr>
              <w:t>Epilepsy</w:t>
            </w:r>
            <w:r>
              <w:rPr>
                <w:spacing w:val="1"/>
                <w:w w:val="105"/>
                <w:sz w:val="19"/>
              </w:rPr>
              <w:t xml:space="preserve"> </w:t>
            </w:r>
            <w:r>
              <w:rPr>
                <w:w w:val="105"/>
                <w:sz w:val="19"/>
              </w:rPr>
              <w:t>(6.14%)</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22"/>
              </w:numPr>
              <w:tabs>
                <w:tab w:val="left" w:pos="426"/>
                <w:tab w:val="left" w:pos="427"/>
              </w:tabs>
              <w:spacing w:line="221" w:lineRule="exact"/>
              <w:ind w:hanging="318"/>
              <w:rPr>
                <w:sz w:val="19"/>
              </w:rPr>
            </w:pPr>
            <w:r>
              <w:rPr>
                <w:w w:val="105"/>
                <w:sz w:val="19"/>
              </w:rPr>
              <w:t>Pneumonitis due to solids and liquids</w:t>
            </w:r>
            <w:r>
              <w:rPr>
                <w:spacing w:val="6"/>
                <w:w w:val="105"/>
                <w:sz w:val="19"/>
              </w:rPr>
              <w:t xml:space="preserve"> </w:t>
            </w:r>
            <w:r>
              <w:rPr>
                <w:w w:val="105"/>
                <w:sz w:val="19"/>
              </w:rPr>
              <w:t>(5.26%)</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21"/>
              </w:numPr>
              <w:tabs>
                <w:tab w:val="left" w:pos="426"/>
                <w:tab w:val="left" w:pos="427"/>
              </w:tabs>
              <w:spacing w:line="224" w:lineRule="exact"/>
              <w:ind w:hanging="318"/>
              <w:rPr>
                <w:sz w:val="19"/>
              </w:rPr>
            </w:pPr>
            <w:r>
              <w:rPr>
                <w:w w:val="105"/>
                <w:sz w:val="19"/>
              </w:rPr>
              <w:t>Chronic ischaemic heart disease</w:t>
            </w:r>
            <w:r>
              <w:rPr>
                <w:spacing w:val="3"/>
                <w:w w:val="105"/>
                <w:sz w:val="19"/>
              </w:rPr>
              <w:t xml:space="preserve"> </w:t>
            </w:r>
            <w:r>
              <w:rPr>
                <w:w w:val="105"/>
                <w:sz w:val="19"/>
              </w:rPr>
              <w:t>(4.39%)</w:t>
            </w:r>
          </w:p>
        </w:tc>
      </w:tr>
      <w:tr w:rsidR="00EA1F74" w:rsidTr="00A85C4E">
        <w:trPr>
          <w:trHeight w:val="35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20"/>
              </w:numPr>
              <w:tabs>
                <w:tab w:val="left" w:pos="426"/>
                <w:tab w:val="left" w:pos="427"/>
              </w:tabs>
              <w:spacing w:line="224" w:lineRule="exact"/>
              <w:ind w:hanging="318"/>
              <w:rPr>
                <w:sz w:val="19"/>
              </w:rPr>
            </w:pPr>
            <w:r>
              <w:rPr>
                <w:w w:val="105"/>
                <w:sz w:val="19"/>
              </w:rPr>
              <w:t>Pneumonia, organism unspecified</w:t>
            </w:r>
            <w:r>
              <w:rPr>
                <w:spacing w:val="3"/>
                <w:w w:val="105"/>
                <w:sz w:val="19"/>
              </w:rPr>
              <w:t xml:space="preserve"> </w:t>
            </w:r>
            <w:r>
              <w:rPr>
                <w:w w:val="105"/>
                <w:sz w:val="19"/>
              </w:rPr>
              <w:t>(4.39%).</w:t>
            </w:r>
          </w:p>
        </w:tc>
      </w:tr>
      <w:tr w:rsidR="00EA1F74" w:rsidTr="00A85C4E">
        <w:trPr>
          <w:trHeight w:val="341"/>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spacing w:before="109" w:line="212" w:lineRule="exact"/>
              <w:ind w:left="109"/>
              <w:rPr>
                <w:b/>
                <w:sz w:val="19"/>
              </w:rPr>
            </w:pPr>
            <w:r>
              <w:rPr>
                <w:b/>
                <w:w w:val="105"/>
                <w:sz w:val="19"/>
              </w:rPr>
              <w:t>In 2016-2017:</w:t>
            </w:r>
          </w:p>
        </w:tc>
      </w:tr>
      <w:tr w:rsidR="00EA1F74" w:rsidTr="00A85C4E">
        <w:trPr>
          <w:trHeight w:val="253"/>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9"/>
              </w:numPr>
              <w:tabs>
                <w:tab w:val="left" w:pos="426"/>
                <w:tab w:val="left" w:pos="427"/>
              </w:tabs>
              <w:spacing w:line="232" w:lineRule="exact"/>
              <w:ind w:hanging="318"/>
              <w:rPr>
                <w:sz w:val="19"/>
              </w:rPr>
            </w:pPr>
            <w:r>
              <w:rPr>
                <w:w w:val="105"/>
                <w:sz w:val="19"/>
              </w:rPr>
              <w:t>Pneumonitis due to solids and liquids</w:t>
            </w:r>
            <w:r>
              <w:rPr>
                <w:spacing w:val="6"/>
                <w:w w:val="105"/>
                <w:sz w:val="19"/>
              </w:rPr>
              <w:t xml:space="preserve"> </w:t>
            </w:r>
            <w:r>
              <w:rPr>
                <w:w w:val="105"/>
                <w:sz w:val="19"/>
              </w:rPr>
              <w:t>(9.3%)</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8"/>
              </w:numPr>
              <w:tabs>
                <w:tab w:val="left" w:pos="426"/>
                <w:tab w:val="left" w:pos="427"/>
              </w:tabs>
              <w:spacing w:line="224" w:lineRule="exact"/>
              <w:ind w:hanging="318"/>
              <w:rPr>
                <w:sz w:val="19"/>
              </w:rPr>
            </w:pPr>
            <w:r>
              <w:rPr>
                <w:w w:val="105"/>
                <w:sz w:val="19"/>
              </w:rPr>
              <w:t>Down Syndrome</w:t>
            </w:r>
            <w:r>
              <w:rPr>
                <w:spacing w:val="2"/>
                <w:w w:val="105"/>
                <w:sz w:val="19"/>
              </w:rPr>
              <w:t xml:space="preserve"> </w:t>
            </w:r>
            <w:r>
              <w:rPr>
                <w:w w:val="105"/>
                <w:sz w:val="19"/>
              </w:rPr>
              <w:t>(8.1%)</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7"/>
              </w:numPr>
              <w:tabs>
                <w:tab w:val="left" w:pos="426"/>
                <w:tab w:val="left" w:pos="427"/>
              </w:tabs>
              <w:spacing w:line="222" w:lineRule="exact"/>
              <w:ind w:hanging="318"/>
              <w:rPr>
                <w:sz w:val="19"/>
              </w:rPr>
            </w:pPr>
            <w:r>
              <w:rPr>
                <w:w w:val="105"/>
                <w:sz w:val="19"/>
              </w:rPr>
              <w:t>Paralytic ileus and intestinal obstruction without hernia</w:t>
            </w:r>
            <w:r>
              <w:rPr>
                <w:spacing w:val="4"/>
                <w:w w:val="105"/>
                <w:sz w:val="19"/>
              </w:rPr>
              <w:t xml:space="preserve"> </w:t>
            </w:r>
            <w:r>
              <w:rPr>
                <w:w w:val="105"/>
                <w:sz w:val="19"/>
              </w:rPr>
              <w:t>(4.4%)</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6"/>
              </w:numPr>
              <w:tabs>
                <w:tab w:val="left" w:pos="426"/>
                <w:tab w:val="left" w:pos="427"/>
              </w:tabs>
              <w:spacing w:line="221" w:lineRule="exact"/>
              <w:ind w:hanging="318"/>
              <w:rPr>
                <w:sz w:val="19"/>
              </w:rPr>
            </w:pPr>
            <w:r>
              <w:rPr>
                <w:w w:val="105"/>
                <w:sz w:val="19"/>
              </w:rPr>
              <w:t>Epilepsy</w:t>
            </w:r>
            <w:r>
              <w:rPr>
                <w:spacing w:val="1"/>
                <w:w w:val="105"/>
                <w:sz w:val="19"/>
              </w:rPr>
              <w:t xml:space="preserve"> </w:t>
            </w:r>
            <w:r>
              <w:rPr>
                <w:w w:val="105"/>
                <w:sz w:val="19"/>
              </w:rPr>
              <w:t>(4.0%)</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5"/>
              </w:numPr>
              <w:tabs>
                <w:tab w:val="left" w:pos="426"/>
                <w:tab w:val="left" w:pos="427"/>
              </w:tabs>
              <w:spacing w:line="224" w:lineRule="exact"/>
              <w:ind w:hanging="318"/>
              <w:rPr>
                <w:sz w:val="19"/>
              </w:rPr>
            </w:pPr>
            <w:r>
              <w:rPr>
                <w:w w:val="105"/>
                <w:sz w:val="19"/>
              </w:rPr>
              <w:t>Pneumonia, organism unspecified</w:t>
            </w:r>
            <w:r>
              <w:rPr>
                <w:spacing w:val="3"/>
                <w:w w:val="105"/>
                <w:sz w:val="19"/>
              </w:rPr>
              <w:t xml:space="preserve"> </w:t>
            </w:r>
            <w:r>
              <w:rPr>
                <w:w w:val="105"/>
                <w:sz w:val="19"/>
              </w:rPr>
              <w:t>(4.0%)</w:t>
            </w:r>
          </w:p>
        </w:tc>
      </w:tr>
      <w:tr w:rsidR="00EA1F74" w:rsidTr="00A85C4E">
        <w:trPr>
          <w:trHeight w:val="465"/>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4"/>
              </w:numPr>
              <w:tabs>
                <w:tab w:val="left" w:pos="426"/>
                <w:tab w:val="left" w:pos="427"/>
              </w:tabs>
              <w:spacing w:line="224" w:lineRule="exact"/>
              <w:ind w:hanging="318"/>
              <w:rPr>
                <w:sz w:val="19"/>
              </w:rPr>
            </w:pPr>
            <w:r>
              <w:rPr>
                <w:w w:val="105"/>
                <w:sz w:val="19"/>
              </w:rPr>
              <w:t>Severe mental retardation</w:t>
            </w:r>
            <w:r>
              <w:rPr>
                <w:spacing w:val="2"/>
                <w:w w:val="105"/>
                <w:sz w:val="19"/>
              </w:rPr>
              <w:t xml:space="preserve"> </w:t>
            </w:r>
            <w:r>
              <w:rPr>
                <w:w w:val="105"/>
                <w:sz w:val="19"/>
              </w:rPr>
              <w:t>(3.2%).</w:t>
            </w:r>
          </w:p>
        </w:tc>
      </w:tr>
      <w:tr w:rsidR="00EA1F74" w:rsidTr="00A85C4E">
        <w:trPr>
          <w:trHeight w:val="481"/>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EA1F74">
            <w:pPr>
              <w:pStyle w:val="TableParagraph"/>
              <w:spacing w:before="6"/>
              <w:rPr>
                <w:sz w:val="19"/>
              </w:rPr>
            </w:pPr>
          </w:p>
          <w:p w:rsidR="00EA1F74" w:rsidRDefault="00FC1CE8">
            <w:pPr>
              <w:pStyle w:val="TableParagraph"/>
              <w:ind w:left="109"/>
              <w:rPr>
                <w:b/>
                <w:i/>
                <w:sz w:val="19"/>
              </w:rPr>
            </w:pPr>
            <w:r>
              <w:rPr>
                <w:b/>
                <w:w w:val="105"/>
                <w:sz w:val="19"/>
              </w:rPr>
              <w:t xml:space="preserve">The leading underlying causes of death of people in </w:t>
            </w:r>
            <w:r>
              <w:rPr>
                <w:b/>
                <w:i/>
                <w:w w:val="105"/>
                <w:sz w:val="19"/>
              </w:rPr>
              <w:t>assisted boarding houses</w:t>
            </w:r>
          </w:p>
        </w:tc>
      </w:tr>
      <w:tr w:rsidR="00EA1F74" w:rsidTr="00A85C4E">
        <w:trPr>
          <w:trHeight w:val="297"/>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spacing w:before="36"/>
              <w:ind w:left="109"/>
              <w:rPr>
                <w:b/>
                <w:sz w:val="19"/>
              </w:rPr>
            </w:pPr>
            <w:r>
              <w:rPr>
                <w:b/>
                <w:w w:val="105"/>
                <w:sz w:val="19"/>
              </w:rPr>
              <w:t>In 2014-2015:</w:t>
            </w:r>
          </w:p>
        </w:tc>
      </w:tr>
      <w:tr w:rsidR="00EA1F74" w:rsidTr="00A85C4E">
        <w:trPr>
          <w:trHeight w:val="28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3"/>
              </w:numPr>
              <w:tabs>
                <w:tab w:val="left" w:pos="426"/>
                <w:tab w:val="left" w:pos="427"/>
              </w:tabs>
              <w:spacing w:before="28"/>
              <w:ind w:hanging="318"/>
              <w:rPr>
                <w:sz w:val="19"/>
              </w:rPr>
            </w:pPr>
            <w:r>
              <w:rPr>
                <w:w w:val="105"/>
                <w:sz w:val="19"/>
              </w:rPr>
              <w:t>Chronic ischaemic heart disease</w:t>
            </w:r>
            <w:r>
              <w:rPr>
                <w:spacing w:val="3"/>
                <w:w w:val="105"/>
                <w:sz w:val="19"/>
              </w:rPr>
              <w:t xml:space="preserve"> </w:t>
            </w:r>
            <w:r>
              <w:rPr>
                <w:w w:val="105"/>
                <w:sz w:val="19"/>
              </w:rPr>
              <w:t>(37.5%)</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2"/>
              </w:numPr>
              <w:tabs>
                <w:tab w:val="left" w:pos="426"/>
                <w:tab w:val="left" w:pos="427"/>
              </w:tabs>
              <w:spacing w:line="224" w:lineRule="exact"/>
              <w:ind w:hanging="318"/>
              <w:rPr>
                <w:sz w:val="19"/>
              </w:rPr>
            </w:pPr>
            <w:r>
              <w:rPr>
                <w:w w:val="105"/>
                <w:sz w:val="19"/>
              </w:rPr>
              <w:t>Emphysema</w:t>
            </w:r>
            <w:r>
              <w:rPr>
                <w:spacing w:val="1"/>
                <w:w w:val="105"/>
                <w:sz w:val="19"/>
              </w:rPr>
              <w:t xml:space="preserve"> </w:t>
            </w:r>
            <w:r>
              <w:rPr>
                <w:w w:val="105"/>
                <w:sz w:val="19"/>
              </w:rPr>
              <w:t>(12.5%)</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1"/>
              </w:numPr>
              <w:tabs>
                <w:tab w:val="left" w:pos="426"/>
                <w:tab w:val="left" w:pos="427"/>
              </w:tabs>
              <w:spacing w:line="222" w:lineRule="exact"/>
              <w:ind w:hanging="318"/>
              <w:rPr>
                <w:sz w:val="19"/>
              </w:rPr>
            </w:pPr>
            <w:r>
              <w:rPr>
                <w:w w:val="105"/>
                <w:sz w:val="19"/>
              </w:rPr>
              <w:t>Malignant neoplasm of bronchus and lung</w:t>
            </w:r>
            <w:r>
              <w:rPr>
                <w:spacing w:val="5"/>
                <w:w w:val="105"/>
                <w:sz w:val="19"/>
              </w:rPr>
              <w:t xml:space="preserve"> </w:t>
            </w:r>
            <w:r>
              <w:rPr>
                <w:w w:val="105"/>
                <w:sz w:val="19"/>
              </w:rPr>
              <w:t>(12.5%)</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10"/>
              </w:numPr>
              <w:tabs>
                <w:tab w:val="left" w:pos="426"/>
                <w:tab w:val="left" w:pos="427"/>
              </w:tabs>
              <w:spacing w:line="221" w:lineRule="exact"/>
              <w:ind w:hanging="318"/>
              <w:rPr>
                <w:sz w:val="19"/>
              </w:rPr>
            </w:pPr>
            <w:r>
              <w:rPr>
                <w:w w:val="105"/>
                <w:sz w:val="19"/>
              </w:rPr>
              <w:t>Other malignant neoplasms of skin</w:t>
            </w:r>
            <w:r>
              <w:rPr>
                <w:spacing w:val="2"/>
                <w:w w:val="105"/>
                <w:sz w:val="19"/>
              </w:rPr>
              <w:t xml:space="preserve"> </w:t>
            </w:r>
            <w:r>
              <w:rPr>
                <w:w w:val="105"/>
                <w:sz w:val="19"/>
              </w:rPr>
              <w:t>(12.5%)</w:t>
            </w:r>
          </w:p>
        </w:tc>
      </w:tr>
      <w:tr w:rsidR="00EA1F74" w:rsidTr="00A85C4E">
        <w:trPr>
          <w:trHeight w:val="35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9"/>
              </w:numPr>
              <w:tabs>
                <w:tab w:val="left" w:pos="426"/>
                <w:tab w:val="left" w:pos="427"/>
              </w:tabs>
              <w:spacing w:line="224" w:lineRule="exact"/>
              <w:ind w:hanging="318"/>
              <w:rPr>
                <w:sz w:val="19"/>
              </w:rPr>
            </w:pPr>
            <w:r>
              <w:rPr>
                <w:w w:val="105"/>
                <w:sz w:val="19"/>
              </w:rPr>
              <w:t>Other sepsis</w:t>
            </w:r>
            <w:r>
              <w:rPr>
                <w:spacing w:val="1"/>
                <w:w w:val="105"/>
                <w:sz w:val="19"/>
              </w:rPr>
              <w:t xml:space="preserve"> </w:t>
            </w:r>
            <w:r>
              <w:rPr>
                <w:w w:val="105"/>
                <w:sz w:val="19"/>
              </w:rPr>
              <w:t>(12.5%).</w:t>
            </w:r>
          </w:p>
        </w:tc>
      </w:tr>
      <w:tr w:rsidR="00EA1F74" w:rsidTr="00A85C4E">
        <w:trPr>
          <w:trHeight w:val="3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spacing w:before="112" w:line="212" w:lineRule="exact"/>
              <w:ind w:left="109"/>
              <w:rPr>
                <w:b/>
                <w:sz w:val="19"/>
              </w:rPr>
            </w:pPr>
            <w:r>
              <w:rPr>
                <w:b/>
                <w:w w:val="105"/>
                <w:sz w:val="19"/>
              </w:rPr>
              <w:t>In 2016-2017:</w:t>
            </w:r>
          </w:p>
        </w:tc>
      </w:tr>
      <w:tr w:rsidR="00EA1F74" w:rsidTr="00A85C4E">
        <w:trPr>
          <w:trHeight w:val="250"/>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8"/>
              </w:numPr>
              <w:tabs>
                <w:tab w:val="left" w:pos="426"/>
                <w:tab w:val="left" w:pos="427"/>
              </w:tabs>
              <w:spacing w:line="231" w:lineRule="exact"/>
              <w:ind w:hanging="318"/>
              <w:rPr>
                <w:sz w:val="19"/>
              </w:rPr>
            </w:pPr>
            <w:r>
              <w:rPr>
                <w:w w:val="105"/>
                <w:sz w:val="19"/>
              </w:rPr>
              <w:t>Acute myocardial infarction</w:t>
            </w:r>
            <w:r>
              <w:rPr>
                <w:spacing w:val="2"/>
                <w:w w:val="105"/>
                <w:sz w:val="19"/>
              </w:rPr>
              <w:t xml:space="preserve"> </w:t>
            </w:r>
            <w:r>
              <w:rPr>
                <w:w w:val="105"/>
                <w:sz w:val="19"/>
              </w:rPr>
              <w:t>(20.0%)</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7"/>
              </w:numPr>
              <w:tabs>
                <w:tab w:val="left" w:pos="426"/>
                <w:tab w:val="left" w:pos="427"/>
              </w:tabs>
              <w:spacing w:line="221" w:lineRule="exact"/>
              <w:ind w:hanging="318"/>
              <w:rPr>
                <w:sz w:val="19"/>
              </w:rPr>
            </w:pPr>
            <w:r>
              <w:rPr>
                <w:w w:val="105"/>
                <w:sz w:val="19"/>
              </w:rPr>
              <w:t>Malignant neoplasm of bladder</w:t>
            </w:r>
            <w:r>
              <w:rPr>
                <w:spacing w:val="2"/>
                <w:w w:val="105"/>
                <w:sz w:val="19"/>
              </w:rPr>
              <w:t xml:space="preserve"> </w:t>
            </w:r>
            <w:r>
              <w:rPr>
                <w:w w:val="105"/>
                <w:sz w:val="19"/>
              </w:rPr>
              <w:t>(10.0%)</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6"/>
              </w:numPr>
              <w:tabs>
                <w:tab w:val="left" w:pos="426"/>
                <w:tab w:val="left" w:pos="427"/>
              </w:tabs>
              <w:spacing w:line="224" w:lineRule="exact"/>
              <w:ind w:hanging="318"/>
              <w:rPr>
                <w:sz w:val="19"/>
              </w:rPr>
            </w:pPr>
            <w:r>
              <w:rPr>
                <w:w w:val="105"/>
                <w:sz w:val="19"/>
              </w:rPr>
              <w:t>Malignant neoplasm of rectum</w:t>
            </w:r>
            <w:r>
              <w:rPr>
                <w:spacing w:val="4"/>
                <w:w w:val="105"/>
                <w:sz w:val="19"/>
              </w:rPr>
              <w:t xml:space="preserve"> </w:t>
            </w:r>
            <w:r>
              <w:rPr>
                <w:w w:val="105"/>
                <w:sz w:val="19"/>
              </w:rPr>
              <w:t>(10.0%</w:t>
            </w:r>
          </w:p>
        </w:tc>
      </w:tr>
      <w:tr w:rsidR="00EA1F74" w:rsidTr="00A85C4E">
        <w:trPr>
          <w:trHeight w:val="244"/>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5"/>
              </w:numPr>
              <w:tabs>
                <w:tab w:val="left" w:pos="426"/>
                <w:tab w:val="left" w:pos="427"/>
              </w:tabs>
              <w:spacing w:line="224" w:lineRule="exact"/>
              <w:ind w:hanging="318"/>
              <w:rPr>
                <w:sz w:val="19"/>
              </w:rPr>
            </w:pPr>
            <w:r>
              <w:rPr>
                <w:w w:val="105"/>
                <w:sz w:val="19"/>
              </w:rPr>
              <w:t>Malignant neoplasm without specification of site</w:t>
            </w:r>
            <w:r>
              <w:rPr>
                <w:spacing w:val="3"/>
                <w:w w:val="105"/>
                <w:sz w:val="19"/>
              </w:rPr>
              <w:t xml:space="preserve"> </w:t>
            </w:r>
            <w:r>
              <w:rPr>
                <w:w w:val="105"/>
                <w:sz w:val="19"/>
              </w:rPr>
              <w:t>(10.0%)</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4"/>
              </w:numPr>
              <w:tabs>
                <w:tab w:val="left" w:pos="426"/>
                <w:tab w:val="left" w:pos="427"/>
              </w:tabs>
              <w:spacing w:line="222" w:lineRule="exact"/>
              <w:ind w:hanging="318"/>
              <w:rPr>
                <w:sz w:val="19"/>
              </w:rPr>
            </w:pPr>
            <w:r>
              <w:rPr>
                <w:w w:val="105"/>
                <w:sz w:val="19"/>
              </w:rPr>
              <w:t>Other chronic obstructive pulmonary disease</w:t>
            </w:r>
            <w:r>
              <w:rPr>
                <w:spacing w:val="4"/>
                <w:w w:val="105"/>
                <w:sz w:val="19"/>
              </w:rPr>
              <w:t xml:space="preserve"> </w:t>
            </w:r>
            <w:r>
              <w:rPr>
                <w:w w:val="105"/>
                <w:sz w:val="19"/>
              </w:rPr>
              <w:t>(10.0%)</w:t>
            </w:r>
          </w:p>
        </w:tc>
      </w:tr>
      <w:tr w:rsidR="00EA1F74" w:rsidTr="00A85C4E">
        <w:trPr>
          <w:trHeight w:val="242"/>
        </w:trPr>
        <w:tc>
          <w:tcPr>
            <w:tcW w:w="960" w:type="dxa"/>
            <w:tcBorders>
              <w:top w:val="nil"/>
              <w:bottom w:val="nil"/>
            </w:tcBorders>
            <w:shd w:val="clear" w:color="auto" w:fill="F2F2F2" w:themeFill="background1" w:themeFillShade="F2"/>
          </w:tcPr>
          <w:p w:rsidR="00EA1F74" w:rsidRDefault="00EA1F74">
            <w:pPr>
              <w:pStyle w:val="TableParagraph"/>
              <w:rPr>
                <w:rFonts w:ascii="Times New Roman"/>
                <w:sz w:val="16"/>
              </w:rPr>
            </w:pPr>
          </w:p>
        </w:tc>
        <w:tc>
          <w:tcPr>
            <w:tcW w:w="9547" w:type="dxa"/>
            <w:tcBorders>
              <w:top w:val="nil"/>
              <w:bottom w:val="nil"/>
            </w:tcBorders>
            <w:shd w:val="clear" w:color="auto" w:fill="F2F2F2" w:themeFill="background1" w:themeFillShade="F2"/>
          </w:tcPr>
          <w:p w:rsidR="00EA1F74" w:rsidRDefault="00FC1CE8">
            <w:pPr>
              <w:pStyle w:val="TableParagraph"/>
              <w:numPr>
                <w:ilvl w:val="0"/>
                <w:numId w:val="3"/>
              </w:numPr>
              <w:tabs>
                <w:tab w:val="left" w:pos="426"/>
                <w:tab w:val="left" w:pos="427"/>
              </w:tabs>
              <w:spacing w:line="221" w:lineRule="exact"/>
              <w:ind w:hanging="318"/>
              <w:rPr>
                <w:sz w:val="19"/>
              </w:rPr>
            </w:pPr>
            <w:r>
              <w:rPr>
                <w:w w:val="105"/>
                <w:sz w:val="19"/>
              </w:rPr>
              <w:t>Other ill-defined and unspecified causes of mortality</w:t>
            </w:r>
            <w:r>
              <w:rPr>
                <w:spacing w:val="4"/>
                <w:w w:val="105"/>
                <w:sz w:val="19"/>
              </w:rPr>
              <w:t xml:space="preserve"> </w:t>
            </w:r>
            <w:r>
              <w:rPr>
                <w:w w:val="105"/>
                <w:sz w:val="19"/>
              </w:rPr>
              <w:t>(10.0%)</w:t>
            </w:r>
          </w:p>
        </w:tc>
      </w:tr>
      <w:tr w:rsidR="00EA1F74" w:rsidTr="00A85C4E">
        <w:trPr>
          <w:trHeight w:val="517"/>
        </w:trPr>
        <w:tc>
          <w:tcPr>
            <w:tcW w:w="960" w:type="dxa"/>
            <w:tcBorders>
              <w:top w:val="nil"/>
            </w:tcBorders>
            <w:shd w:val="clear" w:color="auto" w:fill="F2F2F2" w:themeFill="background1" w:themeFillShade="F2"/>
          </w:tcPr>
          <w:p w:rsidR="00EA1F74" w:rsidRDefault="00EA1F74">
            <w:pPr>
              <w:pStyle w:val="TableParagraph"/>
              <w:rPr>
                <w:rFonts w:ascii="Times New Roman"/>
                <w:sz w:val="18"/>
              </w:rPr>
            </w:pPr>
          </w:p>
        </w:tc>
        <w:tc>
          <w:tcPr>
            <w:tcW w:w="9547" w:type="dxa"/>
            <w:tcBorders>
              <w:top w:val="nil"/>
            </w:tcBorders>
            <w:shd w:val="clear" w:color="auto" w:fill="F2F2F2" w:themeFill="background1" w:themeFillShade="F2"/>
          </w:tcPr>
          <w:p w:rsidR="00EA1F74" w:rsidRDefault="00FC1CE8">
            <w:pPr>
              <w:pStyle w:val="TableParagraph"/>
              <w:numPr>
                <w:ilvl w:val="0"/>
                <w:numId w:val="2"/>
              </w:numPr>
              <w:tabs>
                <w:tab w:val="left" w:pos="426"/>
                <w:tab w:val="left" w:pos="427"/>
              </w:tabs>
              <w:spacing w:line="224" w:lineRule="exact"/>
              <w:ind w:hanging="318"/>
              <w:rPr>
                <w:sz w:val="19"/>
              </w:rPr>
            </w:pPr>
            <w:r>
              <w:rPr>
                <w:w w:val="105"/>
                <w:sz w:val="19"/>
              </w:rPr>
              <w:t>Pedestrian injured in collision with heavy transport vehicle or bus</w:t>
            </w:r>
            <w:r>
              <w:rPr>
                <w:spacing w:val="5"/>
                <w:w w:val="105"/>
                <w:sz w:val="19"/>
              </w:rPr>
              <w:t xml:space="preserve"> </w:t>
            </w:r>
            <w:r>
              <w:rPr>
                <w:w w:val="105"/>
                <w:sz w:val="19"/>
              </w:rPr>
              <w:t>(10.0%).</w:t>
            </w:r>
          </w:p>
        </w:tc>
      </w:tr>
    </w:tbl>
    <w:p w:rsidR="00EA1F74" w:rsidRDefault="00EA1F74">
      <w:pPr>
        <w:spacing w:line="224" w:lineRule="exact"/>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0"/>
        </w:rPr>
      </w:pPr>
    </w:p>
    <w:p w:rsidR="00EA1F74" w:rsidRDefault="00FC1CE8">
      <w:pPr>
        <w:pStyle w:val="Heading4"/>
        <w:spacing w:before="93"/>
      </w:pPr>
      <w:bookmarkStart w:id="37" w:name="_TOC_250028"/>
      <w:bookmarkEnd w:id="37"/>
      <w:r>
        <w:rPr>
          <w:color w:val="4472C4"/>
        </w:rPr>
        <w:t>Associated causes of death and other contributory causes of death</w:t>
      </w:r>
    </w:p>
    <w:p w:rsidR="00EA1F74" w:rsidRDefault="00FC1CE8" w:rsidP="00625DA1">
      <w:pPr>
        <w:pStyle w:val="BodyText"/>
      </w:pPr>
      <w:r>
        <w:t xml:space="preserve">NSW was the only state that systematically and quantifiably accounted for contributing and direct causes of death in addition to underlying causes. Unfortunately, details about the methodology and definitions relied upon to calculate these figures were not included </w:t>
      </w:r>
      <w:r>
        <w:rPr>
          <w:spacing w:val="-8"/>
        </w:rPr>
        <w:t xml:space="preserve">in </w:t>
      </w:r>
      <w:r>
        <w:t xml:space="preserve">their in-scope reports. Analysis by the NSW Ombudsman has highlighted respiratory disease as the largest </w:t>
      </w:r>
      <w:r>
        <w:rPr>
          <w:i/>
        </w:rPr>
        <w:t xml:space="preserve">contributory cause </w:t>
      </w:r>
      <w:r>
        <w:t>of death for people in disability services (either as an underlying or associated cause of death). Respiratory disease contributed to approximately half of all disability service deaths in the 2012-2013, 2014-2015 and 2016- 2017 biannual reporting periods (50%, 46% and 46% respectively). This finding can, in part, be explained by the role respiratory diseases commonly play as a direct cause of death of people whose underlying cause of death are neoplasms such as lung cancer, nervous system diseases (such as cerebral palsy), or congenital and chromosomal conditions (such as Down syndrome). Mental and behavioural disorders were reported to contribute to 25% of disability service deaths in 2012-13 as an associated cause. For people in assisted boarding houses, circulatory diseases, neoplasms, mental and behavioural disorders and respiratory diseases were the leading contributory causes of deaths.</w:t>
      </w:r>
    </w:p>
    <w:p w:rsidR="00EA1F74" w:rsidRDefault="00EA1F74" w:rsidP="00625DA1">
      <w:pPr>
        <w:pStyle w:val="BodyText"/>
      </w:pPr>
    </w:p>
    <w:p w:rsidR="00EA1F74" w:rsidRDefault="00EA1F74" w:rsidP="00625DA1">
      <w:pPr>
        <w:pStyle w:val="BodyText"/>
      </w:pPr>
    </w:p>
    <w:p w:rsidR="00EA1F74" w:rsidRDefault="00FC1CE8">
      <w:pPr>
        <w:pStyle w:val="Heading4"/>
      </w:pPr>
      <w:bookmarkStart w:id="38" w:name="_TOC_250027"/>
      <w:bookmarkEnd w:id="38"/>
      <w:r>
        <w:rPr>
          <w:color w:val="4472C4"/>
        </w:rPr>
        <w:t>Stratified demographics, causes and contributors to death</w:t>
      </w:r>
    </w:p>
    <w:p w:rsidR="00EA1F74" w:rsidRDefault="00FC1CE8" w:rsidP="00625DA1">
      <w:pPr>
        <w:pStyle w:val="BodyText"/>
      </w:pPr>
      <w:r>
        <w:t>Stratifying data can help to develop a more accurate picture of mortality data in specific populations. Particularly in relation to mortality data, such an analysis can help to isolate vulnerable populations and rationally target educational and other resources to populations most in need. Unfortunately, the way in which data were stratified across reports was highly varied. We were therefore unable to determine which, if any, patterns observed in each review were consistent across jurisdictions. We include the stratified analysis conducted in each review below in Table 22, since collectively they provide a guide for statistical analysis for the Commission to consider.</w:t>
      </w:r>
    </w:p>
    <w:p w:rsidR="00EA1F74" w:rsidRDefault="00EA1F74">
      <w:pPr>
        <w:spacing w:line="360" w:lineRule="auto"/>
        <w:sectPr w:rsidR="00EA1F74" w:rsidSect="00FA5D6D">
          <w:pgSz w:w="11900" w:h="16840"/>
          <w:pgMar w:top="1600" w:right="260" w:bottom="1300" w:left="140" w:header="0" w:footer="567" w:gutter="0"/>
          <w:cols w:space="720"/>
          <w:docGrid w:linePitch="299"/>
        </w:sectPr>
      </w:pPr>
    </w:p>
    <w:p w:rsidR="00EA1F74" w:rsidRDefault="00EA1F74" w:rsidP="00625DA1">
      <w:pPr>
        <w:pStyle w:val="BodyText"/>
      </w:pPr>
    </w:p>
    <w:p w:rsidR="00EA1F74" w:rsidRDefault="00FC1CE8" w:rsidP="00625DA1">
      <w:pPr>
        <w:pStyle w:val="BodyText"/>
      </w:pPr>
      <w:r>
        <w:t>Table 22: Deaths stratified by characteristics</w:t>
      </w: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926"/>
      </w:tblGrid>
      <w:tr w:rsidR="00EA1F74">
        <w:trPr>
          <w:trHeight w:val="521"/>
        </w:trPr>
        <w:tc>
          <w:tcPr>
            <w:tcW w:w="960" w:type="dxa"/>
            <w:tcBorders>
              <w:bottom w:val="single" w:sz="18" w:space="0" w:color="A5A5A5"/>
            </w:tcBorders>
          </w:tcPr>
          <w:p w:rsidR="00EA1F74" w:rsidRDefault="00FC1CE8">
            <w:pPr>
              <w:pStyle w:val="TableParagraph"/>
              <w:spacing w:before="8" w:line="252" w:lineRule="auto"/>
              <w:ind w:left="110" w:right="211"/>
              <w:rPr>
                <w:sz w:val="19"/>
              </w:rPr>
            </w:pPr>
            <w:r>
              <w:rPr>
                <w:w w:val="105"/>
                <w:sz w:val="19"/>
              </w:rPr>
              <w:t>Report ID</w:t>
            </w:r>
          </w:p>
        </w:tc>
        <w:tc>
          <w:tcPr>
            <w:tcW w:w="9926" w:type="dxa"/>
            <w:tcBorders>
              <w:bottom w:val="single" w:sz="18" w:space="0" w:color="A5A5A5"/>
            </w:tcBorders>
          </w:tcPr>
          <w:p w:rsidR="00EA1F74" w:rsidRDefault="00FC1CE8">
            <w:pPr>
              <w:pStyle w:val="TableParagraph"/>
              <w:spacing w:before="8"/>
              <w:ind w:left="110"/>
              <w:rPr>
                <w:sz w:val="19"/>
              </w:rPr>
            </w:pPr>
            <w:r>
              <w:rPr>
                <w:w w:val="105"/>
                <w:sz w:val="19"/>
              </w:rPr>
              <w:t>Stratified analysis of deaths</w:t>
            </w:r>
          </w:p>
        </w:tc>
      </w:tr>
      <w:tr w:rsidR="00EA1F74" w:rsidTr="00A85C4E">
        <w:trPr>
          <w:trHeight w:val="6857"/>
        </w:trPr>
        <w:tc>
          <w:tcPr>
            <w:tcW w:w="960" w:type="dxa"/>
            <w:tcBorders>
              <w:top w:val="single" w:sz="18" w:space="0" w:color="A5A5A5"/>
            </w:tcBorders>
            <w:shd w:val="clear" w:color="auto" w:fill="F2F2F2" w:themeFill="background1" w:themeFillShade="F2"/>
          </w:tcPr>
          <w:p w:rsidR="00EA1F74" w:rsidRDefault="00FC1CE8">
            <w:pPr>
              <w:pStyle w:val="TableParagraph"/>
              <w:spacing w:before="3" w:line="321" w:lineRule="auto"/>
              <w:ind w:left="110" w:right="316"/>
              <w:rPr>
                <w:b/>
                <w:sz w:val="19"/>
              </w:rPr>
            </w:pPr>
            <w:r>
              <w:rPr>
                <w:b/>
                <w:w w:val="105"/>
                <w:sz w:val="19"/>
              </w:rPr>
              <w:t>VIC 17-18</w:t>
            </w:r>
          </w:p>
        </w:tc>
        <w:tc>
          <w:tcPr>
            <w:tcW w:w="9926" w:type="dxa"/>
            <w:tcBorders>
              <w:top w:val="single" w:sz="18" w:space="0" w:color="A5A5A5"/>
            </w:tcBorders>
            <w:shd w:val="clear" w:color="auto" w:fill="F2F2F2" w:themeFill="background1" w:themeFillShade="F2"/>
          </w:tcPr>
          <w:p w:rsidR="00EA1F74" w:rsidRDefault="00FC1CE8">
            <w:pPr>
              <w:pStyle w:val="TableParagraph"/>
              <w:spacing w:before="3" w:line="252" w:lineRule="auto"/>
              <w:ind w:left="110" w:right="276"/>
              <w:rPr>
                <w:sz w:val="19"/>
              </w:rPr>
            </w:pPr>
            <w:r>
              <w:rPr>
                <w:b/>
                <w:w w:val="105"/>
                <w:sz w:val="19"/>
              </w:rPr>
              <w:t xml:space="preserve">Age at death by severity of intellectual disability: </w:t>
            </w:r>
            <w:r>
              <w:rPr>
                <w:w w:val="105"/>
                <w:sz w:val="19"/>
              </w:rPr>
              <w:t>“We have observed that on average, people with a profound or severe intellectual disability died four years younger than those with mild or moderate levels of intellectual disability. This preliminary finding confirms research conducted in the United Kingdom, which found that people with a profound intellectual disability had a median age at death of 46 years, while people with a mild intellectual disability had a median age at death of 67.5 years.94”.</w:t>
            </w:r>
          </w:p>
          <w:p w:rsidR="00EA1F74" w:rsidRDefault="00EA1F74">
            <w:pPr>
              <w:pStyle w:val="TableParagraph"/>
              <w:spacing w:before="10"/>
              <w:rPr>
                <w:sz w:val="30"/>
              </w:rPr>
            </w:pPr>
          </w:p>
          <w:p w:rsidR="00EA1F74" w:rsidRDefault="00FC1CE8">
            <w:pPr>
              <w:pStyle w:val="TableParagraph"/>
              <w:spacing w:line="252" w:lineRule="auto"/>
              <w:ind w:left="110" w:right="276"/>
              <w:rPr>
                <w:b/>
                <w:sz w:val="19"/>
              </w:rPr>
            </w:pPr>
            <w:r>
              <w:rPr>
                <w:b/>
                <w:w w:val="105"/>
                <w:sz w:val="19"/>
              </w:rPr>
              <w:t>Choking or aspiration pneumonia as cause of death by: residence type, gender, age, disability and co-morbidities, swallowing status, meal assistance requirements, specialist visits in last 12 months:</w:t>
            </w:r>
          </w:p>
          <w:p w:rsidR="00EA1F74" w:rsidRDefault="00FC1CE8">
            <w:pPr>
              <w:pStyle w:val="TableParagraph"/>
              <w:spacing w:before="60" w:line="252" w:lineRule="auto"/>
              <w:ind w:left="110" w:right="170"/>
              <w:rPr>
                <w:sz w:val="19"/>
              </w:rPr>
            </w:pPr>
            <w:r>
              <w:rPr>
                <w:w w:val="105"/>
                <w:sz w:val="19"/>
              </w:rPr>
              <w:t>All resided in shared supported accommodation; three were female, seven were male; ages at death ranged from 39 years to 77 years, and the average age at death was 54 years; eight people were described as having an intellectual disability; six people were known to have dysphagia; service providers were unsure if swallowing and eating issues were present for three people; six people were described as either always or sometimes requiring assistance with eating or drinking; the eating and drinking support needs for one person who was identified as having swallowing issues were not known by the service provider; three people were described as having no eating or drinking issues; two people were provided with a normal diet; five people required modified diets; the dietary needs for three people were not known by the service provider; four people had seen a dentist in the previous 12 months; five people had seen a dietitian in the previous 12 months; five people had seen a speech pathologist in the previous 12 months; none of the people had been to a specialist dysphagia clinic in the 12 months prior to their death.</w:t>
            </w:r>
          </w:p>
          <w:p w:rsidR="00EA1F74" w:rsidRDefault="00EA1F74">
            <w:pPr>
              <w:pStyle w:val="TableParagraph"/>
              <w:rPr>
                <w:sz w:val="31"/>
              </w:rPr>
            </w:pPr>
          </w:p>
          <w:p w:rsidR="00EA1F74" w:rsidRDefault="00FC1CE8">
            <w:pPr>
              <w:pStyle w:val="TableParagraph"/>
              <w:spacing w:line="252" w:lineRule="auto"/>
              <w:ind w:left="110" w:right="68"/>
              <w:rPr>
                <w:sz w:val="19"/>
              </w:rPr>
            </w:pPr>
            <w:r>
              <w:rPr>
                <w:b/>
                <w:w w:val="105"/>
                <w:sz w:val="19"/>
              </w:rPr>
              <w:t xml:space="preserve">People with a preliminary cause of death related to heart disease who were residing in shared supported accommodation by: gender, age, disability and co-morbidities, activity levels, smoking and drinking status, visits to cardiologist or dietitian in last 12 months (n=10): </w:t>
            </w:r>
            <w:r>
              <w:rPr>
                <w:w w:val="105"/>
                <w:sz w:val="19"/>
              </w:rPr>
              <w:t>All were described as having an intellectual disability; seven were male, three were female; age at death ranged from 46 years to 72 years, and the average age at death was 62 years; daily physical activity levels were low or unknown in most cases; three people were current or former smokers; three people consumed alcohol occasionally or weekly; five people had not seen either a cardiologist or dietitian in the previous 12 months.</w:t>
            </w:r>
          </w:p>
        </w:tc>
      </w:tr>
      <w:tr w:rsidR="00EA1F74">
        <w:trPr>
          <w:trHeight w:val="580"/>
        </w:trPr>
        <w:tc>
          <w:tcPr>
            <w:tcW w:w="960" w:type="dxa"/>
          </w:tcPr>
          <w:p w:rsidR="00EA1F74" w:rsidRDefault="00FC1CE8">
            <w:pPr>
              <w:pStyle w:val="TableParagraph"/>
              <w:spacing w:before="8"/>
              <w:ind w:left="110"/>
              <w:rPr>
                <w:b/>
                <w:sz w:val="19"/>
              </w:rPr>
            </w:pPr>
            <w:r>
              <w:rPr>
                <w:b/>
                <w:w w:val="105"/>
                <w:sz w:val="19"/>
              </w:rPr>
              <w:t>VIC</w:t>
            </w:r>
          </w:p>
          <w:p w:rsidR="00EA1F74" w:rsidRDefault="00FC1CE8">
            <w:pPr>
              <w:pStyle w:val="TableParagraph"/>
              <w:spacing w:before="70"/>
              <w:ind w:left="110"/>
              <w:rPr>
                <w:b/>
                <w:sz w:val="19"/>
              </w:rPr>
            </w:pPr>
            <w:r>
              <w:rPr>
                <w:b/>
                <w:w w:val="105"/>
                <w:sz w:val="19"/>
              </w:rPr>
              <w:t>07-16</w:t>
            </w:r>
          </w:p>
        </w:tc>
        <w:tc>
          <w:tcPr>
            <w:tcW w:w="9926" w:type="dxa"/>
          </w:tcPr>
          <w:p w:rsidR="00EA1F74" w:rsidRDefault="00FC1CE8">
            <w:pPr>
              <w:pStyle w:val="TableParagraph"/>
              <w:spacing w:before="8"/>
              <w:ind w:left="110"/>
              <w:rPr>
                <w:sz w:val="19"/>
              </w:rPr>
            </w:pPr>
            <w:r>
              <w:rPr>
                <w:w w:val="105"/>
                <w:sz w:val="19"/>
              </w:rPr>
              <w:t>Not Stated</w:t>
            </w:r>
          </w:p>
        </w:tc>
      </w:tr>
      <w:tr w:rsidR="00EA1F74" w:rsidTr="00A85C4E">
        <w:trPr>
          <w:trHeight w:val="4803"/>
        </w:trPr>
        <w:tc>
          <w:tcPr>
            <w:tcW w:w="960" w:type="dxa"/>
            <w:shd w:val="clear" w:color="auto" w:fill="F2F2F2" w:themeFill="background1" w:themeFillShade="F2"/>
          </w:tcPr>
          <w:p w:rsidR="00EA1F74" w:rsidRDefault="00FC1CE8">
            <w:pPr>
              <w:pStyle w:val="TableParagraph"/>
              <w:spacing w:before="8" w:line="316" w:lineRule="auto"/>
              <w:ind w:left="110" w:right="316"/>
              <w:rPr>
                <w:b/>
                <w:sz w:val="19"/>
              </w:rPr>
            </w:pPr>
            <w:r>
              <w:rPr>
                <w:b/>
                <w:w w:val="105"/>
                <w:sz w:val="19"/>
              </w:rPr>
              <w:t>QLD 09-14</w:t>
            </w:r>
          </w:p>
        </w:tc>
        <w:tc>
          <w:tcPr>
            <w:tcW w:w="9926" w:type="dxa"/>
            <w:shd w:val="clear" w:color="auto" w:fill="F2F2F2" w:themeFill="background1" w:themeFillShade="F2"/>
          </w:tcPr>
          <w:p w:rsidR="00EA1F74" w:rsidRDefault="00FC1CE8">
            <w:pPr>
              <w:pStyle w:val="TableParagraph"/>
              <w:spacing w:before="8" w:line="247" w:lineRule="auto"/>
              <w:ind w:left="110"/>
              <w:rPr>
                <w:sz w:val="19"/>
              </w:rPr>
            </w:pPr>
            <w:r>
              <w:rPr>
                <w:b/>
                <w:w w:val="105"/>
                <w:sz w:val="19"/>
              </w:rPr>
              <w:t xml:space="preserve">Place of death by gender: </w:t>
            </w:r>
            <w:r>
              <w:rPr>
                <w:w w:val="105"/>
                <w:sz w:val="19"/>
              </w:rPr>
              <w:t>“Both males and females were slightly more likely to die in hospital, although a significant proportion of individuals in the sample died in the service where they had been living”.</w:t>
            </w:r>
          </w:p>
          <w:p w:rsidR="00EA1F74" w:rsidRDefault="00EA1F74">
            <w:pPr>
              <w:pStyle w:val="TableParagraph"/>
              <w:rPr>
                <w:sz w:val="31"/>
              </w:rPr>
            </w:pPr>
          </w:p>
          <w:p w:rsidR="00EA1F74" w:rsidRDefault="00FC1CE8">
            <w:pPr>
              <w:pStyle w:val="TableParagraph"/>
              <w:spacing w:line="252" w:lineRule="auto"/>
              <w:ind w:left="110" w:right="170"/>
              <w:rPr>
                <w:sz w:val="19"/>
              </w:rPr>
            </w:pPr>
            <w:r>
              <w:rPr>
                <w:b/>
                <w:w w:val="105"/>
                <w:sz w:val="19"/>
              </w:rPr>
              <w:t xml:space="preserve">Age by place of death: </w:t>
            </w:r>
            <w:r>
              <w:rPr>
                <w:w w:val="105"/>
                <w:sz w:val="19"/>
              </w:rPr>
              <w:t>“Those individuals who died in their usual accommodation tended to be younger while those who died in hospital tended to be older individuals. This effect was much more pronounced in the 50-59 year age group and the 20-29 year age group.”</w:t>
            </w:r>
          </w:p>
          <w:p w:rsidR="00EA1F74" w:rsidRDefault="00EA1F74">
            <w:pPr>
              <w:pStyle w:val="TableParagraph"/>
              <w:spacing w:before="8"/>
              <w:rPr>
                <w:sz w:val="30"/>
              </w:rPr>
            </w:pPr>
          </w:p>
          <w:p w:rsidR="00EA1F74" w:rsidRDefault="00FC1CE8">
            <w:pPr>
              <w:pStyle w:val="TableParagraph"/>
              <w:spacing w:before="1" w:line="252" w:lineRule="auto"/>
              <w:ind w:left="110"/>
              <w:rPr>
                <w:sz w:val="19"/>
              </w:rPr>
            </w:pPr>
            <w:r>
              <w:rPr>
                <w:b/>
                <w:w w:val="105"/>
                <w:sz w:val="19"/>
              </w:rPr>
              <w:t xml:space="preserve">Time by place of death: </w:t>
            </w:r>
            <w:r>
              <w:rPr>
                <w:w w:val="105"/>
                <w:sz w:val="19"/>
              </w:rPr>
              <w:t>“Of the individuals who died in hospital, 50% (19 individuals) died during the night, 42% (16 individuals) during the afternoon, and 8% (3 individuals) during the morning.</w:t>
            </w:r>
          </w:p>
          <w:p w:rsidR="00EA1F74" w:rsidRDefault="00FC1CE8">
            <w:pPr>
              <w:pStyle w:val="TableParagraph"/>
              <w:spacing w:before="59" w:line="252" w:lineRule="auto"/>
              <w:ind w:left="110"/>
              <w:rPr>
                <w:sz w:val="19"/>
              </w:rPr>
            </w:pPr>
            <w:r>
              <w:rPr>
                <w:w w:val="105"/>
                <w:sz w:val="19"/>
              </w:rPr>
              <w:t>Of the individuals who died in their service, 77% (24 individuals) died during the night, 16% (5 individuals) during the afternoon and 6% (2 individuals) during the morning.”</w:t>
            </w:r>
          </w:p>
          <w:p w:rsidR="00EA1F74" w:rsidRDefault="00EA1F74">
            <w:pPr>
              <w:pStyle w:val="TableParagraph"/>
              <w:spacing w:before="7"/>
              <w:rPr>
                <w:sz w:val="30"/>
              </w:rPr>
            </w:pPr>
          </w:p>
          <w:p w:rsidR="00EA1F74" w:rsidRDefault="00FC1CE8">
            <w:pPr>
              <w:pStyle w:val="TableParagraph"/>
              <w:spacing w:before="1" w:line="252" w:lineRule="auto"/>
              <w:ind w:left="110" w:right="276"/>
              <w:rPr>
                <w:sz w:val="19"/>
              </w:rPr>
            </w:pPr>
            <w:r>
              <w:rPr>
                <w:b/>
                <w:w w:val="105"/>
                <w:sz w:val="19"/>
              </w:rPr>
              <w:t xml:space="preserve">Time of death and epilepsy: </w:t>
            </w:r>
            <w:r>
              <w:rPr>
                <w:w w:val="105"/>
                <w:sz w:val="19"/>
              </w:rPr>
              <w:t>“Individuals identified as having epilepsy were more likely to have a time of death during the night (6:00PM-6:00AM) than individuals who did not”</w:t>
            </w:r>
          </w:p>
          <w:p w:rsidR="00EA1F74" w:rsidRDefault="00EA1F74">
            <w:pPr>
              <w:pStyle w:val="TableParagraph"/>
              <w:spacing w:before="7"/>
              <w:rPr>
                <w:sz w:val="30"/>
              </w:rPr>
            </w:pPr>
          </w:p>
          <w:p w:rsidR="00EA1F74" w:rsidRDefault="00FC1CE8">
            <w:pPr>
              <w:pStyle w:val="TableParagraph"/>
              <w:spacing w:line="252" w:lineRule="auto"/>
              <w:ind w:left="110" w:right="170"/>
              <w:rPr>
                <w:sz w:val="19"/>
              </w:rPr>
            </w:pPr>
            <w:r>
              <w:rPr>
                <w:b/>
                <w:w w:val="105"/>
                <w:sz w:val="19"/>
              </w:rPr>
              <w:t xml:space="preserve">Place of death and epilepsy: </w:t>
            </w:r>
            <w:r>
              <w:rPr>
                <w:w w:val="105"/>
                <w:sz w:val="19"/>
              </w:rPr>
              <w:t>“Those people in the sample recorded as having epilepsy were more likely to die in their usual place of residence than those people without epilepsy”</w:t>
            </w:r>
          </w:p>
        </w:tc>
      </w:tr>
    </w:tbl>
    <w:p w:rsidR="00EA1F74" w:rsidRDefault="00EA1F74">
      <w:pPr>
        <w:spacing w:line="252" w:lineRule="auto"/>
        <w:rPr>
          <w:sz w:val="19"/>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rPr>
          <w:sz w:val="19"/>
        </w:rPr>
      </w:pP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926"/>
      </w:tblGrid>
      <w:tr w:rsidR="00EA1F74" w:rsidTr="00A85C4E">
        <w:trPr>
          <w:trHeight w:val="5308"/>
        </w:trPr>
        <w:tc>
          <w:tcPr>
            <w:tcW w:w="960" w:type="dxa"/>
            <w:shd w:val="clear" w:color="auto" w:fill="F2F2F2" w:themeFill="background1" w:themeFillShade="F2"/>
          </w:tcPr>
          <w:p w:rsidR="00EA1F74" w:rsidRDefault="00EA1F74">
            <w:pPr>
              <w:pStyle w:val="TableParagraph"/>
              <w:rPr>
                <w:rFonts w:ascii="Times New Roman"/>
                <w:sz w:val="18"/>
              </w:rPr>
            </w:pPr>
          </w:p>
        </w:tc>
        <w:tc>
          <w:tcPr>
            <w:tcW w:w="9926" w:type="dxa"/>
            <w:shd w:val="clear" w:color="auto" w:fill="F2F2F2" w:themeFill="background1" w:themeFillShade="F2"/>
          </w:tcPr>
          <w:p w:rsidR="00EA1F74" w:rsidRDefault="00FC1CE8">
            <w:pPr>
              <w:pStyle w:val="TableParagraph"/>
              <w:spacing w:before="3" w:line="252" w:lineRule="auto"/>
              <w:ind w:left="110" w:right="68"/>
              <w:rPr>
                <w:sz w:val="19"/>
              </w:rPr>
            </w:pPr>
            <w:r>
              <w:rPr>
                <w:b/>
                <w:w w:val="105"/>
                <w:sz w:val="19"/>
              </w:rPr>
              <w:t xml:space="preserve">Underlying causes of death and gender: </w:t>
            </w:r>
            <w:r>
              <w:rPr>
                <w:w w:val="105"/>
                <w:sz w:val="19"/>
              </w:rPr>
              <w:t>“Males and females had similar patterns of underlying causes of death except in the case of death due to diseases of the circulatory system, with 32% females in the sample dying due to diseases of the circulatory system and 18% of males in the sample. Male individuals in the sample were also slightly more likely to die due to external causes of morbidity and mortality (namely choking and food aspiration).”</w:t>
            </w:r>
          </w:p>
          <w:p w:rsidR="00EA1F74" w:rsidRDefault="00EA1F74">
            <w:pPr>
              <w:pStyle w:val="TableParagraph"/>
              <w:spacing w:before="11"/>
              <w:rPr>
                <w:sz w:val="30"/>
              </w:rPr>
            </w:pPr>
          </w:p>
          <w:p w:rsidR="00EA1F74" w:rsidRDefault="00FC1CE8">
            <w:pPr>
              <w:pStyle w:val="TableParagraph"/>
              <w:spacing w:line="252" w:lineRule="auto"/>
              <w:ind w:left="110"/>
              <w:rPr>
                <w:sz w:val="19"/>
              </w:rPr>
            </w:pPr>
            <w:r>
              <w:rPr>
                <w:b/>
                <w:w w:val="105"/>
                <w:sz w:val="19"/>
              </w:rPr>
              <w:t xml:space="preserve">Disability by underlying cause of death: </w:t>
            </w:r>
            <w:r>
              <w:rPr>
                <w:w w:val="105"/>
                <w:sz w:val="19"/>
              </w:rPr>
              <w:t>“The data shows similar patterns of underlying causes of death across people with cerebral palsy, Down syndrome and epilepsy (particularly with regard to the most common cause of death being diseases of the respiratory system). Some exceptions include, for example, that only people with epilepsy and cerebral palsy died due to external causes of morbidity and mortality (i.e. choking or food aspiration).”</w:t>
            </w:r>
          </w:p>
          <w:p w:rsidR="00EA1F74" w:rsidRDefault="00EA1F74">
            <w:pPr>
              <w:pStyle w:val="TableParagraph"/>
              <w:spacing w:before="5"/>
              <w:rPr>
                <w:sz w:val="30"/>
              </w:rPr>
            </w:pPr>
          </w:p>
          <w:p w:rsidR="00EA1F74" w:rsidRDefault="00FC1CE8">
            <w:pPr>
              <w:pStyle w:val="TableParagraph"/>
              <w:spacing w:line="252" w:lineRule="auto"/>
              <w:ind w:left="110" w:right="68"/>
              <w:rPr>
                <w:sz w:val="19"/>
              </w:rPr>
            </w:pPr>
            <w:r>
              <w:rPr>
                <w:b/>
                <w:w w:val="105"/>
                <w:sz w:val="19"/>
              </w:rPr>
              <w:t xml:space="preserve">Unexpected deaths by place of death: </w:t>
            </w:r>
            <w:r>
              <w:rPr>
                <w:w w:val="105"/>
                <w:sz w:val="19"/>
              </w:rPr>
              <w:t>“Unexpected deaths were more likely to occur when the person was in their usual accommodation, rather than a hospital at time of death. Of those people in hospital at time of death, 43% of deaths were considered unexpected. By contrast, of those individuals living in their usual accommodation, 81% of deaths were considered</w:t>
            </w:r>
            <w:r>
              <w:rPr>
                <w:spacing w:val="4"/>
                <w:w w:val="105"/>
                <w:sz w:val="19"/>
              </w:rPr>
              <w:t xml:space="preserve"> </w:t>
            </w:r>
            <w:r>
              <w:rPr>
                <w:w w:val="105"/>
                <w:sz w:val="19"/>
              </w:rPr>
              <w:t>unexpected.”</w:t>
            </w:r>
          </w:p>
          <w:p w:rsidR="00EA1F74" w:rsidRDefault="00EA1F74">
            <w:pPr>
              <w:pStyle w:val="TableParagraph"/>
              <w:spacing w:before="10"/>
              <w:rPr>
                <w:sz w:val="30"/>
              </w:rPr>
            </w:pPr>
          </w:p>
          <w:p w:rsidR="00EA1F74" w:rsidRDefault="00FC1CE8">
            <w:pPr>
              <w:pStyle w:val="TableParagraph"/>
              <w:spacing w:line="252" w:lineRule="auto"/>
              <w:ind w:left="110" w:right="276"/>
              <w:rPr>
                <w:sz w:val="19"/>
              </w:rPr>
            </w:pPr>
            <w:r>
              <w:rPr>
                <w:b/>
                <w:w w:val="105"/>
                <w:sz w:val="19"/>
              </w:rPr>
              <w:t xml:space="preserve">Potentially avoidable deaths by place of death: </w:t>
            </w:r>
            <w:r>
              <w:rPr>
                <w:w w:val="105"/>
                <w:sz w:val="19"/>
              </w:rPr>
              <w:t>“Potentially avoidable deaths were somewhat more common amongst those individuals who died in hospital. 62% (24 individuals) of those cases that the Panel considered to have been potentially avoidable died in</w:t>
            </w:r>
            <w:r>
              <w:rPr>
                <w:spacing w:val="7"/>
                <w:w w:val="105"/>
                <w:sz w:val="19"/>
              </w:rPr>
              <w:t xml:space="preserve"> </w:t>
            </w:r>
            <w:r>
              <w:rPr>
                <w:w w:val="105"/>
                <w:sz w:val="19"/>
              </w:rPr>
              <w:t>hospital.”</w:t>
            </w:r>
          </w:p>
        </w:tc>
      </w:tr>
      <w:tr w:rsidR="00EA1F74">
        <w:trPr>
          <w:trHeight w:val="7731"/>
        </w:trPr>
        <w:tc>
          <w:tcPr>
            <w:tcW w:w="960" w:type="dxa"/>
          </w:tcPr>
          <w:p w:rsidR="00EA1F74" w:rsidRDefault="00FC1CE8">
            <w:pPr>
              <w:pStyle w:val="TableParagraph"/>
              <w:spacing w:before="8" w:line="316" w:lineRule="auto"/>
              <w:ind w:left="110" w:right="316"/>
              <w:rPr>
                <w:b/>
                <w:sz w:val="19"/>
              </w:rPr>
            </w:pPr>
            <w:r>
              <w:rPr>
                <w:b/>
                <w:w w:val="105"/>
                <w:sz w:val="19"/>
              </w:rPr>
              <w:t>NSW 12-13</w:t>
            </w:r>
          </w:p>
        </w:tc>
        <w:tc>
          <w:tcPr>
            <w:tcW w:w="9926" w:type="dxa"/>
          </w:tcPr>
          <w:p w:rsidR="00EA1F74" w:rsidRDefault="00FC1CE8">
            <w:pPr>
              <w:pStyle w:val="TableParagraph"/>
              <w:spacing w:before="8" w:line="252" w:lineRule="auto"/>
              <w:ind w:left="110"/>
              <w:rPr>
                <w:sz w:val="19"/>
              </w:rPr>
            </w:pPr>
            <w:r>
              <w:rPr>
                <w:b/>
                <w:w w:val="105"/>
                <w:sz w:val="19"/>
              </w:rPr>
              <w:t xml:space="preserve">Death by service type (disability service versus assisted boarding house): </w:t>
            </w:r>
            <w:r>
              <w:rPr>
                <w:w w:val="105"/>
                <w:sz w:val="19"/>
              </w:rPr>
              <w:t>All data in the report were stratified within these categories</w:t>
            </w:r>
          </w:p>
          <w:p w:rsidR="00EA1F74" w:rsidRDefault="00EA1F74">
            <w:pPr>
              <w:pStyle w:val="TableParagraph"/>
              <w:spacing w:before="3"/>
              <w:rPr>
                <w:sz w:val="30"/>
              </w:rPr>
            </w:pPr>
          </w:p>
          <w:p w:rsidR="00EA1F74" w:rsidRDefault="00FC1CE8">
            <w:pPr>
              <w:pStyle w:val="TableParagraph"/>
              <w:spacing w:line="252" w:lineRule="auto"/>
              <w:ind w:left="110" w:right="170"/>
              <w:rPr>
                <w:sz w:val="19"/>
              </w:rPr>
            </w:pPr>
            <w:r>
              <w:rPr>
                <w:b/>
                <w:w w:val="105"/>
                <w:sz w:val="19"/>
              </w:rPr>
              <w:t xml:space="preserve">Age at death by accommodation type: </w:t>
            </w:r>
            <w:r>
              <w:rPr>
                <w:w w:val="105"/>
                <w:sz w:val="19"/>
              </w:rPr>
              <w:t>“On average, people in ADHC residential centres die at a slightly older age than the broader population in disability accommodation services – in 2012 and 2013, the average age at death of people in ADHC residential centres was 61 years, compared with 55 years in disability services.”</w:t>
            </w:r>
          </w:p>
          <w:p w:rsidR="00EA1F74" w:rsidRDefault="00EA1F74">
            <w:pPr>
              <w:pStyle w:val="TableParagraph"/>
              <w:spacing w:before="9"/>
              <w:rPr>
                <w:sz w:val="30"/>
              </w:rPr>
            </w:pPr>
          </w:p>
          <w:p w:rsidR="00EA1F74" w:rsidRDefault="00FC1CE8">
            <w:pPr>
              <w:pStyle w:val="TableParagraph"/>
              <w:spacing w:line="252" w:lineRule="auto"/>
              <w:ind w:left="110"/>
              <w:rPr>
                <w:sz w:val="19"/>
              </w:rPr>
            </w:pPr>
            <w:r>
              <w:rPr>
                <w:b/>
                <w:w w:val="105"/>
                <w:sz w:val="19"/>
              </w:rPr>
              <w:t xml:space="preserve">Age by cause of death: </w:t>
            </w:r>
            <w:r>
              <w:rPr>
                <w:w w:val="105"/>
                <w:sz w:val="19"/>
              </w:rPr>
              <w:t>“</w:t>
            </w:r>
            <w:r>
              <w:rPr>
                <w:i/>
                <w:w w:val="105"/>
                <w:sz w:val="19"/>
              </w:rPr>
              <w:t>People in disability services</w:t>
            </w:r>
            <w:r>
              <w:rPr>
                <w:w w:val="105"/>
                <w:sz w:val="19"/>
              </w:rPr>
              <w:t>- Up to the age of 45 years, nervous system diseases were the leading cause of death of people in disability services in 2012 and 2013. Between 45 and 74 years, respiratory diseases were the leading cause of death. Circulatory diseases were the leading underlying cause of death for people over 75 years of age in disability services – similar to the general population.</w:t>
            </w:r>
          </w:p>
          <w:p w:rsidR="00EA1F74" w:rsidRDefault="00FC1CE8">
            <w:pPr>
              <w:pStyle w:val="TableParagraph"/>
              <w:spacing w:before="62" w:line="252" w:lineRule="auto"/>
              <w:ind w:left="110" w:right="170"/>
              <w:rPr>
                <w:sz w:val="19"/>
              </w:rPr>
            </w:pPr>
            <w:r>
              <w:rPr>
                <w:i/>
                <w:w w:val="105"/>
                <w:sz w:val="19"/>
              </w:rPr>
              <w:t xml:space="preserve">People in assisted boarding houses- </w:t>
            </w:r>
            <w:r>
              <w:rPr>
                <w:w w:val="105"/>
                <w:sz w:val="19"/>
              </w:rPr>
              <w:t>All of the assisted boarding house residents who died in 2012 and 2013 were aged 46 years and older. For residents below 65 years, the leading causes of death were neoplasms and respiratory diseases. For people over 65 years of age, the leading cause of death was circulatory diseases.”</w:t>
            </w:r>
          </w:p>
          <w:p w:rsidR="00EA1F74" w:rsidRDefault="00EA1F74">
            <w:pPr>
              <w:pStyle w:val="TableParagraph"/>
              <w:spacing w:before="9"/>
              <w:rPr>
                <w:sz w:val="30"/>
              </w:rPr>
            </w:pPr>
          </w:p>
          <w:p w:rsidR="00EA1F74" w:rsidRDefault="00FC1CE8">
            <w:pPr>
              <w:pStyle w:val="TableParagraph"/>
              <w:spacing w:line="252" w:lineRule="auto"/>
              <w:ind w:left="110" w:right="170"/>
              <w:rPr>
                <w:sz w:val="19"/>
              </w:rPr>
            </w:pPr>
            <w:r>
              <w:rPr>
                <w:b/>
                <w:w w:val="105"/>
                <w:sz w:val="19"/>
              </w:rPr>
              <w:t xml:space="preserve">Number and rates of deaths of people in disability services by underlying, associated and multiple causes of death; and rate ratios for multiple to underlying causes of death by ICD chapter: </w:t>
            </w:r>
            <w:r>
              <w:rPr>
                <w:w w:val="105"/>
                <w:sz w:val="19"/>
              </w:rPr>
              <w:t>See cause of death data above.</w:t>
            </w:r>
          </w:p>
          <w:p w:rsidR="00EA1F74" w:rsidRDefault="00EA1F74">
            <w:pPr>
              <w:pStyle w:val="TableParagraph"/>
              <w:spacing w:before="4"/>
              <w:rPr>
                <w:sz w:val="30"/>
              </w:rPr>
            </w:pPr>
          </w:p>
          <w:p w:rsidR="00EA1F74" w:rsidRDefault="00FC1CE8">
            <w:pPr>
              <w:pStyle w:val="TableParagraph"/>
              <w:spacing w:line="252" w:lineRule="auto"/>
              <w:ind w:left="110"/>
              <w:rPr>
                <w:b/>
                <w:sz w:val="19"/>
              </w:rPr>
            </w:pPr>
            <w:r>
              <w:rPr>
                <w:b/>
                <w:w w:val="105"/>
                <w:sz w:val="19"/>
              </w:rPr>
              <w:t>Choking by: accommodation type, location where choking occurred, food type or other substance choked on, known choking risk factors, presence of support plan:</w:t>
            </w:r>
          </w:p>
          <w:p w:rsidR="00EA1F74" w:rsidRDefault="00FC1CE8">
            <w:pPr>
              <w:pStyle w:val="TableParagraph"/>
              <w:spacing w:before="64" w:line="252" w:lineRule="auto"/>
              <w:ind w:left="110"/>
              <w:rPr>
                <w:sz w:val="19"/>
              </w:rPr>
            </w:pPr>
            <w:r>
              <w:rPr>
                <w:w w:val="105"/>
                <w:sz w:val="19"/>
              </w:rPr>
              <w:t>“Unlike previous years, all of the people who died as a result of choking resided in disability services; most (8) resided in group home accommodation. Most (6) of the 10 people were at home at the time of the incident.</w:t>
            </w:r>
          </w:p>
          <w:p w:rsidR="00EA1F74" w:rsidRDefault="00FC1CE8">
            <w:pPr>
              <w:pStyle w:val="TableParagraph"/>
              <w:spacing w:line="252" w:lineRule="auto"/>
              <w:ind w:left="110"/>
              <w:rPr>
                <w:sz w:val="19"/>
              </w:rPr>
            </w:pPr>
            <w:r>
              <w:rPr>
                <w:w w:val="105"/>
                <w:sz w:val="19"/>
              </w:rPr>
              <w:t>Four people choked at other locations, including day programs (2), a car, or their family home. Three people died during celebratory meals – two people choked on their birthday at their day program, and one person choked during a meal at home to celebrate another resident’s birthday. The deaths from choking in 2012 and 2013 were associated with a range of foods, including sandwiches (2), crepes, carrot, steak, cheese, and dim sims. Two people choked on vomitus. Most of the 10 people had known risk factors for choking, one person</w:t>
            </w:r>
          </w:p>
          <w:p w:rsidR="00EA1F74" w:rsidRDefault="00FC1CE8">
            <w:pPr>
              <w:pStyle w:val="TableParagraph"/>
              <w:spacing w:before="2" w:line="206" w:lineRule="exact"/>
              <w:ind w:left="110"/>
              <w:rPr>
                <w:sz w:val="19"/>
              </w:rPr>
            </w:pPr>
            <w:r>
              <w:rPr>
                <w:w w:val="105"/>
                <w:sz w:val="19"/>
              </w:rPr>
              <w:t>did not have prior risk factors for choking. For most of the other nine people, services had identified their</w:t>
            </w:r>
          </w:p>
        </w:tc>
      </w:tr>
    </w:tbl>
    <w:p w:rsidR="00EA1F74" w:rsidRDefault="00EA1F74">
      <w:pPr>
        <w:spacing w:line="206" w:lineRule="exact"/>
        <w:rPr>
          <w:sz w:val="19"/>
        </w:rPr>
        <w:sectPr w:rsidR="00EA1F74" w:rsidSect="00FA5D6D">
          <w:pgSz w:w="11900" w:h="16840"/>
          <w:pgMar w:top="1600" w:right="260" w:bottom="1300" w:left="140" w:header="0" w:footer="567" w:gutter="0"/>
          <w:cols w:space="720"/>
          <w:docGrid w:linePitch="299"/>
        </w:sectPr>
      </w:pPr>
    </w:p>
    <w:p w:rsidR="00EA1F74" w:rsidRDefault="00EA1F74" w:rsidP="00625DA1">
      <w:pPr>
        <w:pStyle w:val="BodyText"/>
        <w:rPr>
          <w:sz w:val="19"/>
        </w:rPr>
      </w:pPr>
    </w:p>
    <w:tbl>
      <w:tblPr>
        <w:tblW w:w="0" w:type="auto"/>
        <w:tblInd w:w="312"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960"/>
        <w:gridCol w:w="9926"/>
      </w:tblGrid>
      <w:tr w:rsidR="00EA1F74">
        <w:trPr>
          <w:trHeight w:val="810"/>
        </w:trPr>
        <w:tc>
          <w:tcPr>
            <w:tcW w:w="960" w:type="dxa"/>
          </w:tcPr>
          <w:p w:rsidR="00EA1F74" w:rsidRDefault="00EA1F74">
            <w:pPr>
              <w:pStyle w:val="TableParagraph"/>
              <w:rPr>
                <w:rFonts w:ascii="Times New Roman"/>
                <w:sz w:val="18"/>
              </w:rPr>
            </w:pPr>
          </w:p>
        </w:tc>
        <w:tc>
          <w:tcPr>
            <w:tcW w:w="9926" w:type="dxa"/>
          </w:tcPr>
          <w:p w:rsidR="00EA1F74" w:rsidRDefault="00FC1CE8">
            <w:pPr>
              <w:pStyle w:val="TableParagraph"/>
              <w:spacing w:before="3" w:line="252" w:lineRule="auto"/>
              <w:ind w:left="110" w:right="276"/>
              <w:rPr>
                <w:sz w:val="19"/>
              </w:rPr>
            </w:pPr>
            <w:r>
              <w:rPr>
                <w:w w:val="105"/>
                <w:sz w:val="19"/>
              </w:rPr>
              <w:t>choking risks (7) and documented strategies to address them (6). The gaps in the service response to identified choking risks primarily involved staff not following the requirements/ support plans.”</w:t>
            </w:r>
          </w:p>
        </w:tc>
      </w:tr>
      <w:tr w:rsidR="00EA1F74" w:rsidTr="00A85C4E">
        <w:trPr>
          <w:trHeight w:val="7208"/>
        </w:trPr>
        <w:tc>
          <w:tcPr>
            <w:tcW w:w="960" w:type="dxa"/>
            <w:shd w:val="clear" w:color="auto" w:fill="F2F2F2" w:themeFill="background1" w:themeFillShade="F2"/>
          </w:tcPr>
          <w:p w:rsidR="00EA1F74" w:rsidRDefault="00FC1CE8">
            <w:pPr>
              <w:pStyle w:val="TableParagraph"/>
              <w:spacing w:before="3" w:line="252" w:lineRule="auto"/>
              <w:ind w:left="110" w:right="316"/>
              <w:rPr>
                <w:b/>
                <w:sz w:val="19"/>
              </w:rPr>
            </w:pPr>
            <w:r>
              <w:rPr>
                <w:b/>
                <w:w w:val="105"/>
                <w:sz w:val="19"/>
              </w:rPr>
              <w:t>NSW 14-17</w:t>
            </w:r>
          </w:p>
        </w:tc>
        <w:tc>
          <w:tcPr>
            <w:tcW w:w="9926" w:type="dxa"/>
            <w:shd w:val="clear" w:color="auto" w:fill="F2F2F2" w:themeFill="background1" w:themeFillShade="F2"/>
          </w:tcPr>
          <w:p w:rsidR="00EA1F74" w:rsidRDefault="00FC1CE8">
            <w:pPr>
              <w:pStyle w:val="TableParagraph"/>
              <w:spacing w:before="3" w:line="252" w:lineRule="auto"/>
              <w:ind w:left="110"/>
              <w:rPr>
                <w:sz w:val="19"/>
              </w:rPr>
            </w:pPr>
            <w:r>
              <w:rPr>
                <w:b/>
                <w:w w:val="105"/>
                <w:sz w:val="19"/>
              </w:rPr>
              <w:t xml:space="preserve">Death by service type (disability service versus assisted boarding house): </w:t>
            </w:r>
            <w:r>
              <w:rPr>
                <w:w w:val="105"/>
                <w:sz w:val="19"/>
              </w:rPr>
              <w:t>All data in the report were stratified within these categories.</w:t>
            </w:r>
          </w:p>
          <w:p w:rsidR="00EA1F74" w:rsidRDefault="00EA1F74">
            <w:pPr>
              <w:pStyle w:val="TableParagraph"/>
              <w:spacing w:before="8"/>
              <w:rPr>
                <w:sz w:val="30"/>
              </w:rPr>
            </w:pPr>
          </w:p>
          <w:p w:rsidR="00EA1F74" w:rsidRDefault="00FC1CE8">
            <w:pPr>
              <w:pStyle w:val="TableParagraph"/>
              <w:spacing w:line="252" w:lineRule="auto"/>
              <w:ind w:left="110" w:right="276"/>
              <w:rPr>
                <w:sz w:val="19"/>
              </w:rPr>
            </w:pPr>
            <w:r>
              <w:rPr>
                <w:b/>
                <w:w w:val="105"/>
                <w:sz w:val="19"/>
              </w:rPr>
              <w:t xml:space="preserve">Age by cause of death: </w:t>
            </w:r>
            <w:r>
              <w:rPr>
                <w:i/>
                <w:w w:val="105"/>
                <w:sz w:val="19"/>
              </w:rPr>
              <w:t xml:space="preserve">In disability Services: </w:t>
            </w:r>
            <w:r>
              <w:rPr>
                <w:w w:val="105"/>
                <w:sz w:val="19"/>
              </w:rPr>
              <w:t>“In the younger age groups, nervous system diseases featured as a leading cause of death of people in disability services in both periods. In 2016-2017, people aged up to 35 years also had additional leading causes of death, including respiratory diseases.</w:t>
            </w:r>
          </w:p>
          <w:p w:rsidR="00EA1F74" w:rsidRDefault="00FC1CE8">
            <w:pPr>
              <w:pStyle w:val="TableParagraph"/>
              <w:spacing w:before="60" w:line="252" w:lineRule="auto"/>
              <w:ind w:left="110" w:right="122"/>
              <w:rPr>
                <w:sz w:val="19"/>
              </w:rPr>
            </w:pPr>
            <w:r>
              <w:rPr>
                <w:w w:val="105"/>
                <w:sz w:val="19"/>
              </w:rPr>
              <w:t>While the leading cause of death of people aged 35-54 years in 2014-2015 was nervous system diseases, in 2016-2017 it was external causes and congenital and chromosomal conditions. For people aged 55-64 years, respiratory diseases were the leading cause of death. The leading causes of death for people aged 65 years and older were similar to the general population, including circulatory diseases and neoplasms.</w:t>
            </w:r>
          </w:p>
          <w:p w:rsidR="00EA1F74" w:rsidRDefault="00FC1CE8">
            <w:pPr>
              <w:pStyle w:val="TableParagraph"/>
              <w:spacing w:before="62" w:line="252" w:lineRule="auto"/>
              <w:ind w:left="110"/>
              <w:rPr>
                <w:sz w:val="19"/>
              </w:rPr>
            </w:pPr>
            <w:r>
              <w:rPr>
                <w:i/>
                <w:w w:val="105"/>
                <w:sz w:val="19"/>
              </w:rPr>
              <w:t xml:space="preserve">In assisted boarding housing: </w:t>
            </w:r>
            <w:r>
              <w:rPr>
                <w:w w:val="105"/>
                <w:sz w:val="19"/>
              </w:rPr>
              <w:t>“For both two-year periods, similar leading causes of death featured in age groups 55-64 years and 65-74 years, including neoplasms and circulatory diseases.”</w:t>
            </w:r>
          </w:p>
          <w:p w:rsidR="00EA1F74" w:rsidRDefault="00EA1F74">
            <w:pPr>
              <w:pStyle w:val="TableParagraph"/>
              <w:spacing w:before="7"/>
              <w:rPr>
                <w:sz w:val="30"/>
              </w:rPr>
            </w:pPr>
          </w:p>
          <w:p w:rsidR="00EA1F74" w:rsidRDefault="00FC1CE8">
            <w:pPr>
              <w:pStyle w:val="TableParagraph"/>
              <w:spacing w:line="252" w:lineRule="auto"/>
              <w:ind w:left="110" w:right="170"/>
              <w:rPr>
                <w:sz w:val="19"/>
              </w:rPr>
            </w:pPr>
            <w:r>
              <w:rPr>
                <w:b/>
                <w:w w:val="105"/>
                <w:sz w:val="19"/>
              </w:rPr>
              <w:t xml:space="preserve">Number and rates of deaths of people in disability services by underlying, associated and multiple causes of death; and rate ratios for multiple to underlying causes of death by ICD chapter: </w:t>
            </w:r>
            <w:r>
              <w:rPr>
                <w:w w:val="105"/>
                <w:sz w:val="19"/>
              </w:rPr>
              <w:t>See cause of death data above.</w:t>
            </w:r>
          </w:p>
          <w:p w:rsidR="00EA1F74" w:rsidRDefault="00EA1F74">
            <w:pPr>
              <w:pStyle w:val="TableParagraph"/>
              <w:spacing w:before="9"/>
              <w:rPr>
                <w:sz w:val="30"/>
              </w:rPr>
            </w:pPr>
          </w:p>
          <w:p w:rsidR="00EA1F74" w:rsidRDefault="00FC1CE8">
            <w:pPr>
              <w:pStyle w:val="TableParagraph"/>
              <w:spacing w:line="252" w:lineRule="auto"/>
              <w:ind w:left="110"/>
              <w:rPr>
                <w:sz w:val="19"/>
              </w:rPr>
            </w:pPr>
            <w:r>
              <w:rPr>
                <w:b/>
                <w:w w:val="105"/>
                <w:sz w:val="19"/>
              </w:rPr>
              <w:t xml:space="preserve">Choking by: accommodation type, location where choking occurred, food type or other substance choked on, known choking risk factors, presence of support plan: </w:t>
            </w:r>
            <w:r>
              <w:rPr>
                <w:w w:val="105"/>
                <w:sz w:val="19"/>
              </w:rPr>
              <w:t>“Choking was a factor in the deaths of seven people in 2014-2015, and the deaths of four people in 2016-2017. This is a reduction on deaths from choking in the previous periods (10 deaths in 2012- 2013, and nine deaths in 2010-2011). All of the 11 people who died from choking in 2014-2017 lived in disability services, mainly group home accommodation (7). Most</w:t>
            </w:r>
          </w:p>
          <w:p w:rsidR="00EA1F74" w:rsidRDefault="00FC1CE8">
            <w:pPr>
              <w:pStyle w:val="TableParagraph"/>
              <w:spacing w:line="252" w:lineRule="auto"/>
              <w:ind w:left="110" w:right="178"/>
              <w:rPr>
                <w:sz w:val="19"/>
              </w:rPr>
            </w:pPr>
            <w:r>
              <w:rPr>
                <w:w w:val="105"/>
                <w:sz w:val="19"/>
              </w:rPr>
              <w:t>(7) were at home at the time of the critical event; three people choked while attending a day program; and one person choked while on an outing. Most (7) of the people choked on food – either during a meal (5), or while accessing food that they were not intended to have (2). Three people choked on vomitus, and one person choked on a latex glove. The majority (8) of the people who choked on food had identified eating and drinking behaviours and/or nutrition support needs (such as overfilling their mouth, swallowing without adequately chewing, eating too quickly, and missing teeth. In the main, the risks and management strategies had been identified and documented”.</w:t>
            </w:r>
          </w:p>
        </w:tc>
      </w:tr>
    </w:tbl>
    <w:p w:rsidR="00EA1F74" w:rsidRDefault="00EA1F74">
      <w:pPr>
        <w:spacing w:line="252" w:lineRule="auto"/>
        <w:rPr>
          <w:sz w:val="19"/>
        </w:rPr>
        <w:sectPr w:rsidR="00EA1F74">
          <w:pgSz w:w="11900" w:h="16840"/>
          <w:pgMar w:top="1600" w:right="260" w:bottom="1300" w:left="140" w:header="0" w:footer="1108" w:gutter="0"/>
          <w:cols w:space="720"/>
        </w:sectPr>
      </w:pPr>
    </w:p>
    <w:p w:rsidR="00EA1F74" w:rsidRDefault="00EA1F74" w:rsidP="00625DA1">
      <w:pPr>
        <w:pStyle w:val="BodyText"/>
        <w:rPr>
          <w:sz w:val="11"/>
        </w:rPr>
      </w:pPr>
    </w:p>
    <w:p w:rsidR="00EA1F74" w:rsidRDefault="00FC1CE8" w:rsidP="005D5E3C">
      <w:pPr>
        <w:pStyle w:val="Heading1"/>
      </w:pPr>
      <w:bookmarkStart w:id="39" w:name="_TOC_250026"/>
      <w:bookmarkEnd w:id="39"/>
      <w:r>
        <w:t>Discussion:</w:t>
      </w:r>
    </w:p>
    <w:p w:rsidR="00EA1F74" w:rsidRDefault="00FC1CE8" w:rsidP="00625DA1">
      <w:pPr>
        <w:pStyle w:val="BodyText"/>
      </w:pPr>
      <w:r>
        <w:rPr>
          <w:b/>
          <w:color w:val="44546A"/>
        </w:rPr>
        <w:t xml:space="preserve">Issues, risks and practice improvement strategies identified across reviews </w:t>
      </w:r>
      <w:r>
        <w:t>Findings from this scoping review have highlighted a number of common causes and contributors to deaths of people with disability across jurisdictions. In this section of our review we explore reasons people with disability may be particularly vulnerable to premature mortality and mortality from potentially avoidable causes. We then explore common underlying causes of death identified in this scoping review that were potentially avoidable or amenable to treatment: namely respiratory deaths (including aspiration pneumonia), choking deaths, and nervous system deaths (particularly epilepsy related). Population vulnerabilities for each category of death are discussed, along with risks and potential areas of problematic practice. The contribution of lifestyle related risks to certain types of circulatory and neoplasm deaths will also be discussed. Finally, we highlight overarching contributors to poor practice that span jurisdictions and types of deaths.</w:t>
      </w:r>
    </w:p>
    <w:p w:rsidR="00EA1F74" w:rsidRDefault="00EA1F74" w:rsidP="00625DA1">
      <w:pPr>
        <w:pStyle w:val="BodyText"/>
      </w:pPr>
    </w:p>
    <w:p w:rsidR="00EA1F74" w:rsidRDefault="00FC1CE8">
      <w:pPr>
        <w:pStyle w:val="Heading2"/>
        <w:spacing w:before="0"/>
      </w:pPr>
      <w:bookmarkStart w:id="40" w:name="_TOC_250025"/>
      <w:bookmarkEnd w:id="40"/>
      <w:r>
        <w:t>Understanding broad patterns in mortality</w:t>
      </w:r>
    </w:p>
    <w:p w:rsidR="00EA1F74" w:rsidRPr="00C2380F" w:rsidRDefault="00FC1CE8" w:rsidP="00C2380F">
      <w:pPr>
        <w:pStyle w:val="Heading3"/>
      </w:pPr>
      <w:bookmarkStart w:id="41" w:name="_TOC_250024"/>
      <w:bookmarkEnd w:id="41"/>
      <w:r w:rsidRPr="00C2380F">
        <w:t>Median age of death</w:t>
      </w:r>
    </w:p>
    <w:p w:rsidR="00EA1F74" w:rsidRDefault="00FC1CE8" w:rsidP="00625DA1">
      <w:pPr>
        <w:pStyle w:val="BodyText"/>
      </w:pPr>
      <w:r>
        <w:t>The median age of death for people with disabilities whose deaths were in-scope for this review was substantially (20-36 years) lower than that of the general Australian population (ABS, 2018). This finding is consistent with the NSW Ombudsman’s retrospective analysis of death data for people in residential care from 2003-2013 (cited in NSW 12-13) that found that, on average, people in disability services have died at 53 years of age – almost 30 years earlier than the general population, and that people in assisted boarding houses died at 63 years of age – a gap of almost 20 years. The greater gap in life expectancy for people receiving disability services, compared to assisted boarding house residents, is likely due to the more complex and severe diagnostic profile of people in receipt of disability services- crude mortality rates have been shown to increase with more severe levels of disability and higher support needs (Hosking et al., 2016). While mortality data from this scoping review cannot be considered representative, findings of reduced life expectancy among these cohorts are consistent with national and international trends.</w:t>
      </w:r>
    </w:p>
    <w:p w:rsidR="00EA1F74" w:rsidRDefault="00EA1F74">
      <w:pPr>
        <w:spacing w:line="360" w:lineRule="auto"/>
        <w:sectPr w:rsidR="00EA1F74" w:rsidSect="00FA5D6D">
          <w:pgSz w:w="11900" w:h="16840"/>
          <w:pgMar w:top="1600" w:right="260" w:bottom="1300" w:left="140" w:header="0" w:footer="567" w:gutter="0"/>
          <w:cols w:space="720"/>
          <w:docGrid w:linePitch="299"/>
        </w:sectPr>
      </w:pPr>
    </w:p>
    <w:p w:rsidR="00EA1F74" w:rsidRDefault="00EA1F74" w:rsidP="00625DA1">
      <w:pPr>
        <w:pStyle w:val="BodyText"/>
      </w:pPr>
    </w:p>
    <w:p w:rsidR="00EA1F74" w:rsidRDefault="00FC1CE8" w:rsidP="00625DA1">
      <w:pPr>
        <w:pStyle w:val="BodyText"/>
      </w:pPr>
      <w:r>
        <w:t>Despite increases in life expectancy for people with intellectual disability (Patja, et al., 2000; Coppus, 2013) both nationally and internationally research highlights that a substantial gap in life expectancy persists. Nationally, Trollor and colleagues (2017) report a median age of death of 54 years in their representative sample of adults with intellectual disability in NSW. A smaller population-based study from one geographic region in NSW (Durvasala, et al., 2002) previously reported a standardised mortality rate of 4.9 for people with intellectual disability. Bittles and colleagues’ (2002) analysis of data from an Australian service system database similarly found substantially reduced life expectancy for their population. Internationally, a recently published systematic review of 27 studies examining mortality among people with intellectual disability across countries reported a 20-year life expectancy gap (O'Leary et al., 2018).</w:t>
      </w:r>
    </w:p>
    <w:p w:rsidR="00EA1F74" w:rsidRDefault="00EA1F74" w:rsidP="00625DA1">
      <w:pPr>
        <w:pStyle w:val="BodyText"/>
      </w:pPr>
    </w:p>
    <w:p w:rsidR="00EA1F74" w:rsidRDefault="00EA1F74" w:rsidP="00625DA1">
      <w:pPr>
        <w:pStyle w:val="BodyText"/>
      </w:pPr>
    </w:p>
    <w:p w:rsidR="00EA1F74" w:rsidRDefault="00FC1CE8" w:rsidP="00625DA1">
      <w:pPr>
        <w:pStyle w:val="BodyText"/>
      </w:pPr>
      <w:r>
        <w:t>A number of factors are likely to contribute to premature mortality for people with disabilities. These include high rates of physical and mental co-morbidities (Cooper et al., 2015). Consistent with findings from this scoping review that the people who died tended to have a high number of co-morbidities, a recently published study reported that 98.7% of their population-based sample with intellectual disability had multi-morbidities, with an average of 11.04 conditions per person (Kinnear et al., 2018). For certain groups of people with disabilities, increased mortality risk is also conferred by chromosomal abnormalities (Jørgensen et al., 2019; Bittles et al., 2002). Burdens associated with lower socio-economic status (Emerson &amp; Hatton, 2007) and persistent stigma and discrimination (Wallace &amp; Schluter, 2008) have also been associated with increased rates of morbidity and mortality among people with</w:t>
      </w:r>
      <w:r>
        <w:rPr>
          <w:spacing w:val="-1"/>
        </w:rPr>
        <w:t xml:space="preserve"> </w:t>
      </w:r>
      <w:r>
        <w:t>disability.</w:t>
      </w:r>
    </w:p>
    <w:p w:rsidR="00EA1F74" w:rsidRDefault="00EA1F74" w:rsidP="00625DA1">
      <w:pPr>
        <w:pStyle w:val="BodyText"/>
      </w:pPr>
    </w:p>
    <w:p w:rsidR="00EA1F74" w:rsidRDefault="00EA1F74" w:rsidP="00625DA1">
      <w:pPr>
        <w:pStyle w:val="BodyText"/>
      </w:pPr>
    </w:p>
    <w:p w:rsidR="00EA1F74" w:rsidRDefault="00FC1CE8" w:rsidP="00FA1F07">
      <w:pPr>
        <w:pStyle w:val="BodyText"/>
      </w:pPr>
      <w:r>
        <w:t>Poor access to preventative health care measures and barriers to receiving appropriately tailored quality health care (Heslop et al., 2014; Trollor, 2014) also contribute to excess morbidity and mortality among people with intellectual disability. The health care workforce has been noted to lack confidence and report feeling under-prepared to meet the needs of this population (Trollor et al., 2016). Chronic health conditions commonly go undiagnosed in this population (Draheim, 2006). In the Dutch Healthy Ageing in Intellectual Disability (HA-ID) study, for example, there were almost twice as many missed Metabolic Syndrome</w:t>
      </w:r>
      <w:r w:rsidR="00FA1F07">
        <w:t xml:space="preserve"> </w:t>
      </w:r>
      <w:r>
        <w:t>diagnoses in people with intellectual disability than in the comparable general population sample (45% versus 23%) (de Winter et al, 2012). Hypertension among people with intellectual disability was also undiagnosed in 50% of cases. A health screening study for people with intellectual disability (Beange et al., 1995), similarly reported that physicians had failed to detect almost 50% of diagnosable medical conditions in the cohort. A combination of all these factors is likely to contribute to the significantly lower median death age observed across samples in this scoping review.</w:t>
      </w:r>
    </w:p>
    <w:p w:rsidR="00EA1F74" w:rsidRDefault="00EA1F74" w:rsidP="00625DA1">
      <w:pPr>
        <w:pStyle w:val="BodyText"/>
      </w:pPr>
    </w:p>
    <w:p w:rsidR="00EA1F74" w:rsidRDefault="00EA1F74" w:rsidP="00625DA1">
      <w:pPr>
        <w:pStyle w:val="BodyText"/>
      </w:pPr>
    </w:p>
    <w:p w:rsidR="00EA1F74" w:rsidRDefault="00FC1CE8" w:rsidP="00EE7B87">
      <w:pPr>
        <w:pStyle w:val="Heading3"/>
      </w:pPr>
      <w:bookmarkStart w:id="42" w:name="_TOC_250023"/>
      <w:bookmarkEnd w:id="42"/>
      <w:r>
        <w:t>Gender</w:t>
      </w:r>
    </w:p>
    <w:p w:rsidR="00EA1F74" w:rsidRDefault="00FC1CE8" w:rsidP="00625DA1">
      <w:pPr>
        <w:pStyle w:val="BodyText"/>
      </w:pPr>
      <w:r>
        <w:t>The higher prevalence of male deaths across samples in this scoping review is unsurprising given that males outnumber females in all residential care accommodation and service types (NSW 14-17). Gender differences in this cohort may also relate to the higher prevalence of some disabilities among men than women. For example, the male-to- female ratio for autism spectrum disorders has recently been estimated as three to one (Loomes, et al., 2017), and most prevalence studies for intellectual disability report higher rates among men (McKenzie, et al., 2016).</w:t>
      </w:r>
    </w:p>
    <w:p w:rsidR="00EA1F74" w:rsidRDefault="00EA1F74" w:rsidP="00625DA1">
      <w:pPr>
        <w:pStyle w:val="BodyText"/>
      </w:pPr>
    </w:p>
    <w:p w:rsidR="00EA1F74" w:rsidRDefault="00FC1CE8" w:rsidP="003A0312">
      <w:pPr>
        <w:pStyle w:val="BodyText"/>
      </w:pPr>
      <w:r>
        <w:t>The gender gap in median age of death reported in the QLD 09-14 and VIC 17-18 reviews appeared somewhat less substantial than what has been reported for the general population (ABS, 2018). Compared to general population data, the life expectancy gap in these samples appeared more substantial for women than for men. In their systematic review of mortality data among populations with intellectual disability, O’Leary and colleagues (2018) also noted a more substantial life expectancy gap for females than males. The reason for this gender difference is unclear. It is possible that women with specific types of disabilities may have vulnerability to death conferred by specific interaction of sex with hormonal, genetic or mortality related risk factors, for example, or may have comparatively more difficulty than men accessing preventative health care screenings (Trollor et al., 2017). Our previous work (Trollor et al., 2017) suggests that under-representation of deaths in young males with intellectual disability (compared to the general population) could be another driver of observed sex differences. Specifically, it is</w:t>
      </w:r>
      <w:r w:rsidR="003A0312">
        <w:t xml:space="preserve"> </w:t>
      </w:r>
      <w:r>
        <w:t>possible that men with intellectual disability are significantly less likely than aged matched non-intellectually disabled peers to die from injury and poisoning.</w:t>
      </w:r>
    </w:p>
    <w:p w:rsidR="00EA1F74" w:rsidRDefault="00EA1F74" w:rsidP="00625DA1">
      <w:pPr>
        <w:pStyle w:val="BodyText"/>
      </w:pPr>
    </w:p>
    <w:p w:rsidR="00EA1F74" w:rsidRDefault="00EA1F74" w:rsidP="00625DA1">
      <w:pPr>
        <w:pStyle w:val="BodyText"/>
      </w:pPr>
    </w:p>
    <w:p w:rsidR="00EA1F74" w:rsidRDefault="00FC1CE8" w:rsidP="00EE7B87">
      <w:pPr>
        <w:pStyle w:val="Heading3"/>
      </w:pPr>
      <w:bookmarkStart w:id="43" w:name="_TOC_250022"/>
      <w:bookmarkEnd w:id="43"/>
      <w:r>
        <w:t>Broad causes of deaths</w:t>
      </w:r>
    </w:p>
    <w:p w:rsidR="00FA1F07" w:rsidRDefault="00FC1CE8" w:rsidP="00FA1F07">
      <w:pPr>
        <w:pStyle w:val="BodyText"/>
      </w:pPr>
      <w:r>
        <w:t>The majority of in-scope deaths for this review were classified as ‘unexpected’. Between 5-8% of deaths were attributed to external or unnatural causes. Unfortunately, it is difficult to estimate the number of deaths across samples that may have been potentially amenable to treatment or avoidable or both. The QLD review was the only in-scope report</w:t>
      </w:r>
      <w:r w:rsidR="00FA1F07">
        <w:t xml:space="preserve"> </w:t>
      </w:r>
      <w:r>
        <w:t>that attempted this quantification- within their sample they found that over half of all deaths were potentially treatable or avoidable. It is likely that rates of potentially avoidable deaths were also significant in the Victorian and NSW samples, given they recorded high rates of deaths from causes such as respiratory infections, choking and epilepsy, that are known to be amenable to treatment or potentially avoidable (Trollor et al.,</w:t>
      </w:r>
      <w:r>
        <w:rPr>
          <w:spacing w:val="-7"/>
        </w:rPr>
        <w:t xml:space="preserve"> </w:t>
      </w:r>
      <w:r>
        <w:t>2017).</w:t>
      </w:r>
    </w:p>
    <w:p w:rsidR="00EA1F74" w:rsidRDefault="00FC1CE8" w:rsidP="00FA1F07">
      <w:pPr>
        <w:pStyle w:val="BodyText"/>
      </w:pPr>
      <w:r>
        <w:t>The high rates of potentially treatable or avoidable deaths recorded in the QLD sample are consistent with our findings (Trollor et al., 2017) from representative population data in NSW in which 38% of deaths of people with intellectual disability were ‘potentially avoidable’. This rate was significantly higher than that of the matched general population (17%), pointing to ongoing gaps in the quality of health care people with disabilities are receiving. Findings from the UK (Hosking et al., 2016) have also highlighted an overrepresentation of deaths from causes amenable to health care intervention among adults with intellectual disability (37.0% compared with 22.5% in the matched general population).</w:t>
      </w:r>
    </w:p>
    <w:p w:rsidR="003A0312" w:rsidRDefault="003A0312" w:rsidP="00625DA1">
      <w:pPr>
        <w:pStyle w:val="BodyText"/>
      </w:pPr>
    </w:p>
    <w:p w:rsidR="00EA1F74" w:rsidRDefault="00FC1CE8">
      <w:pPr>
        <w:pStyle w:val="Heading2"/>
        <w:spacing w:before="0"/>
      </w:pPr>
      <w:bookmarkStart w:id="44" w:name="_TOC_250021"/>
      <w:bookmarkEnd w:id="44"/>
      <w:r>
        <w:t>Respiratory deaths</w:t>
      </w:r>
    </w:p>
    <w:p w:rsidR="00EA1F74" w:rsidRDefault="00FC1CE8" w:rsidP="00EE7B87">
      <w:pPr>
        <w:pStyle w:val="Heading3"/>
      </w:pPr>
      <w:bookmarkStart w:id="45" w:name="_TOC_250020"/>
      <w:bookmarkEnd w:id="45"/>
      <w:r>
        <w:t>Prevalence</w:t>
      </w:r>
    </w:p>
    <w:p w:rsidR="00EA1F74" w:rsidRDefault="00FC1CE8" w:rsidP="00625DA1">
      <w:pPr>
        <w:pStyle w:val="BodyText"/>
      </w:pPr>
      <w:r>
        <w:t>Respiratory disease was the major underlying cause of death for people with disability across reviewed reports. Out of the 901 in-scope deaths included in this analysis, respiratory diseases were the underlying cause for 173 deaths (19%). In comparison,</w:t>
      </w:r>
      <w:r w:rsidR="00FA1F07">
        <w:t xml:space="preserve"> </w:t>
      </w:r>
      <w:r>
        <w:t xml:space="preserve">respiratory disease accounts for only approximately 9% of deaths in the general </w:t>
      </w:r>
      <w:r>
        <w:rPr>
          <w:spacing w:val="-3"/>
        </w:rPr>
        <w:t xml:space="preserve">Australian </w:t>
      </w:r>
      <w:r>
        <w:t>population. Across death reviews, aspiration pneumonia was highlighted as the most common underlying cause of respiratory death for people with disability, accounting for just under half (42%, n=72) of all respiratory deaths, and 8% of all in-scope deaths summarised in this synopsis. An overrepresentation of deaths from respiratory causes has been noted across a number of national and international intellectual disability mortality reviews (O'Leary et al., 2018; Trollor et al., 2017). A recent analysis of mortality data for adults with intellectual disability in the UK, (Hosking et al., 2016) reported rates of pneumonia and aspiration pneumonia deaths that were 10 times higher than those observed in the general population.</w:t>
      </w:r>
    </w:p>
    <w:p w:rsidR="00EA1F74" w:rsidRDefault="00EA1F74" w:rsidP="00625DA1">
      <w:pPr>
        <w:pStyle w:val="BodyText"/>
      </w:pPr>
    </w:p>
    <w:p w:rsidR="00EA1F74" w:rsidRDefault="00EA1F74" w:rsidP="00625DA1">
      <w:pPr>
        <w:pStyle w:val="BodyText"/>
      </w:pPr>
    </w:p>
    <w:p w:rsidR="00EA1F74" w:rsidRDefault="00FC1CE8" w:rsidP="00EE7B87">
      <w:pPr>
        <w:pStyle w:val="Heading3"/>
      </w:pPr>
      <w:bookmarkStart w:id="46" w:name="_TOC_250019"/>
      <w:bookmarkEnd w:id="46"/>
      <w:r>
        <w:t>Demographics of people who died from aspiration pneumonia</w:t>
      </w:r>
    </w:p>
    <w:p w:rsidR="00EA1F74" w:rsidRDefault="00FC1CE8" w:rsidP="00625DA1">
      <w:pPr>
        <w:pStyle w:val="BodyText"/>
      </w:pPr>
      <w:r>
        <w:t>Unfortunately, the jurisdictional death reviews did not allow for the development of a robust picture of the demographics of people whose death fell into this category. The VIC 17-18 report noted that all people in their sample who died from this cause lived in shared accommodation and none had been to a specialist dysphagia clinic in the 12 months preceding their death. The QLD 09-14 report noted that 2 of the 8 people whose underlying cause of death was aspiration pneumonia also had a diagnosis of Lennox Gastaut syndrome. The NSW Ombudsman noted that aspiration pneumonia was a more frequent underlying cause of death in the disability services sample compared to the boarding house sample across in-scope reporting periods.</w:t>
      </w:r>
    </w:p>
    <w:p w:rsidR="00EA1F74" w:rsidRDefault="00EA1F74" w:rsidP="00625DA1">
      <w:pPr>
        <w:pStyle w:val="BodyText"/>
      </w:pPr>
    </w:p>
    <w:p w:rsidR="00EA1F74" w:rsidRDefault="00EA1F74" w:rsidP="00625DA1">
      <w:pPr>
        <w:pStyle w:val="BodyText"/>
      </w:pPr>
    </w:p>
    <w:p w:rsidR="00EA1F74" w:rsidRPr="00EE7B87" w:rsidRDefault="00FC1CE8" w:rsidP="00EE7B87">
      <w:pPr>
        <w:pStyle w:val="Heading3"/>
      </w:pPr>
      <w:bookmarkStart w:id="47" w:name="_TOC_250018"/>
      <w:bookmarkEnd w:id="47"/>
      <w:r w:rsidRPr="00EE7B87">
        <w:t>Risk factors</w:t>
      </w:r>
    </w:p>
    <w:p w:rsidR="00EA1F74" w:rsidRDefault="00FC1CE8" w:rsidP="00625DA1">
      <w:pPr>
        <w:pStyle w:val="BodyText"/>
      </w:pPr>
      <w:r>
        <w:t>A number of factors make certain groups of people with disabilities more susceptible to respiratory infections. These include greater risk of mobility limitations (Kinnear et al., 2018), dysphagia (Robertson, Chadwick, Baines, Emerson, &amp; Hatton, 2018) and high rates of psychotropic medication use (Solmi et al., 2017). Relatively high frequency conditions among people with disabilities such as epilepsy, Down syndrome and cerebral palsy also confer increased risk for respiratory conditions. For example, physiological differences in the pulmonary cilia of people with Down syndrome increase their susceptibility to respiratory infection (Watts &amp; Vyas, 2013).</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FC1CE8" w:rsidP="00625DA1">
      <w:pPr>
        <w:pStyle w:val="BodyText"/>
      </w:pPr>
      <w:r>
        <w:t>Specifically in relation to risk of aspiration pneumonia, there are a number of factors that make certain people with disability more vulnerable to inhaling food, saliva or vomit into the lungs, and subsequently developing infections. These include:</w:t>
      </w:r>
    </w:p>
    <w:p w:rsidR="00EA1F74" w:rsidRDefault="00EA1F74" w:rsidP="00625DA1">
      <w:pPr>
        <w:pStyle w:val="BodyText"/>
      </w:pPr>
    </w:p>
    <w:p w:rsidR="00EA1F74" w:rsidRDefault="00FC1CE8" w:rsidP="00625DA1">
      <w:pPr>
        <w:pStyle w:val="BodyText"/>
      </w:pPr>
      <w:r>
        <w:rPr>
          <w:b/>
          <w:i/>
        </w:rPr>
        <w:t xml:space="preserve">Higher rates of psychotropic medication use: </w:t>
      </w:r>
      <w:r>
        <w:t>Some psychotropic medications can adversely impact swallowing function (Dziewas et al., 2007; Maddalena, et al., 2004) as well as increasing sedation and hypersalivation (Solmi et al., 2017). Prolonged use can lead to tardive dyskinesia, which in turn impacts feeding function (Dziewas et al., 2007). While robust studies are lacking, these side effects are thought to increase the risk for aspiration pneumonia (DiBardino &amp; Wunderink, 2015) and other respiratory complications (Cicala et al., 2019).</w:t>
      </w:r>
    </w:p>
    <w:p w:rsidR="00EA1F74" w:rsidRDefault="00EA1F74" w:rsidP="00625DA1">
      <w:pPr>
        <w:pStyle w:val="BodyText"/>
      </w:pPr>
    </w:p>
    <w:p w:rsidR="00EA1F74" w:rsidRDefault="00FC1CE8" w:rsidP="00625DA1">
      <w:pPr>
        <w:pStyle w:val="BodyText"/>
      </w:pPr>
      <w:r>
        <w:t>Where recorded, samples in our scoping review were found to have high rates of psychotropic prescriptions and polypharmacy, including in the absence of a diagnosed mental health condition. These prescribing patterns are consistent with national and international research that finds that people with intellectual disabilities (the most common disability type identified across samples) are more likely than the general population to be exposed to psychotropic related risks. As a group, our work (Salomon et al., 2018) and that of others indicated that people with intellectual disability are more likely to be prescribed psychotropic medications, receive their first prescription at a younger age, to remain on psychotropic medications for longer time periods (Matson &amp; Mahan, 2010), and to be prescribed two or more psychotropics simultaneously (Chitty et al., 2016). These prescribing patterns are in part explained by a combination of high rates of epilepsy (Robertson, et al, 2015a) and mental illness (Tong &amp; Einfeld, 2000) in populations with intellectual disability. The common practice of using psychotropics ‘off-label’ to control behaviours of concern (de Kuijper et al., 2010) in the context of lack of access to appropriate behavioural supports, also contributes to these prescribing patterns. High rates of psychotropic prescribing and polypharmacy have also been described in Australian populations with autism spectrum disorder (Birch et al., 2018).</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FC1CE8" w:rsidP="00625DA1">
      <w:pPr>
        <w:pStyle w:val="BodyText"/>
      </w:pPr>
      <w:r>
        <w:rPr>
          <w:b/>
          <w:i/>
        </w:rPr>
        <w:t>High rates of problematic feeding behaviours that increase aspiration risk</w:t>
      </w:r>
      <w:r>
        <w:rPr>
          <w:i/>
        </w:rPr>
        <w:t xml:space="preserve">: </w:t>
      </w:r>
      <w:r>
        <w:t>Particularly among some groups of people with intellectual disability, behaviours associated with aspiration risk such as gorging or pica (eating non-food items) are overrepresented (Samuels &amp; Chadwick, 2006). Among cohorts of people with intellectual disability the prevalence of pica has been estimated at between 4% and 25% (Matson et al. 2011; Busch et al., 2018). Rates are higher for people with more severe levels of intellectual disability and/or co-occurring autism (Matson et al., 2011).</w:t>
      </w:r>
    </w:p>
    <w:p w:rsidR="00EA1F74" w:rsidRDefault="00EA1F74" w:rsidP="00625DA1">
      <w:pPr>
        <w:pStyle w:val="BodyText"/>
      </w:pPr>
    </w:p>
    <w:p w:rsidR="00EA1F74" w:rsidRDefault="00FC1CE8" w:rsidP="00625DA1">
      <w:pPr>
        <w:pStyle w:val="BodyText"/>
      </w:pPr>
      <w:r>
        <w:rPr>
          <w:b/>
          <w:i/>
        </w:rPr>
        <w:t xml:space="preserve">Higher rates of dysphagia: </w:t>
      </w:r>
      <w:r>
        <w:t>Dysphagia, one of the most common risk factors for aspiration pneumonia (DiBardino &amp; Wunderink, 2015), is overrepresented among some groups of people with intellectual disability as well as people with cerebral palsy (Robertson et al., 2018). Prevalence rates for swallowing problems were high (62%) in the only cohort in our scoping review that included this information (the 2014-2017 NSW disability services cohort). Prevalence estimates for dysphagia in representative population samples with intellectual disability range from 8.1% (Chadwick &amp; Jolliffe, 2009) to 14.4% (Kinnear et al., 2018). Dysphagia is thought to be an under-diagnosed condition among this population, however, and true prevalence may be higher (Robertson, et al., 2017)</w:t>
      </w:r>
      <w:r>
        <w:rPr>
          <w:b/>
        </w:rPr>
        <w:t xml:space="preserve">. </w:t>
      </w:r>
      <w:r>
        <w:t>Higher severity of cognitive impairment also increases the risk for dysphagia (Chadwick &amp; Jolliffe, 2009) with some samples recording rates in excess of 50% (Robertson, Chadwick, et al., 2017).</w:t>
      </w:r>
    </w:p>
    <w:p w:rsidR="00EA1F74" w:rsidRDefault="00EA1F74" w:rsidP="00625DA1">
      <w:pPr>
        <w:pStyle w:val="BodyText"/>
      </w:pPr>
    </w:p>
    <w:p w:rsidR="00EA1F74" w:rsidRDefault="00FC1CE8" w:rsidP="00625DA1">
      <w:pPr>
        <w:pStyle w:val="BodyText"/>
      </w:pPr>
      <w:r>
        <w:rPr>
          <w:b/>
          <w:i/>
        </w:rPr>
        <w:t xml:space="preserve">Higher rates of GORD: </w:t>
      </w:r>
      <w:r>
        <w:t>GORD increases risk for respiratory infections including aspiration pneumonia (Thillai, 2010). People with intellectual disability are more likely than the general population to experience GORD. A recent population based cohort study reported that GORD affected 14.5% of their sample with various levels of intellectual disability (Kinnear et al., 2018). Rates of GORD have reported to be closer to 52% for people with more severe or profound levels of intellectual and motor disabilities (Van Timmeren et al., 2016). While not representative of the broader population, prevalence of GORD, where recorded in cohorts in this scoping review, was also significant, ranging from 19% to 62%.</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FC1CE8" w:rsidP="00625DA1">
      <w:pPr>
        <w:pStyle w:val="BodyText"/>
      </w:pPr>
      <w:r>
        <w:rPr>
          <w:b/>
          <w:i/>
        </w:rPr>
        <w:t xml:space="preserve">Higher rates of percutaneous endoscopic gastronomy (PEG) to receive nutrition: </w:t>
      </w:r>
      <w:r>
        <w:t>Compared to the general population, people with intellectual and developmental disabilities experience a higher number of feeding difficulties and are more likely to require PEG feeding (Chennubhotla et al., 2019). PEG feeding is associated with increased risk for aspiration pneumonia (DiBardino &amp; Wunderink, 2015). Aspiration of refluxed gastric contents can occur when the PEG is in place. Additionally, sedation used during the insertion procedure can increase aspiration risk. Approximately 50 % of mortality in the 30 days post insertion is attributed to aspiration pneumonia (Laskaratos et al, 2013; Azzopardi &amp; Ellul,</w:t>
      </w:r>
      <w:r>
        <w:rPr>
          <w:spacing w:val="-1"/>
        </w:rPr>
        <w:t xml:space="preserve"> </w:t>
      </w:r>
      <w:r>
        <w:t>2013).</w:t>
      </w:r>
    </w:p>
    <w:p w:rsidR="00EA1F74" w:rsidRDefault="00EA1F74" w:rsidP="00625DA1">
      <w:pPr>
        <w:pStyle w:val="BodyText"/>
      </w:pPr>
    </w:p>
    <w:p w:rsidR="00EA1F74" w:rsidRDefault="00FC1CE8" w:rsidP="00625DA1">
      <w:pPr>
        <w:pStyle w:val="BodyText"/>
      </w:pPr>
      <w:r>
        <w:rPr>
          <w:b/>
          <w:i/>
        </w:rPr>
        <w:t xml:space="preserve">Dental problems and gum disease: </w:t>
      </w:r>
      <w:r>
        <w:t>Compared to the general population, people with intellectual disability have poorer oral health and a higher rate of dental decay, caries, tooth extractions and gingival inflammation. Paradoxically, despite poorer oral health they have comparatively less access to dental services including preventative care and fewer fillings (Wilson et al., 2018). Poor oral health contributes to feeding problems (Wilson et al., 2018) and has also been independently associated with aspiration pneumonia in the literature (Terpenning et al., 2001; Abe et al., 2008; DiBardino &amp; Wunderink, 2015).</w:t>
      </w:r>
    </w:p>
    <w:p w:rsidR="00EA1F74" w:rsidRDefault="00FC1CE8" w:rsidP="00625DA1">
      <w:pPr>
        <w:pStyle w:val="BodyText"/>
      </w:pPr>
      <w:r>
        <w:t>Significant dental problems were described across samples in this scoping review.</w:t>
      </w:r>
    </w:p>
    <w:p w:rsidR="00EA1F74" w:rsidRDefault="00EA1F74" w:rsidP="00625DA1">
      <w:pPr>
        <w:pStyle w:val="BodyText"/>
      </w:pPr>
    </w:p>
    <w:p w:rsidR="00EA1F74" w:rsidRDefault="00FC1CE8">
      <w:pPr>
        <w:spacing w:line="360" w:lineRule="auto"/>
        <w:ind w:left="733" w:right="1172"/>
        <w:rPr>
          <w:sz w:val="24"/>
        </w:rPr>
      </w:pPr>
      <w:r>
        <w:rPr>
          <w:b/>
          <w:i/>
          <w:sz w:val="24"/>
        </w:rPr>
        <w:t xml:space="preserve">Higher rates of epilepsy: </w:t>
      </w:r>
      <w:r>
        <w:rPr>
          <w:sz w:val="24"/>
        </w:rPr>
        <w:t xml:space="preserve">People with intellectual disability are significantly more likely to have a diagnosis of epilepsy than the general population (Robertson et al., 2015a). The QLD Public Advocate notes: </w:t>
      </w:r>
      <w:r>
        <w:rPr>
          <w:i/>
          <w:sz w:val="24"/>
        </w:rPr>
        <w:t xml:space="preserve">“While aspiration pneumonia is not a common complication of seizures in otherwise healthy adults, the increased incidence of aspiration in some people with intellectual disability may be heightened by factors such as increased oral secretions, impaired swallowing mechanisms, and difficulty in attaining adequate positioning” </w:t>
      </w:r>
      <w:r>
        <w:rPr>
          <w:sz w:val="24"/>
        </w:rPr>
        <w:t>(QLD 90-14). Day and colleagues (Day et al., 2005) found that people with co- occurring developmental disabilities and epilepsy were at increased risk for death from aspiration pneumonia.</w:t>
      </w:r>
    </w:p>
    <w:p w:rsidR="00EA1F74" w:rsidRDefault="00EA1F74" w:rsidP="00625DA1">
      <w:pPr>
        <w:pStyle w:val="BodyText"/>
      </w:pPr>
    </w:p>
    <w:p w:rsidR="00EA1F74" w:rsidRDefault="00FC1CE8" w:rsidP="00FA1F07">
      <w:pPr>
        <w:spacing w:before="233" w:line="360" w:lineRule="auto"/>
        <w:ind w:left="733" w:right="1955"/>
      </w:pPr>
      <w:r>
        <w:rPr>
          <w:b/>
          <w:i/>
          <w:sz w:val="24"/>
        </w:rPr>
        <w:t xml:space="preserve">Delays in detection and treatment of infection: </w:t>
      </w:r>
      <w:r>
        <w:rPr>
          <w:sz w:val="24"/>
        </w:rPr>
        <w:t>In addition to the above factors, problems people with disability experience accessing quality health care in a timely</w:t>
      </w:r>
      <w:r w:rsidR="00FA1F07">
        <w:rPr>
          <w:sz w:val="24"/>
        </w:rPr>
        <w:t xml:space="preserve"> </w:t>
      </w:r>
      <w:r>
        <w:t>manner may also contribute to the high rates of death from aspiration pneumonia. Pneumonia may be avoidable if aspiration risks are reduced, or treatment commenced in a timely manner (DiBardino &amp; Wunderink, 2015). However, people with intellectual disabilities have been noted to experience delays and difficulties accessing quality health care. Recent research by our department (Trollor et al., 2017) has identified a large proportion of avoidable deaths from infections among a representative cohort with intellectual disability.</w:t>
      </w:r>
    </w:p>
    <w:p w:rsidR="00EA1F74" w:rsidRDefault="00EA1F74" w:rsidP="00625DA1">
      <w:pPr>
        <w:pStyle w:val="BodyText"/>
      </w:pPr>
    </w:p>
    <w:p w:rsidR="00EA1F74" w:rsidRDefault="00FC1CE8" w:rsidP="00625DA1">
      <w:pPr>
        <w:pStyle w:val="BodyText"/>
      </w:pPr>
      <w:r>
        <w:t>In addition to specific risks noted above, report authors identified a number of practice- related contributors to potentially avoidable respiratory deaths in their samples. These include:</w:t>
      </w:r>
    </w:p>
    <w:p w:rsidR="00EA1F74" w:rsidRDefault="00FC1CE8">
      <w:pPr>
        <w:pStyle w:val="ListParagraph"/>
        <w:numPr>
          <w:ilvl w:val="0"/>
          <w:numId w:val="120"/>
        </w:numPr>
        <w:tabs>
          <w:tab w:val="left" w:pos="1519"/>
          <w:tab w:val="left" w:pos="1520"/>
        </w:tabs>
        <w:spacing w:before="57" w:line="357" w:lineRule="auto"/>
        <w:ind w:left="1519" w:right="1319" w:hanging="360"/>
        <w:rPr>
          <w:sz w:val="24"/>
        </w:rPr>
      </w:pPr>
      <w:r>
        <w:rPr>
          <w:i/>
          <w:sz w:val="24"/>
        </w:rPr>
        <w:t xml:space="preserve">Lack of comprehensive nutrition and swallowing assessments for at risk groups. </w:t>
      </w:r>
      <w:r>
        <w:rPr>
          <w:sz w:val="24"/>
        </w:rPr>
        <w:t>For example, the NSW Ombudsman noted that in 2012-2013 only one-third of the people in non-government disability services who died and who had swallowing difficulties had a comprehensive nutrition and swallowing</w:t>
      </w:r>
      <w:r>
        <w:rPr>
          <w:spacing w:val="-1"/>
          <w:sz w:val="24"/>
        </w:rPr>
        <w:t xml:space="preserve"> </w:t>
      </w:r>
      <w:r>
        <w:rPr>
          <w:sz w:val="24"/>
        </w:rPr>
        <w:t>assessment.</w:t>
      </w:r>
    </w:p>
    <w:p w:rsidR="00EA1F74" w:rsidRDefault="00FC1CE8">
      <w:pPr>
        <w:pStyle w:val="ListParagraph"/>
        <w:numPr>
          <w:ilvl w:val="0"/>
          <w:numId w:val="120"/>
        </w:numPr>
        <w:tabs>
          <w:tab w:val="left" w:pos="1519"/>
          <w:tab w:val="left" w:pos="1520"/>
        </w:tabs>
        <w:spacing w:before="4" w:line="357" w:lineRule="auto"/>
        <w:ind w:left="1519" w:right="1279" w:hanging="360"/>
        <w:rPr>
          <w:sz w:val="24"/>
        </w:rPr>
      </w:pPr>
      <w:r>
        <w:rPr>
          <w:i/>
          <w:sz w:val="24"/>
        </w:rPr>
        <w:t xml:space="preserve">Increased risk of aspiration related to safe mealtime guidelines not consistently being adhered to or sometimes being disregarded all together </w:t>
      </w:r>
      <w:r>
        <w:rPr>
          <w:sz w:val="24"/>
        </w:rPr>
        <w:t>(i.e. VIC 17-18; VIC 07-16). Failure to adhere to guidelines was a major concern raised by multiple report authors in this scoping</w:t>
      </w:r>
      <w:r>
        <w:rPr>
          <w:spacing w:val="-2"/>
          <w:sz w:val="24"/>
        </w:rPr>
        <w:t xml:space="preserve"> </w:t>
      </w:r>
      <w:r>
        <w:rPr>
          <w:sz w:val="24"/>
        </w:rPr>
        <w:t>review.</w:t>
      </w:r>
    </w:p>
    <w:p w:rsidR="00EA1F74" w:rsidRDefault="00FC1CE8">
      <w:pPr>
        <w:pStyle w:val="ListParagraph"/>
        <w:numPr>
          <w:ilvl w:val="0"/>
          <w:numId w:val="120"/>
        </w:numPr>
        <w:tabs>
          <w:tab w:val="left" w:pos="1519"/>
          <w:tab w:val="left" w:pos="1520"/>
        </w:tabs>
        <w:spacing w:line="357" w:lineRule="auto"/>
        <w:ind w:left="1519" w:right="1265" w:hanging="360"/>
        <w:rPr>
          <w:sz w:val="24"/>
        </w:rPr>
      </w:pPr>
      <w:r>
        <w:rPr>
          <w:i/>
          <w:sz w:val="24"/>
        </w:rPr>
        <w:t>Poor management of respiratory infection risk following surgery for falls and fractures</w:t>
      </w:r>
      <w:r>
        <w:rPr>
          <w:sz w:val="24"/>
        </w:rPr>
        <w:t>: In 2012 and 2013, the NSW Ombudsman noted that some of the people who died from pneumonia or aspiration pneumonia developed the infection following surgery to repair fractures, most of which were associated with</w:t>
      </w:r>
      <w:r>
        <w:rPr>
          <w:spacing w:val="-5"/>
          <w:sz w:val="24"/>
        </w:rPr>
        <w:t xml:space="preserve"> </w:t>
      </w:r>
      <w:r>
        <w:rPr>
          <w:sz w:val="24"/>
        </w:rPr>
        <w:t>falls.</w:t>
      </w:r>
    </w:p>
    <w:p w:rsidR="00EA1F74" w:rsidRDefault="00FC1CE8">
      <w:pPr>
        <w:pStyle w:val="ListParagraph"/>
        <w:numPr>
          <w:ilvl w:val="0"/>
          <w:numId w:val="120"/>
        </w:numPr>
        <w:tabs>
          <w:tab w:val="left" w:pos="1519"/>
          <w:tab w:val="left" w:pos="1520"/>
        </w:tabs>
        <w:spacing w:line="360" w:lineRule="auto"/>
        <w:ind w:left="1519" w:right="1265" w:hanging="360"/>
        <w:rPr>
          <w:sz w:val="24"/>
        </w:rPr>
      </w:pPr>
      <w:r>
        <w:rPr>
          <w:i/>
          <w:sz w:val="24"/>
        </w:rPr>
        <w:t xml:space="preserve">Poor access to respiratory specialists and other chronic disease management </w:t>
      </w:r>
      <w:r>
        <w:rPr>
          <w:i/>
          <w:spacing w:val="-4"/>
          <w:sz w:val="24"/>
        </w:rPr>
        <w:t xml:space="preserve">and </w:t>
      </w:r>
      <w:r>
        <w:rPr>
          <w:i/>
          <w:sz w:val="24"/>
        </w:rPr>
        <w:t xml:space="preserve">other out-of-hospital programs: </w:t>
      </w:r>
      <w:r>
        <w:rPr>
          <w:sz w:val="24"/>
        </w:rPr>
        <w:t>The NSW Ombudsman noted that in 2012 and 2013, only 26% of people in disability services with recurrent respiratory illness and none of the boarding house residents with recurrent respiratory illness had seen a respiratory</w:t>
      </w:r>
      <w:r>
        <w:rPr>
          <w:spacing w:val="-1"/>
          <w:sz w:val="24"/>
        </w:rPr>
        <w:t xml:space="preserve"> </w:t>
      </w:r>
      <w:r>
        <w:rPr>
          <w:sz w:val="24"/>
        </w:rPr>
        <w:t>specialist.</w:t>
      </w:r>
    </w:p>
    <w:p w:rsidR="00EA1F74" w:rsidRPr="00FA1F07" w:rsidRDefault="00FC1CE8" w:rsidP="00FA1F07">
      <w:pPr>
        <w:pStyle w:val="ListParagraph"/>
        <w:numPr>
          <w:ilvl w:val="0"/>
          <w:numId w:val="120"/>
        </w:numPr>
        <w:tabs>
          <w:tab w:val="left" w:pos="1519"/>
          <w:tab w:val="left" w:pos="1520"/>
        </w:tabs>
        <w:spacing w:line="357" w:lineRule="auto"/>
        <w:ind w:left="1519" w:right="1412" w:hanging="360"/>
        <w:rPr>
          <w:sz w:val="24"/>
        </w:rPr>
      </w:pPr>
      <w:r>
        <w:rPr>
          <w:i/>
          <w:sz w:val="24"/>
        </w:rPr>
        <w:t xml:space="preserve">Lack of timely access to influenza and pneumococcal vaccines: </w:t>
      </w:r>
      <w:r>
        <w:rPr>
          <w:sz w:val="24"/>
        </w:rPr>
        <w:t xml:space="preserve">Despite public health recommendations, and the known vulnerability of certain groups of </w:t>
      </w:r>
      <w:r>
        <w:rPr>
          <w:spacing w:val="-3"/>
          <w:sz w:val="24"/>
        </w:rPr>
        <w:t xml:space="preserve">people </w:t>
      </w:r>
      <w:r>
        <w:rPr>
          <w:sz w:val="24"/>
        </w:rPr>
        <w:t>with disabilities to respiratory and other infections, a significant proportion</w:t>
      </w:r>
      <w:r>
        <w:rPr>
          <w:spacing w:val="-5"/>
          <w:sz w:val="24"/>
        </w:rPr>
        <w:t xml:space="preserve"> </w:t>
      </w:r>
      <w:r>
        <w:rPr>
          <w:sz w:val="24"/>
        </w:rPr>
        <w:t>of</w:t>
      </w:r>
      <w:r w:rsidR="00FA1F07">
        <w:rPr>
          <w:sz w:val="24"/>
        </w:rPr>
        <w:t xml:space="preserve"> </w:t>
      </w:r>
      <w:r>
        <w:t>people whose deaths were investigated across reports, did not have current vaccination protection.</w:t>
      </w:r>
    </w:p>
    <w:p w:rsidR="00EA1F74" w:rsidRDefault="00FC1CE8">
      <w:pPr>
        <w:pStyle w:val="ListParagraph"/>
        <w:numPr>
          <w:ilvl w:val="0"/>
          <w:numId w:val="120"/>
        </w:numPr>
        <w:tabs>
          <w:tab w:val="left" w:pos="1519"/>
          <w:tab w:val="left" w:pos="1520"/>
        </w:tabs>
        <w:spacing w:line="357" w:lineRule="auto"/>
        <w:ind w:left="1519" w:right="1306" w:hanging="360"/>
        <w:rPr>
          <w:sz w:val="24"/>
        </w:rPr>
      </w:pPr>
      <w:r>
        <w:rPr>
          <w:i/>
          <w:sz w:val="24"/>
        </w:rPr>
        <w:t xml:space="preserve">Late diagnosis: </w:t>
      </w:r>
      <w:r>
        <w:rPr>
          <w:sz w:val="24"/>
        </w:rPr>
        <w:t xml:space="preserve">For example, the QLD 09-14 report noted that many of the 25 people in their sample who died of respiratory causes died only a short period of time after diagnosis and, in some instances, the condition was not diagnosed </w:t>
      </w:r>
      <w:r>
        <w:rPr>
          <w:spacing w:val="-3"/>
          <w:sz w:val="24"/>
        </w:rPr>
        <w:t xml:space="preserve">until </w:t>
      </w:r>
      <w:r>
        <w:rPr>
          <w:sz w:val="24"/>
        </w:rPr>
        <w:t>after their</w:t>
      </w:r>
      <w:r>
        <w:rPr>
          <w:spacing w:val="-2"/>
          <w:sz w:val="24"/>
        </w:rPr>
        <w:t xml:space="preserve"> </w:t>
      </w:r>
      <w:r>
        <w:rPr>
          <w:sz w:val="24"/>
        </w:rPr>
        <w:t>death.</w:t>
      </w:r>
    </w:p>
    <w:p w:rsidR="00EA1F74" w:rsidRDefault="00EA1F74">
      <w:pPr>
        <w:spacing w:line="357" w:lineRule="auto"/>
        <w:rPr>
          <w:sz w:val="24"/>
        </w:rPr>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FC1CE8">
      <w:pPr>
        <w:pStyle w:val="Heading2"/>
      </w:pPr>
      <w:bookmarkStart w:id="48" w:name="_TOC_250017"/>
      <w:bookmarkEnd w:id="48"/>
      <w:r>
        <w:t>External causes of death- choking</w:t>
      </w:r>
    </w:p>
    <w:p w:rsidR="00EA1F74" w:rsidRDefault="00EA1F74" w:rsidP="00625DA1">
      <w:pPr>
        <w:pStyle w:val="BodyText"/>
      </w:pPr>
    </w:p>
    <w:p w:rsidR="00EA1F74" w:rsidRDefault="00EA1F74" w:rsidP="00625DA1">
      <w:pPr>
        <w:pStyle w:val="BodyText"/>
      </w:pPr>
    </w:p>
    <w:p w:rsidR="00EA1F74" w:rsidRDefault="00FC1CE8" w:rsidP="00EE7B87">
      <w:pPr>
        <w:pStyle w:val="Heading3"/>
      </w:pPr>
      <w:bookmarkStart w:id="49" w:name="_TOC_250016"/>
      <w:bookmarkEnd w:id="49"/>
      <w:r>
        <w:t>Prevalence</w:t>
      </w:r>
    </w:p>
    <w:p w:rsidR="00EA1F74" w:rsidRDefault="00FC1CE8" w:rsidP="00625DA1">
      <w:pPr>
        <w:pStyle w:val="BodyText"/>
      </w:pPr>
      <w:r>
        <w:t>Across reports, accidental choking was highlighted as the leading external cause of death for people with disabilities- associated with 34 of the 901 in-scope deaths for this review. Of the 29 deaths where cause of choking was reported:</w:t>
      </w:r>
    </w:p>
    <w:p w:rsidR="00EA1F74" w:rsidRDefault="00FC1CE8">
      <w:pPr>
        <w:pStyle w:val="ListParagraph"/>
        <w:numPr>
          <w:ilvl w:val="0"/>
          <w:numId w:val="120"/>
        </w:numPr>
        <w:tabs>
          <w:tab w:val="left" w:pos="1515"/>
          <w:tab w:val="left" w:pos="1516"/>
        </w:tabs>
        <w:spacing w:before="65"/>
        <w:ind w:hanging="358"/>
        <w:rPr>
          <w:sz w:val="24"/>
        </w:rPr>
      </w:pPr>
      <w:r>
        <w:rPr>
          <w:sz w:val="24"/>
        </w:rPr>
        <w:t>The vast majority, 24 (83%) were related to choking on</w:t>
      </w:r>
      <w:r>
        <w:rPr>
          <w:spacing w:val="-4"/>
          <w:sz w:val="24"/>
        </w:rPr>
        <w:t xml:space="preserve"> </w:t>
      </w:r>
      <w:r>
        <w:rPr>
          <w:sz w:val="24"/>
        </w:rPr>
        <w:t>food</w:t>
      </w:r>
    </w:p>
    <w:p w:rsidR="00EA1F74" w:rsidRDefault="00FC1CE8">
      <w:pPr>
        <w:pStyle w:val="ListParagraph"/>
        <w:numPr>
          <w:ilvl w:val="0"/>
          <w:numId w:val="120"/>
        </w:numPr>
        <w:tabs>
          <w:tab w:val="left" w:pos="1515"/>
          <w:tab w:val="left" w:pos="1516"/>
        </w:tabs>
        <w:spacing w:before="138"/>
        <w:ind w:hanging="358"/>
        <w:rPr>
          <w:sz w:val="24"/>
        </w:rPr>
      </w:pPr>
      <w:r>
        <w:rPr>
          <w:sz w:val="24"/>
        </w:rPr>
        <w:t>4 people (14%) choked on</w:t>
      </w:r>
      <w:r>
        <w:rPr>
          <w:spacing w:val="-1"/>
          <w:sz w:val="24"/>
        </w:rPr>
        <w:t xml:space="preserve"> </w:t>
      </w:r>
      <w:r>
        <w:rPr>
          <w:sz w:val="24"/>
        </w:rPr>
        <w:t>vomit</w:t>
      </w:r>
    </w:p>
    <w:p w:rsidR="00EA1F74" w:rsidRDefault="00FC1CE8">
      <w:pPr>
        <w:pStyle w:val="ListParagraph"/>
        <w:numPr>
          <w:ilvl w:val="0"/>
          <w:numId w:val="120"/>
        </w:numPr>
        <w:tabs>
          <w:tab w:val="left" w:pos="1515"/>
          <w:tab w:val="left" w:pos="1516"/>
        </w:tabs>
        <w:spacing w:before="134"/>
        <w:ind w:hanging="358"/>
        <w:rPr>
          <w:sz w:val="24"/>
        </w:rPr>
      </w:pPr>
      <w:r>
        <w:rPr>
          <w:sz w:val="24"/>
        </w:rPr>
        <w:t>1 person (3%) choked on a foreign object (latex</w:t>
      </w:r>
      <w:r>
        <w:rPr>
          <w:spacing w:val="-3"/>
          <w:sz w:val="24"/>
        </w:rPr>
        <w:t xml:space="preserve"> </w:t>
      </w:r>
      <w:r>
        <w:rPr>
          <w:sz w:val="24"/>
        </w:rPr>
        <w:t>glove)</w:t>
      </w:r>
    </w:p>
    <w:p w:rsidR="00EA1F74" w:rsidRDefault="00FC1CE8" w:rsidP="00625DA1">
      <w:pPr>
        <w:pStyle w:val="BodyText"/>
      </w:pPr>
      <w:r>
        <w:t>Analysis of longitudinal data from the NSW Ombudsman death reviews (see NSW 12-13) indicates that deaths associated with choking have increased in NSW residential services in recent years: 72% of people whose underlying cause of death was choking in the decade to 2013 died in the last four years. In their review of leading causes of deaths of people with disabilities in residential care between 2003-2017 (see NSW 14-17), the NSW Ombudsman found that ‘inhalation and ingestion of food causing obstruction of respiratory tract’ was the 10</w:t>
      </w:r>
      <w:r>
        <w:rPr>
          <w:vertAlign w:val="superscript"/>
        </w:rPr>
        <w:t>th</w:t>
      </w:r>
      <w:r>
        <w:t xml:space="preserve"> most common cause of death, responsible for 38 (2.37%) of all in-scope deaths.</w:t>
      </w:r>
    </w:p>
    <w:p w:rsidR="00EA1F74" w:rsidRDefault="00EA1F74" w:rsidP="00625DA1">
      <w:pPr>
        <w:pStyle w:val="BodyText"/>
      </w:pPr>
    </w:p>
    <w:p w:rsidR="00EA1F74" w:rsidRDefault="00EA1F74" w:rsidP="00625DA1">
      <w:pPr>
        <w:pStyle w:val="BodyText"/>
      </w:pPr>
    </w:p>
    <w:p w:rsidR="00EA1F74" w:rsidRDefault="00FC1CE8" w:rsidP="00FA1F07">
      <w:pPr>
        <w:pStyle w:val="BodyText"/>
      </w:pPr>
      <w:r>
        <w:t>Comparative mortality research has highlighted different frequencies of certain types of ‘external’ deaths among cohorts with and without intellectual disability. The general population is more likely to die from external causes such as suicide and traffic accidents, for example (Hosking et al., 2016). Rates of death from choking, on the other hand, are overrepresented among people with intellectual disability. Dupont and Mortensen’s study (cited in Sheppard et al., 2017) of causes of mortality among 9891 people with intellectual and developmental disability reported that this population was 100 times more likely to die from choking than the general population. Incidents of non-fatal choking were also reported by 40% of caregivers to adults with developmental disabilities in another study (Thacker et al., 2008). Choking has been reported to be particularly prevalent in certain sub-populations of people with disability. For example, people with Down syndrome experience problems chewing due to poor tongue control, an inefficient tongue thrust and an underdeveloped jaw (Hennequin et al., 1999). People with cerebral palsy are at</w:t>
      </w:r>
      <w:r w:rsidR="00FA1F07">
        <w:t xml:space="preserve"> </w:t>
      </w:r>
      <w:r>
        <w:t>increased risk for choking on food due to impaired swallowing and coughing reflexes (Pilla et al., 2018). Rates of choking have also been noted to be elevated in populations with mental illness and in populations with dementia (Guthrie &amp; Stansfield, 2017).</w:t>
      </w:r>
    </w:p>
    <w:p w:rsidR="00EA1F74" w:rsidRDefault="00EA1F74" w:rsidP="00625DA1">
      <w:pPr>
        <w:pStyle w:val="BodyText"/>
      </w:pPr>
    </w:p>
    <w:p w:rsidR="00EA1F74" w:rsidRDefault="00FC1CE8" w:rsidP="00EE7B87">
      <w:pPr>
        <w:pStyle w:val="Heading3"/>
      </w:pPr>
      <w:bookmarkStart w:id="50" w:name="_TOC_250015"/>
      <w:bookmarkEnd w:id="50"/>
      <w:r>
        <w:t>Demographics of people who died from choking</w:t>
      </w:r>
    </w:p>
    <w:p w:rsidR="00EA1F74" w:rsidRDefault="00FC1CE8" w:rsidP="00625DA1">
      <w:pPr>
        <w:pStyle w:val="BodyText"/>
      </w:pPr>
      <w:r>
        <w:t xml:space="preserve">A lack of consistent and detailed stratification of cause of death by demographics across reports limits insight into the characteristics of people with disability who were most at risk for this type of death. In the NSW (12-13 &amp; 14-17) and VIC 17-18 reports it appeared that most people whose underlying cause of death was choking lived in shared accommodation. More than half of the NSW 12-13 sample were also noted to have choked at home. In 3 of the 10 cases reviewed people choked during celebratory meals: two people choked on their birthday at their day program, and one person choked during a meal at home to celebrate another resident’s birthday. This may highlight an issue regarding lack of consistency with mealtime guidelines on ‘special’ occasions. The QLD 09-14 report noted that in their sample men were slightly more likely than women to die due to choking and food aspiration. In both the NSW reports it was noted that most of the people who died from choking had known risk factors prior to their death including problems swallowing, missing teeth, and problematic eating and drinking behaviours </w:t>
      </w:r>
      <w:r>
        <w:rPr>
          <w:spacing w:val="-3"/>
        </w:rPr>
        <w:t xml:space="preserve">(such </w:t>
      </w:r>
      <w:r>
        <w:t>as eating too quickly, overfilling their mouth, swallowing without adequately</w:t>
      </w:r>
      <w:r>
        <w:rPr>
          <w:spacing w:val="-5"/>
        </w:rPr>
        <w:t xml:space="preserve"> </w:t>
      </w:r>
      <w:r>
        <w:t>chewing).</w:t>
      </w:r>
    </w:p>
    <w:p w:rsidR="00EA1F74" w:rsidRDefault="00EA1F74" w:rsidP="00625DA1">
      <w:pPr>
        <w:pStyle w:val="BodyText"/>
      </w:pPr>
    </w:p>
    <w:p w:rsidR="00EA1F74" w:rsidRDefault="00FC1CE8" w:rsidP="00EE7B87">
      <w:pPr>
        <w:pStyle w:val="Heading3"/>
      </w:pPr>
      <w:bookmarkStart w:id="51" w:name="_TOC_250014"/>
      <w:bookmarkEnd w:id="51"/>
      <w:r>
        <w:t>Risk Factors</w:t>
      </w:r>
    </w:p>
    <w:p w:rsidR="00EA1F74" w:rsidRDefault="00FC1CE8" w:rsidP="00FA1F07">
      <w:pPr>
        <w:pStyle w:val="BodyText"/>
      </w:pPr>
      <w:r>
        <w:t>As highlighted previously in our discussion of aspiration pneumonia, there are a number of risk factors for choking that are overrepresented in certain groups of people with disabilities. These include high rates of psychotropic medications and polypharmacy, dysphagia, risky food related behaviours such as gorging or pica, GORD, poor oral health and impaired muscle control or weakness (Sheppard et al., 2017).</w:t>
      </w:r>
    </w:p>
    <w:p w:rsidR="00EA1F74" w:rsidRDefault="00EA1F74" w:rsidP="00625DA1">
      <w:pPr>
        <w:pStyle w:val="BodyText"/>
      </w:pPr>
    </w:p>
    <w:p w:rsidR="00EA1F74" w:rsidRDefault="00FC1CE8" w:rsidP="00625DA1">
      <w:pPr>
        <w:pStyle w:val="BodyText"/>
      </w:pPr>
      <w:r>
        <w:t xml:space="preserve">Additionally, the following areas of </w:t>
      </w:r>
      <w:r>
        <w:rPr>
          <w:i/>
        </w:rPr>
        <w:t xml:space="preserve">problematic practice </w:t>
      </w:r>
      <w:r>
        <w:t>related to choking risk were reported by death review authors:</w:t>
      </w:r>
    </w:p>
    <w:p w:rsidR="00EA1F74" w:rsidRDefault="00FC1CE8">
      <w:pPr>
        <w:pStyle w:val="ListParagraph"/>
        <w:numPr>
          <w:ilvl w:val="0"/>
          <w:numId w:val="120"/>
        </w:numPr>
        <w:tabs>
          <w:tab w:val="left" w:pos="1515"/>
          <w:tab w:val="left" w:pos="1516"/>
        </w:tabs>
        <w:spacing w:before="69" w:line="357" w:lineRule="auto"/>
        <w:ind w:right="1202"/>
        <w:rPr>
          <w:sz w:val="24"/>
        </w:rPr>
      </w:pPr>
      <w:r>
        <w:rPr>
          <w:sz w:val="24"/>
        </w:rPr>
        <w:t xml:space="preserve">Expert advice regarding mealtime requirements provided by a dietitian or speech pathologist not being adhered to (VIC 17-18; VIC 07-16; QLD, NSW). This included periods of non-supervision during mealtimes and inappropriate food </w:t>
      </w:r>
      <w:r>
        <w:rPr>
          <w:spacing w:val="-3"/>
          <w:sz w:val="24"/>
        </w:rPr>
        <w:t xml:space="preserve">types </w:t>
      </w:r>
      <w:r>
        <w:rPr>
          <w:sz w:val="24"/>
        </w:rPr>
        <w:t>and textures being offered.</w:t>
      </w:r>
    </w:p>
    <w:p w:rsidR="00EA1F74" w:rsidRDefault="00FC1CE8">
      <w:pPr>
        <w:pStyle w:val="ListParagraph"/>
        <w:numPr>
          <w:ilvl w:val="0"/>
          <w:numId w:val="120"/>
        </w:numPr>
        <w:tabs>
          <w:tab w:val="left" w:pos="1515"/>
          <w:tab w:val="left" w:pos="1516"/>
        </w:tabs>
        <w:spacing w:line="293" w:lineRule="exact"/>
        <w:ind w:hanging="358"/>
        <w:rPr>
          <w:sz w:val="24"/>
        </w:rPr>
      </w:pPr>
      <w:r>
        <w:rPr>
          <w:sz w:val="24"/>
        </w:rPr>
        <w:t>Potentially inappropriately high use of antipsychotics (VIC</w:t>
      </w:r>
      <w:r>
        <w:rPr>
          <w:spacing w:val="-5"/>
          <w:sz w:val="24"/>
        </w:rPr>
        <w:t xml:space="preserve"> </w:t>
      </w:r>
      <w:r>
        <w:rPr>
          <w:sz w:val="24"/>
        </w:rPr>
        <w:t>17-18).</w:t>
      </w:r>
    </w:p>
    <w:p w:rsidR="00EA1F74" w:rsidRDefault="00FC1CE8">
      <w:pPr>
        <w:pStyle w:val="ListParagraph"/>
        <w:numPr>
          <w:ilvl w:val="0"/>
          <w:numId w:val="120"/>
        </w:numPr>
        <w:tabs>
          <w:tab w:val="left" w:pos="1515"/>
          <w:tab w:val="left" w:pos="1516"/>
        </w:tabs>
        <w:spacing w:before="138" w:line="357" w:lineRule="auto"/>
        <w:ind w:right="1231"/>
        <w:rPr>
          <w:sz w:val="24"/>
        </w:rPr>
      </w:pPr>
      <w:r>
        <w:rPr>
          <w:sz w:val="24"/>
        </w:rPr>
        <w:t>Failure by service providers to proactively reduce the risk of choking: For example, the NSW Ombudsman (NSW 14-17) highlighted cases where the person had had previous non-fatal choking events prior to death but insufficient action had been taken to reduce future incidents from</w:t>
      </w:r>
      <w:r>
        <w:rPr>
          <w:spacing w:val="-1"/>
          <w:sz w:val="24"/>
        </w:rPr>
        <w:t xml:space="preserve"> </w:t>
      </w:r>
      <w:r>
        <w:rPr>
          <w:sz w:val="24"/>
        </w:rPr>
        <w:t>occurring.</w:t>
      </w:r>
    </w:p>
    <w:p w:rsidR="00EA1F74" w:rsidRDefault="00EA1F74">
      <w:pPr>
        <w:spacing w:line="357" w:lineRule="auto"/>
        <w:rPr>
          <w:sz w:val="24"/>
        </w:rPr>
        <w:sectPr w:rsidR="00EA1F74" w:rsidSect="00FA5D6D">
          <w:pgSz w:w="11900" w:h="16840"/>
          <w:pgMar w:top="1600" w:right="260" w:bottom="1460" w:left="140" w:header="0" w:footer="567" w:gutter="0"/>
          <w:cols w:space="720"/>
          <w:docGrid w:linePitch="299"/>
        </w:sectPr>
      </w:pPr>
    </w:p>
    <w:p w:rsidR="00EA1F74" w:rsidRDefault="00FC1CE8">
      <w:pPr>
        <w:pStyle w:val="Heading2"/>
      </w:pPr>
      <w:bookmarkStart w:id="52" w:name="_TOC_250013"/>
      <w:bookmarkEnd w:id="52"/>
      <w:r>
        <w:t>Deaths related to Epilepsy</w:t>
      </w:r>
    </w:p>
    <w:p w:rsidR="00EA1F74" w:rsidRDefault="00FC1CE8" w:rsidP="00EE7B87">
      <w:pPr>
        <w:pStyle w:val="Heading3"/>
      </w:pPr>
      <w:bookmarkStart w:id="53" w:name="_TOC_250012"/>
      <w:bookmarkEnd w:id="53"/>
      <w:r>
        <w:t>Prevalence</w:t>
      </w:r>
    </w:p>
    <w:p w:rsidR="00EA1F74" w:rsidRDefault="00FC1CE8" w:rsidP="00625DA1">
      <w:pPr>
        <w:pStyle w:val="BodyText"/>
      </w:pPr>
      <w:r>
        <w:t>Diseases of the nervous system were a common underlying cause of death across jurisdictions, accounting for 126 of the 901 deaths included in this scoping review (14%). Epilepsy was listed as the leading cause of death in 46 (37%) of these cases, and 5% of all deaths included in the review. These data are consistent with the NSW Ombudsman’s longitudinal review of cause of death for people with disability in residential care between 2003-2017 that found epilepsy accounted for 5.35% of all in-scope deaths (see NSW 14- 17). Epilepsy was reported as the third most common cause of death across this time period.</w:t>
      </w:r>
    </w:p>
    <w:p w:rsidR="00EA1F74" w:rsidRDefault="00EA1F74" w:rsidP="00625DA1">
      <w:pPr>
        <w:pStyle w:val="BodyText"/>
      </w:pPr>
    </w:p>
    <w:p w:rsidR="00EA1F74" w:rsidRDefault="00FC1CE8" w:rsidP="00EE7B87">
      <w:pPr>
        <w:pStyle w:val="Heading3"/>
      </w:pPr>
      <w:bookmarkStart w:id="54" w:name="_TOC_250011"/>
      <w:bookmarkEnd w:id="54"/>
      <w:r>
        <w:t>Demographics of people with epilepsy who died</w:t>
      </w:r>
    </w:p>
    <w:p w:rsidR="00EA1F74" w:rsidRDefault="00FC1CE8" w:rsidP="00625DA1">
      <w:pPr>
        <w:pStyle w:val="BodyText"/>
      </w:pPr>
      <w:r>
        <w:t xml:space="preserve">Only the QLD 09-14 report on disability included an in-depth analysis related to the deaths of people with epilepsy. They noted that a higher proportion of people with epilepsy in  their sample died at night and died in their usual place of residence, compared to people without epilepsy. This likely reflects a known association between sleep and increased </w:t>
      </w:r>
      <w:r>
        <w:rPr>
          <w:spacing w:val="-4"/>
        </w:rPr>
        <w:t xml:space="preserve">risk </w:t>
      </w:r>
      <w:r>
        <w:t>of seizures, a higher chance of breathing impairment related to lying prone, as well as the fact that a person is less likely to be under direct observation during sleep (Purnell et al., 2018).</w:t>
      </w:r>
    </w:p>
    <w:p w:rsidR="00EA1F74" w:rsidRDefault="00EA1F74" w:rsidP="00625DA1">
      <w:pPr>
        <w:pStyle w:val="BodyText"/>
      </w:pPr>
    </w:p>
    <w:p w:rsidR="00EA1F74" w:rsidRDefault="00FC1CE8" w:rsidP="00EE7B87">
      <w:pPr>
        <w:pStyle w:val="Heading3"/>
      </w:pPr>
      <w:bookmarkStart w:id="55" w:name="_TOC_250010"/>
      <w:bookmarkEnd w:id="55"/>
      <w:r>
        <w:t>Risk Factors</w:t>
      </w:r>
    </w:p>
    <w:p w:rsidR="00EA1F74" w:rsidRDefault="00FC1CE8" w:rsidP="00625DA1">
      <w:pPr>
        <w:pStyle w:val="BodyText"/>
      </w:pPr>
      <w:r>
        <w:t>Compared to the general population, deaths from epilepsy related causes are overrepresented among people with disabilities. This can largely be explained by the overrepresentation of epilepsy among people with certain types of disabilities, such as intellectual disability. While population prevalence estimates vary between studies, approximately 16%-30% of people with intellectual disability are thought to have epilepsy, compared to 0.5-1.0% of the general population (Robertson et al., 2015a). More severe levels of disability are associated with higher prevalence rates (Robertson et al., 2015b). A recent meta-analysis (Robertson et al., 2015b) of 38 studies in general populations with intellectual disability reported a pooled epilepsy prevalence of 22.2% (95% CI 19.6–25.1).</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FC1CE8" w:rsidP="00625DA1">
      <w:pPr>
        <w:pStyle w:val="BodyText"/>
      </w:pPr>
      <w:r>
        <w:t>Populations with co-occurring intellectual disability and epilepsy have a substantially increased mortality risk, particularly in cases where the seizure activity is ongoing (Robertson et al., 2015a). Although the reason is unclear, recent research indicates a growing trend in the number of people with an intellectual disability dying as a consequence of epilepsy (Kiani et al. 2014). It is possible that problems people with intellectual disability experience accessing quality health care, as well as issues related to recognising and communicating health concerns may also contribute to poorer epilepsy management in this population (Robertson, Baines, et al., 2017)</w:t>
      </w:r>
    </w:p>
    <w:p w:rsidR="00EA1F74" w:rsidRDefault="00EA1F74" w:rsidP="00625DA1">
      <w:pPr>
        <w:pStyle w:val="BodyText"/>
      </w:pPr>
    </w:p>
    <w:p w:rsidR="00EA1F74" w:rsidRDefault="00FC1CE8" w:rsidP="00625DA1">
      <w:pPr>
        <w:pStyle w:val="BodyText"/>
      </w:pPr>
      <w:r>
        <w:t>In their analysis of epilepsy related deaths, the QLD Office of the Public Advocate (QLD 09-14) identified the following areas of problematic practice:</w:t>
      </w:r>
    </w:p>
    <w:p w:rsidR="00EA1F74" w:rsidRDefault="00FC1CE8">
      <w:pPr>
        <w:pStyle w:val="ListParagraph"/>
        <w:numPr>
          <w:ilvl w:val="0"/>
          <w:numId w:val="120"/>
        </w:numPr>
        <w:tabs>
          <w:tab w:val="left" w:pos="1515"/>
          <w:tab w:val="left" w:pos="1516"/>
        </w:tabs>
        <w:spacing w:before="69" w:line="355" w:lineRule="auto"/>
        <w:ind w:right="1843"/>
        <w:rPr>
          <w:sz w:val="24"/>
        </w:rPr>
      </w:pPr>
      <w:r>
        <w:rPr>
          <w:sz w:val="24"/>
        </w:rPr>
        <w:t>Some people who died appeared to have been administered sub-therapeutic dosages of anticonvulsant</w:t>
      </w:r>
      <w:r>
        <w:rPr>
          <w:spacing w:val="-3"/>
          <w:sz w:val="24"/>
        </w:rPr>
        <w:t xml:space="preserve"> </w:t>
      </w:r>
      <w:r>
        <w:rPr>
          <w:sz w:val="24"/>
        </w:rPr>
        <w:t>medication.</w:t>
      </w:r>
    </w:p>
    <w:p w:rsidR="00EA1F74" w:rsidRDefault="00FC1CE8">
      <w:pPr>
        <w:pStyle w:val="ListParagraph"/>
        <w:numPr>
          <w:ilvl w:val="0"/>
          <w:numId w:val="120"/>
        </w:numPr>
        <w:tabs>
          <w:tab w:val="left" w:pos="1515"/>
          <w:tab w:val="left" w:pos="1516"/>
        </w:tabs>
        <w:spacing w:before="1" w:line="357" w:lineRule="auto"/>
        <w:ind w:right="1843"/>
        <w:rPr>
          <w:sz w:val="24"/>
        </w:rPr>
      </w:pPr>
      <w:r>
        <w:rPr>
          <w:sz w:val="24"/>
        </w:rPr>
        <w:t>In some cases it was not clear whether people had access to a specialist neurologist for management and oversight of their epilepsy, including regular medication reviews, prior to</w:t>
      </w:r>
      <w:r>
        <w:rPr>
          <w:spacing w:val="-3"/>
          <w:sz w:val="24"/>
        </w:rPr>
        <w:t xml:space="preserve"> </w:t>
      </w:r>
      <w:r>
        <w:rPr>
          <w:sz w:val="24"/>
        </w:rPr>
        <w:t>death.</w:t>
      </w:r>
    </w:p>
    <w:p w:rsidR="00EA1F74" w:rsidRDefault="00FC1CE8">
      <w:pPr>
        <w:pStyle w:val="ListParagraph"/>
        <w:numPr>
          <w:ilvl w:val="0"/>
          <w:numId w:val="120"/>
        </w:numPr>
        <w:tabs>
          <w:tab w:val="left" w:pos="1515"/>
          <w:tab w:val="left" w:pos="1516"/>
        </w:tabs>
        <w:spacing w:line="357" w:lineRule="auto"/>
        <w:ind w:right="1830"/>
        <w:rPr>
          <w:sz w:val="24"/>
        </w:rPr>
      </w:pPr>
      <w:r>
        <w:rPr>
          <w:sz w:val="24"/>
        </w:rPr>
        <w:t xml:space="preserve">In one case, the person’s epilepsy medication was ceased in hospital prior </w:t>
      </w:r>
      <w:r>
        <w:rPr>
          <w:spacing w:val="-8"/>
          <w:sz w:val="24"/>
        </w:rPr>
        <w:t xml:space="preserve">to </w:t>
      </w:r>
      <w:r>
        <w:rPr>
          <w:sz w:val="24"/>
        </w:rPr>
        <w:t>surgery and despite staff witnessing seizures, the medication was not recommenced.</w:t>
      </w:r>
    </w:p>
    <w:p w:rsidR="00EA1F74" w:rsidRDefault="00FC1CE8">
      <w:pPr>
        <w:pStyle w:val="ListParagraph"/>
        <w:numPr>
          <w:ilvl w:val="0"/>
          <w:numId w:val="120"/>
        </w:numPr>
        <w:tabs>
          <w:tab w:val="left" w:pos="1515"/>
          <w:tab w:val="left" w:pos="1516"/>
        </w:tabs>
        <w:spacing w:line="357" w:lineRule="auto"/>
        <w:ind w:right="1350"/>
        <w:rPr>
          <w:sz w:val="24"/>
        </w:rPr>
      </w:pPr>
      <w:r>
        <w:rPr>
          <w:sz w:val="24"/>
        </w:rPr>
        <w:t>Sub-optimal recording and charting of seizure activity was noted. Poor charting of seizure activity is an issue of concern, especially given recent research indicating that in 90% of the deaths due to sudden unexpected death in epilepsy (SUDEP) there was an increase in seizure activity and/or intensity 3-6 months before death (Shankar,</w:t>
      </w:r>
      <w:r>
        <w:rPr>
          <w:spacing w:val="-1"/>
          <w:sz w:val="24"/>
        </w:rPr>
        <w:t xml:space="preserve"> </w:t>
      </w:r>
      <w:r>
        <w:rPr>
          <w:sz w:val="24"/>
        </w:rPr>
        <w:t>2015).</w:t>
      </w:r>
    </w:p>
    <w:p w:rsidR="00EA1F74" w:rsidRDefault="00EA1F74">
      <w:pPr>
        <w:spacing w:line="357" w:lineRule="auto"/>
        <w:rPr>
          <w:sz w:val="24"/>
        </w:rPr>
        <w:sectPr w:rsidR="00EA1F74" w:rsidSect="00FA5D6D">
          <w:pgSz w:w="11900" w:h="16840"/>
          <w:pgMar w:top="1600" w:right="260" w:bottom="1460" w:left="140" w:header="0" w:footer="567" w:gutter="0"/>
          <w:cols w:space="720"/>
          <w:docGrid w:linePitch="299"/>
        </w:sectPr>
      </w:pPr>
    </w:p>
    <w:p w:rsidR="00EA1F74" w:rsidRDefault="00FC1CE8">
      <w:pPr>
        <w:pStyle w:val="Heading2"/>
        <w:spacing w:line="278" w:lineRule="auto"/>
        <w:ind w:right="2107"/>
      </w:pPr>
      <w:bookmarkStart w:id="56" w:name="_TOC_250009"/>
      <w:bookmarkEnd w:id="56"/>
      <w:r>
        <w:t>Deaths due to neoplasms and circulatory disease: Understanding and addressing lifestyle related risks</w:t>
      </w:r>
    </w:p>
    <w:p w:rsidR="00EA1F74" w:rsidRDefault="00EA1F74" w:rsidP="00625DA1">
      <w:pPr>
        <w:pStyle w:val="BodyText"/>
      </w:pPr>
    </w:p>
    <w:p w:rsidR="00EA1F74" w:rsidRDefault="00FC1CE8" w:rsidP="00EE7B87">
      <w:pPr>
        <w:pStyle w:val="Heading3"/>
      </w:pPr>
      <w:bookmarkStart w:id="57" w:name="_TOC_250008"/>
      <w:bookmarkEnd w:id="57"/>
      <w:r>
        <w:t>Neoplasms</w:t>
      </w:r>
    </w:p>
    <w:p w:rsidR="00EA1F74" w:rsidRDefault="00FC1CE8" w:rsidP="00625DA1">
      <w:pPr>
        <w:pStyle w:val="BodyText"/>
      </w:pPr>
      <w:r>
        <w:t>Across the 901 deaths included in this scoping review, neoplasms were the underlying cause of death for 118 people (13.09%). Malignant neoplasms of the digestive organs and malignant neoplasms of the trachea, bronchus and lungs were the most frequently reported neoplasm types. Previous research has highlighted higher rates of cancer mortality in the general population, compared to groups with intellectual disability (Patja et al., 2001; Trollor et al., 2017). Consistent with this finding, people in this scoping review appeared more likely than the general population to die from other causes. However, neoplasms were still a cause of death for a significant proportion of the sample and neoplasm death rates in people with intellectual disability have not been presented as</w:t>
      </w:r>
    </w:p>
    <w:p w:rsidR="00EA1F74" w:rsidRDefault="00FC1CE8" w:rsidP="00625DA1">
      <w:pPr>
        <w:pStyle w:val="BodyText"/>
      </w:pPr>
      <w:r>
        <w:t>age-adjusted statistics. Given that the risk for certain cancers has been linked to lifestyle factors including diet, exercise, smoking and alcohol (Orenstein et al., 2016), and that cancer re-occurrence among cancer survivors is noted to be lower with healthy lifestyle behaviour (Schwedhelm et al., 2016), a proportion of neoplasm related deaths in this sample may be potentially avoidable or amenable to intervention. Further research is required in this area.</w:t>
      </w:r>
    </w:p>
    <w:p w:rsidR="00EA1F74" w:rsidRDefault="00EA1F74" w:rsidP="00625DA1">
      <w:pPr>
        <w:pStyle w:val="BodyText"/>
      </w:pPr>
    </w:p>
    <w:p w:rsidR="00EA1F74" w:rsidRDefault="00FC1CE8" w:rsidP="00625DA1">
      <w:pPr>
        <w:pStyle w:val="BodyText"/>
      </w:pPr>
      <w:r>
        <w:t>Malignant neoplasms of the bronchus and lungs are one type of cancer considered potentially amenable to lifestyle interventions such as smoking reduction (Torre et al., 2015). Significantly, the NSW Ombudsman’s longitudinal analysis of in-scope deaths from 2002-2017 (see NSW 14-17) identified this type of neoplasm as the leading cause of cancer related deaths in both assisted boarding house and disability service samples. In the assisted boarding house sample, malignant neoplasms of the bronchus and lungs were the 4</w:t>
      </w:r>
      <w:r>
        <w:rPr>
          <w:vertAlign w:val="superscript"/>
        </w:rPr>
        <w:t>th</w:t>
      </w:r>
      <w:r>
        <w:t xml:space="preserve"> most common cause of death overall, accounting for 5.03% of all in-scope deaths. In the disability services sample they were the 9</w:t>
      </w:r>
      <w:r>
        <w:rPr>
          <w:vertAlign w:val="superscript"/>
        </w:rPr>
        <w:t>th</w:t>
      </w:r>
      <w:r>
        <w:t xml:space="preserve"> most common cause, accounting for 2.1% of all in-scope deaths during this period.</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EA1F74" w:rsidP="00625DA1">
      <w:pPr>
        <w:pStyle w:val="BodyText"/>
      </w:pPr>
    </w:p>
    <w:p w:rsidR="00EA1F74" w:rsidRDefault="00EA1F74" w:rsidP="00625DA1">
      <w:pPr>
        <w:pStyle w:val="BodyText"/>
      </w:pPr>
    </w:p>
    <w:p w:rsidR="00EA1F74" w:rsidRDefault="00FC1CE8" w:rsidP="00EE7B87">
      <w:pPr>
        <w:pStyle w:val="Heading3"/>
      </w:pPr>
      <w:bookmarkStart w:id="58" w:name="_TOC_250007"/>
      <w:bookmarkEnd w:id="58"/>
      <w:r>
        <w:t>Circulatory deaths</w:t>
      </w:r>
    </w:p>
    <w:p w:rsidR="00EA1F74" w:rsidRDefault="00FC1CE8" w:rsidP="00625DA1">
      <w:pPr>
        <w:pStyle w:val="BodyText"/>
      </w:pPr>
      <w:r>
        <w:t>Circulatory disease was listed as the underlying cause of death of 121 of the 901 cases included in this scoping review (13.42%). In both the QLD 09-14 and VIC 17-18 reports, circulatory disease was the second most common underlying cause of death at ICD Chapter level. In the NSW in-scope reports, circulatory disease was the leading cause of death in assisted boarding house samples but not in the disability service samples.</w:t>
      </w:r>
    </w:p>
    <w:p w:rsidR="00EA1F74" w:rsidRDefault="00EA1F74" w:rsidP="00625DA1">
      <w:pPr>
        <w:pStyle w:val="BodyText"/>
      </w:pPr>
    </w:p>
    <w:p w:rsidR="00EA1F74" w:rsidRDefault="00EA1F74" w:rsidP="00625DA1">
      <w:pPr>
        <w:pStyle w:val="BodyText"/>
      </w:pPr>
    </w:p>
    <w:p w:rsidR="00EA1F74" w:rsidRDefault="00FC1CE8" w:rsidP="00625DA1">
      <w:pPr>
        <w:pStyle w:val="BodyText"/>
      </w:pPr>
      <w:r>
        <w:t xml:space="preserve">At ICD sub-chapter level ischaemic heart disease featured as the leading underlying cause of circulatory deaths across reports. Ischaemic heart disease was the cause of </w:t>
      </w:r>
      <w:r>
        <w:rPr>
          <w:spacing w:val="-4"/>
        </w:rPr>
        <w:t xml:space="preserve">50% </w:t>
      </w:r>
      <w:r>
        <w:t>of all circulatory deaths in the QLD 09-14 sample, and 35% and 31% of all circulatory deaths in the 2012-2013 and 2014-2017 NSW samples respectively. Mortality from ischaemic heart disease, as well as other types of circulatory disease, has been noted in the literature to be amenable to lifestyle intervention (O’Doherty, et.</w:t>
      </w:r>
      <w:r>
        <w:rPr>
          <w:spacing w:val="-2"/>
        </w:rPr>
        <w:t xml:space="preserve"> </w:t>
      </w:r>
      <w:r>
        <w:t>al.)</w:t>
      </w:r>
    </w:p>
    <w:p w:rsidR="00EA1F74" w:rsidRDefault="00EA1F74" w:rsidP="00625DA1">
      <w:pPr>
        <w:pStyle w:val="BodyText"/>
      </w:pPr>
    </w:p>
    <w:p w:rsidR="00EA1F74" w:rsidRDefault="00FC1CE8" w:rsidP="00625DA1">
      <w:pPr>
        <w:pStyle w:val="BodyText"/>
      </w:pPr>
      <w:r>
        <w:t>Differences in analysis between reports limits insight into overall demographic patterns of people who died from this cause. In the QLD 09-14 sample, women were noted to be slightly more likely than men to die from circulatory disease, however the sample size was small. In the NSW 12-13 report, it was noted that people in assisted boarding houses tended to have more relevant risk factors for circulatory deaths such as smoking, hypertension, and obesity, compared to people in disability services. Circulatory deaths were more common in the older age brackets analysed in the NSW samples.</w:t>
      </w:r>
    </w:p>
    <w:p w:rsidR="00EA1F74" w:rsidRDefault="00EA1F74" w:rsidP="00625DA1">
      <w:pPr>
        <w:pStyle w:val="BodyText"/>
      </w:pPr>
    </w:p>
    <w:p w:rsidR="00EA1F74" w:rsidRDefault="00EA1F74" w:rsidP="00625DA1">
      <w:pPr>
        <w:pStyle w:val="BodyText"/>
      </w:pPr>
    </w:p>
    <w:p w:rsidR="00EA1F74" w:rsidRDefault="00FC1CE8" w:rsidP="00625DA1">
      <w:pPr>
        <w:pStyle w:val="BodyText"/>
      </w:pPr>
      <w:r>
        <w:t>While rates of circulatory deaths are also high in the general population, they have been falling in recent years, potentially as a result of health promotion initiatives and improved access to healthy living supports (O'Flaherty et al., 2012). Rates of deaths from circulatory diseases have not declined in a similar fashion for people with intellectual disability, however, suggesting that health promotion messaging and initiatives may not be accessible to these populations.</w:t>
      </w:r>
    </w:p>
    <w:p w:rsidR="00EA1F74" w:rsidRDefault="00EA1F74" w:rsidP="00625DA1">
      <w:pPr>
        <w:pStyle w:val="BodyText"/>
      </w:pPr>
    </w:p>
    <w:p w:rsidR="00EA1F74" w:rsidRDefault="00FC1CE8" w:rsidP="00EE7B87">
      <w:pPr>
        <w:pStyle w:val="Heading3"/>
      </w:pPr>
      <w:bookmarkStart w:id="59" w:name="_TOC_250006"/>
      <w:bookmarkEnd w:id="59"/>
      <w:r>
        <w:t>Identifying lifestyle related risks across the samples</w:t>
      </w:r>
    </w:p>
    <w:p w:rsidR="00EA1F74" w:rsidRDefault="00FC1CE8" w:rsidP="00625DA1">
      <w:pPr>
        <w:pStyle w:val="BodyText"/>
      </w:pPr>
      <w:r>
        <w:t>Report authors identify a number of lifestyle related risks that potentially contributed to circulatory and neoplasm related deaths in their samples. These include:</w:t>
      </w:r>
    </w:p>
    <w:p w:rsidR="00EA1F74" w:rsidRDefault="00EA1F74" w:rsidP="00625DA1">
      <w:pPr>
        <w:pStyle w:val="BodyText"/>
      </w:pPr>
    </w:p>
    <w:p w:rsidR="00EA1F74" w:rsidRDefault="00FC1CE8" w:rsidP="00625DA1">
      <w:pPr>
        <w:pStyle w:val="BodyText"/>
      </w:pPr>
      <w:r>
        <w:rPr>
          <w:b/>
        </w:rPr>
        <w:t xml:space="preserve">Obesity: </w:t>
      </w:r>
      <w:r>
        <w:t>For example, over one-third of the people in disability services in NSW who died in 2012-2013 and over half of the people in assisted boarding houses, were overweight or obese. The NSW Ombudsman notes that the leading causes of death for this sample who were obese or severely obese included heart attack, heart disease, pneumonia, COPD and cancers. For eight of these people, the Coroner specifically identified obesity as a significant contributory factor in their death. In the 2014-2017 review period the Ombudsman notes that over one-third of the people who died in disability services and almost half of the residents who died in assisted boarding houses were overweight or obese. Obesity was identified as a significant condition or contributory factor in the deaths of eleven people over this time period.</w:t>
      </w:r>
    </w:p>
    <w:p w:rsidR="00EA1F74" w:rsidRDefault="00EA1F74" w:rsidP="00625DA1">
      <w:pPr>
        <w:pStyle w:val="BodyText"/>
      </w:pPr>
    </w:p>
    <w:p w:rsidR="00EA1F74" w:rsidRDefault="00FC1CE8" w:rsidP="00625DA1">
      <w:pPr>
        <w:pStyle w:val="BodyText"/>
      </w:pPr>
      <w:r>
        <w:rPr>
          <w:b/>
        </w:rPr>
        <w:t xml:space="preserve">Smoking: </w:t>
      </w:r>
      <w:r>
        <w:t>For example, 30% of the people who died from circulatory disease in the VIC 17-18 sample were smokers. In NSW between 2014-2017 61% of the assisted boarding house residents who died were reported to have smoked, including one-third who were smoking more than 10 cigarettes a day at the time of their death.</w:t>
      </w:r>
    </w:p>
    <w:p w:rsidR="00EA1F74" w:rsidRDefault="00EA1F74" w:rsidP="00625DA1">
      <w:pPr>
        <w:pStyle w:val="BodyText"/>
      </w:pPr>
    </w:p>
    <w:p w:rsidR="00EA1F74" w:rsidRDefault="00FC1CE8">
      <w:pPr>
        <w:spacing w:line="362" w:lineRule="auto"/>
        <w:ind w:left="733" w:right="1169"/>
        <w:rPr>
          <w:sz w:val="24"/>
        </w:rPr>
      </w:pPr>
      <w:r>
        <w:rPr>
          <w:b/>
          <w:sz w:val="24"/>
        </w:rPr>
        <w:t xml:space="preserve">Low or unknown levels of physical activity: </w:t>
      </w:r>
      <w:r>
        <w:rPr>
          <w:sz w:val="24"/>
        </w:rPr>
        <w:t>For example, all people who died from circulatory disease in the VIC 17-18 sample had low or unknown levels of physical activity.</w:t>
      </w:r>
    </w:p>
    <w:p w:rsidR="00EA1F74" w:rsidRDefault="00EA1F74" w:rsidP="00625DA1">
      <w:pPr>
        <w:pStyle w:val="BodyText"/>
      </w:pPr>
    </w:p>
    <w:p w:rsidR="00EA1F74" w:rsidRDefault="00FC1CE8" w:rsidP="00625DA1">
      <w:pPr>
        <w:pStyle w:val="BodyText"/>
      </w:pPr>
      <w:r>
        <w:rPr>
          <w:b/>
        </w:rPr>
        <w:t xml:space="preserve">Hypertension: </w:t>
      </w:r>
      <w:r>
        <w:t>For example, 19% of the VIC 2017-18 sample were known to have hypertension. For the NSW 2012-2013 review period, 29% of disability service residents and 40% of assisted boarding house residents had a diagnosis of hypertension prior to their death. For the 2014-2017 review period, 30% of disability service residents who died and 28% of assisted boarding house residents were noted to have hypertension.</w:t>
      </w:r>
    </w:p>
    <w:p w:rsidR="00EA1F74" w:rsidRDefault="00EA1F74" w:rsidP="00625DA1">
      <w:pPr>
        <w:pStyle w:val="BodyText"/>
      </w:pPr>
    </w:p>
    <w:p w:rsidR="00EA1F74" w:rsidRDefault="00FC1CE8" w:rsidP="00625DA1">
      <w:pPr>
        <w:pStyle w:val="BodyText"/>
      </w:pPr>
      <w:r>
        <w:rPr>
          <w:b/>
        </w:rPr>
        <w:t xml:space="preserve">Diabetes: </w:t>
      </w:r>
      <w:r>
        <w:t>For example, 14% of the VIC 17-18 sample was known to have diabetes. In NSW, 27% of assisted boarding house residents who died in 2012-13 and 11% who died in 2014-17 had a diagnosis of diabetes.</w:t>
      </w:r>
    </w:p>
    <w:p w:rsidR="00EA1F74" w:rsidRDefault="00EA1F74" w:rsidP="00625DA1">
      <w:pPr>
        <w:pStyle w:val="BodyText"/>
      </w:pPr>
    </w:p>
    <w:p w:rsidR="00EA1F74" w:rsidRDefault="00FC1CE8" w:rsidP="00625DA1">
      <w:pPr>
        <w:pStyle w:val="BodyText"/>
      </w:pPr>
      <w:r>
        <w:rPr>
          <w:b/>
        </w:rPr>
        <w:t xml:space="preserve">Poor management of lifestyle related risks: </w:t>
      </w:r>
      <w:r>
        <w:t>For example, in the VIC 17-18 sample, 50% of people who died from circulatory disease had neither seen a cardiologist or dietitian in the previous 12 months (despite the fact that many had identifiable risk factors such as hypertension, being overweight, a lack of physical activity, and smoking). In the QLD sample, it was also noted that some of the people who died from circulatory disease were obese, but there was little evidence to show how this health issue had been attended to, prior to death. Similarly, in the NSW 12-14 report it was noted that almost half of the people in disability services who were outside of a healthy weight range had not seen a dietitian. In the NSW 14-17 report it was noted that only 33% of the boarding house residents who were outside of the healthy weight range had seen a</w:t>
      </w:r>
      <w:r>
        <w:rPr>
          <w:spacing w:val="-2"/>
        </w:rPr>
        <w:t xml:space="preserve"> </w:t>
      </w:r>
      <w:r>
        <w:t>dietitian.</w:t>
      </w:r>
    </w:p>
    <w:p w:rsidR="00EA1F74" w:rsidRDefault="00EA1F74" w:rsidP="00625DA1">
      <w:pPr>
        <w:pStyle w:val="BodyText"/>
      </w:pPr>
    </w:p>
    <w:p w:rsidR="00EA1F74" w:rsidRDefault="00FC1CE8" w:rsidP="00625DA1">
      <w:pPr>
        <w:pStyle w:val="BodyText"/>
      </w:pPr>
      <w:r>
        <w:rPr>
          <w:b/>
        </w:rPr>
        <w:t xml:space="preserve">Lack of staff awareness of, or compliance with healthy lifestyle policies in residential care: </w:t>
      </w:r>
      <w:r>
        <w:t xml:space="preserve">The NSW Ombudsman notes that in many cases people did not seem to receive care based on the guidance policies issues by ADHC in their ‘Health care </w:t>
      </w:r>
      <w:r>
        <w:rPr>
          <w:spacing w:val="-3"/>
        </w:rPr>
        <w:t xml:space="preserve">policy </w:t>
      </w:r>
      <w:r>
        <w:t>and procedures’ (ADHC, 2007-ammended 2010 and 2012). For example, many people who were overweight were not referred to their GP or a dietician to obtain an individual eating plan and individualised dietary advice for weight loss, despite a requirement that they should have been. It was also noted that some disability staff encouraged unhealthy eating practices by taking residents to ‘fast-food’ restaurants (NSW</w:t>
      </w:r>
      <w:r>
        <w:rPr>
          <w:spacing w:val="-4"/>
        </w:rPr>
        <w:t xml:space="preserve"> </w:t>
      </w:r>
      <w:r>
        <w:t>14-17).</w:t>
      </w:r>
    </w:p>
    <w:p w:rsidR="00EA1F74" w:rsidRDefault="00EA1F74" w:rsidP="00625DA1">
      <w:pPr>
        <w:pStyle w:val="BodyText"/>
      </w:pPr>
    </w:p>
    <w:p w:rsidR="00EA1F74" w:rsidRDefault="00FC1CE8">
      <w:pPr>
        <w:spacing w:line="360" w:lineRule="auto"/>
        <w:ind w:left="733" w:right="1287"/>
        <w:rPr>
          <w:i/>
          <w:sz w:val="24"/>
        </w:rPr>
      </w:pPr>
      <w:r>
        <w:rPr>
          <w:b/>
          <w:sz w:val="24"/>
        </w:rPr>
        <w:t xml:space="preserve">Lack of care co-ordination between services to address identified risk factors: </w:t>
      </w:r>
      <w:r>
        <w:rPr>
          <w:sz w:val="24"/>
        </w:rPr>
        <w:t>The NSW Ombudsman (NSW 14-17) notes, “</w:t>
      </w:r>
      <w:r>
        <w:rPr>
          <w:i/>
          <w:sz w:val="24"/>
        </w:rPr>
        <w:t>A range of reviews identified individuals whose weight was adversely affecting their health, such as their respiratory function. However, other than recording the significant risks for the person and telling them they needed to lose weight, no support was provided. In some cases, we did not see an attempt to adopt a coordinated and person-centred approach to helping the person to address their weight risks, even when their obesity was noted to be limiting the treatment options for their chronic conditions.”</w:t>
      </w:r>
    </w:p>
    <w:p w:rsidR="00EA1F74" w:rsidRDefault="00EA1F74" w:rsidP="00625DA1">
      <w:pPr>
        <w:pStyle w:val="BodyText"/>
      </w:pPr>
    </w:p>
    <w:p w:rsidR="00EA1F74" w:rsidRDefault="00FC1CE8" w:rsidP="00625DA1">
      <w:pPr>
        <w:pStyle w:val="BodyText"/>
      </w:pPr>
      <w:r>
        <w:rPr>
          <w:b/>
        </w:rPr>
        <w:t xml:space="preserve">High rates of psychotropic prescriptions and polypharmacy and insufficient specialist review of medications: </w:t>
      </w:r>
      <w:r>
        <w:t>High rates of polypharmacy and antipsychotic use in the absence of a mental illness diagnosis were noted in a number of the in-scope death reviews. Psychotropic medications can contribute to lifestyle risks including weight gain, hypertension and diabetes (Correll et al., 2015) and thus place clients at increased risk for certain types of deaths. A lack of specialist input and medication reviews were noted by several report authors.</w:t>
      </w:r>
    </w:p>
    <w:p w:rsidR="00EA1F74" w:rsidRDefault="00EA1F74" w:rsidP="00625DA1">
      <w:pPr>
        <w:pStyle w:val="BodyText"/>
      </w:pPr>
    </w:p>
    <w:p w:rsidR="00EA1F74" w:rsidRDefault="00FC1CE8" w:rsidP="00625DA1">
      <w:pPr>
        <w:pStyle w:val="BodyText"/>
      </w:pPr>
      <w:r>
        <w:t>While dietary risk factors and levels of physical activity were not extensively examined in the reports included in this scoping review, we know from the literature that these factors also contribute to preventable morbidity and mortality and are overrepresented in people with disabilities. Compared to the general population, for example, people with intellectual disability are significantly less likely to meet physical activity recommendations and significantly more likely to live sedentary lifestyles (Einarsson et al., 2015; Dixon-Ibarra et al., 2013). They are also more likely to consume a diet that is higher in calories and lower in nutrients (Crawley, 2009).</w:t>
      </w:r>
    </w:p>
    <w:p w:rsidR="00EA1F74" w:rsidRDefault="00EA1F74" w:rsidP="00625DA1">
      <w:pPr>
        <w:pStyle w:val="BodyText"/>
      </w:pPr>
    </w:p>
    <w:p w:rsidR="00EA1F74" w:rsidRDefault="00FC1CE8">
      <w:pPr>
        <w:pStyle w:val="Heading2"/>
      </w:pPr>
      <w:bookmarkStart w:id="60" w:name="_TOC_250005"/>
      <w:bookmarkEnd w:id="60"/>
      <w:r>
        <w:t>Overarching problems spanning jurisdictions and types of deaths</w:t>
      </w:r>
    </w:p>
    <w:p w:rsidR="00EA1F74" w:rsidRDefault="00EA1F74" w:rsidP="00625DA1">
      <w:pPr>
        <w:pStyle w:val="BodyText"/>
      </w:pPr>
    </w:p>
    <w:p w:rsidR="00EA1F74" w:rsidRDefault="00FC1CE8" w:rsidP="00625DA1">
      <w:pPr>
        <w:pStyle w:val="BodyText"/>
      </w:pPr>
      <w:r>
        <w:t>In addition to lifestyle and disease specific risks identified above, a number of areas of poor practice were noted across death types and jurisdictions. These include inadequate facilitation of preventative health care measures, difficulties identifying and responding to health concerns and health care emergencies, and lack of clarity around end of life planning. In this section of the review we highlight the contribution of these factors to the sequence of events leading up to the person’s death.</w:t>
      </w:r>
    </w:p>
    <w:p w:rsidR="00EA1F74" w:rsidRDefault="00EA1F74" w:rsidP="00625DA1">
      <w:pPr>
        <w:pStyle w:val="BodyText"/>
      </w:pPr>
    </w:p>
    <w:p w:rsidR="00EA1F74" w:rsidRDefault="00EA1F74" w:rsidP="00625DA1">
      <w:pPr>
        <w:pStyle w:val="BodyText"/>
      </w:pPr>
    </w:p>
    <w:p w:rsidR="00EA1F74" w:rsidRDefault="00FC1CE8" w:rsidP="00EE7B87">
      <w:pPr>
        <w:pStyle w:val="Heading3"/>
      </w:pPr>
      <w:bookmarkStart w:id="61" w:name="_TOC_250004"/>
      <w:bookmarkEnd w:id="61"/>
      <w:r>
        <w:t>Access to preventative health care</w:t>
      </w:r>
    </w:p>
    <w:p w:rsidR="00EA1F74" w:rsidRDefault="00FC1CE8" w:rsidP="00625DA1">
      <w:pPr>
        <w:pStyle w:val="BodyText"/>
      </w:pPr>
      <w:r>
        <w:t>Across jurisdictions report authors noted a lack of proactive support for preventative health care measures, including recommended vaccinations, dental check-ups and annual comprehensive health examinations. Across populations, preventative health care measures play a significant role in reducing potentially avoidable complications and deaths. In the context of known high rates of potentially avoidable deaths among certain groups with disabilities (Trollor et al., 2017), it is of significant concern that many deaths that were in-scope for this review involved people whose preventative health care needs had not been fully met.</w:t>
      </w:r>
    </w:p>
    <w:p w:rsidR="00EA1F74" w:rsidRDefault="00EA1F74" w:rsidP="00625DA1">
      <w:pPr>
        <w:pStyle w:val="BodyText"/>
      </w:pPr>
    </w:p>
    <w:p w:rsidR="00EA1F74" w:rsidRDefault="00EA1F74" w:rsidP="00625DA1">
      <w:pPr>
        <w:pStyle w:val="BodyText"/>
      </w:pPr>
    </w:p>
    <w:p w:rsidR="00EA1F74" w:rsidRDefault="00FC1CE8" w:rsidP="00625DA1">
      <w:pPr>
        <w:pStyle w:val="BodyText"/>
      </w:pPr>
      <w:r>
        <w:rPr>
          <w:b/>
          <w:i/>
        </w:rPr>
        <w:t>Influenza and pneumococcal vaccinations</w:t>
      </w:r>
      <w:r>
        <w:rPr>
          <w:b/>
        </w:rPr>
        <w:t xml:space="preserve">, </w:t>
      </w:r>
      <w:r>
        <w:t>for example, are encouraged for vulnerable populations with complex health needs. The majority of people whose deaths were in- scope for this review fell into this category. Influenza and pneumococcal vaccinations reduce the risk of certain types of respiratory infections and complications (Kraicer- Melamed et al., 2016), and combined vaccination has been shown to reduce pneumonia related mortality (Christenson et al., 2004). Across samples, however, compliance with vaccination recommendations was not as high as it could have been. Where reported, between 14% and 48% of people whose deaths were in-scope for this review had not received an influenza vaccination in the 12 months prior to their death and between 25% and 83% had not received a pneumococcal vaccination.</w:t>
      </w:r>
    </w:p>
    <w:p w:rsidR="00EA1F74" w:rsidRDefault="00EA1F74" w:rsidP="00625DA1">
      <w:pPr>
        <w:pStyle w:val="BodyText"/>
      </w:pPr>
    </w:p>
    <w:p w:rsidR="00EA1F74" w:rsidRDefault="00FC1CE8" w:rsidP="00625DA1">
      <w:pPr>
        <w:pStyle w:val="BodyText"/>
      </w:pPr>
      <w:r>
        <w:t xml:space="preserve">As noted previously, most disability providers are also expected to support clients to attend a </w:t>
      </w:r>
      <w:r>
        <w:rPr>
          <w:b/>
          <w:i/>
        </w:rPr>
        <w:t>comprehensive annual health examination</w:t>
      </w:r>
      <w:r>
        <w:rPr>
          <w:b/>
        </w:rPr>
        <w:t xml:space="preserve">. </w:t>
      </w:r>
      <w:r>
        <w:t>Annual health check-ups are an evidence-based intervention for improving primary care for people with intellectual disability (Robertson et al., 2014). They assist in early detection of new diseases and improve monitoring of pre-existing diseases (Buszewicz et al., 2014; Lennox et al., 2007). Such examinations are particularly important for populations with disabilities who have multiple co-morbidities and may struggle to identify or communicate changes in their health status (Cooper et al., 2014). In this scoping review, however, we found that the date of the person’s last comprehensive health assessment was either unknown or unreported in the VIC 17-18 and QLD 09-14 samples. Data from NSW (NSW 12-13 &amp; 14-</w:t>
      </w:r>
    </w:p>
    <w:p w:rsidR="00EA1F74" w:rsidRDefault="00FC1CE8">
      <w:pPr>
        <w:pStyle w:val="ListParagraph"/>
        <w:numPr>
          <w:ilvl w:val="0"/>
          <w:numId w:val="1"/>
        </w:numPr>
        <w:tabs>
          <w:tab w:val="left" w:pos="1148"/>
        </w:tabs>
        <w:spacing w:before="2" w:line="360" w:lineRule="auto"/>
        <w:ind w:right="1236" w:firstLine="0"/>
        <w:rPr>
          <w:sz w:val="24"/>
        </w:rPr>
      </w:pPr>
      <w:r>
        <w:rPr>
          <w:sz w:val="24"/>
        </w:rPr>
        <w:t>highlighted that a significant minority of people who died during the in-scope reporting periods had not had access to this important preventative health care measure. In the 2012-2013 reporting period, for example, 26% of deaths involved people who had not had a comprehensive health check in the preceding 12 months. In the 2014-2017 period, 20% of deaths involved people who had not had a comprehensive health check in the preceding 12</w:t>
      </w:r>
      <w:r>
        <w:rPr>
          <w:spacing w:val="-2"/>
          <w:sz w:val="24"/>
        </w:rPr>
        <w:t xml:space="preserve"> </w:t>
      </w:r>
      <w:r>
        <w:rPr>
          <w:sz w:val="24"/>
        </w:rPr>
        <w:t>months.</w:t>
      </w:r>
    </w:p>
    <w:p w:rsidR="00EA1F74" w:rsidRDefault="00EA1F74" w:rsidP="00625DA1">
      <w:pPr>
        <w:pStyle w:val="BodyText"/>
      </w:pPr>
    </w:p>
    <w:p w:rsidR="00EA1F74" w:rsidRDefault="00FC1CE8" w:rsidP="00625DA1">
      <w:pPr>
        <w:pStyle w:val="BodyText"/>
      </w:pPr>
      <w:r>
        <w:t>The significant proportion of people across these samples whose health assessment status was unknown, or who had not had a comprehensive check-up in the last 12 months, is striking, given that disability accommodation services are generally mandated to support clients to undertake an annual GP assessment. Financial burden is unlikely to be a factor, given the Medicare Benefits Schedule (MBS) provides for extended consultations for annual comprehensive health assessments for people with known health risks- this includes people with a diagnosis of intellectual disability and people aged between 45-49 who are at risk of developing chronic disease. While it is impossible to determine the number of deaths that could potentially have been avoided if more people attended annual health reviews, we note that late (or no) diagnosis was described as a contributing factor across a number of cases.</w:t>
      </w:r>
    </w:p>
    <w:p w:rsidR="00EA1F74" w:rsidRDefault="00EA1F74" w:rsidP="00625DA1">
      <w:pPr>
        <w:pStyle w:val="BodyText"/>
      </w:pPr>
    </w:p>
    <w:p w:rsidR="00EA1F74" w:rsidRDefault="00FC1CE8" w:rsidP="00625DA1">
      <w:pPr>
        <w:pStyle w:val="BodyText"/>
      </w:pPr>
      <w:r>
        <w:rPr>
          <w:b/>
          <w:i/>
        </w:rPr>
        <w:t xml:space="preserve">Regular dental check-ups </w:t>
      </w:r>
      <w:r>
        <w:t>are another important preventative health care measure. Poor oral health has been linked to an increased risk of death from causes such as choking on food and aspiration pneumonia (DiBardino &amp; Wunderink, 2015). Tooth loss and self-rated poor tooth and gum health are also markers of increased risk for ischaemic heart disease, peripheral vascular disease and all-cause mortality (Joshy et al., 2016). Despite the fact that people with disabilities are at increased risk specifically from causes such as choking and aspiration pneumonia, and are known to have poor oral health (Ziegler &amp; Spivack, 2018), a significant proportion of people in this review did not appear to be receiving regular dental check-ups. In NSW, for example, 37% of the deaths in the 2012-2013 period and 32% of deaths in the 2014-2017 period involved people who had not seen a dentist in the last year. Lack of accessible dental care contributes to this picture, particularly for people with complex needs who may need highly specialised dental services including extensive preparation to tolerate dental visits or in some situations, dental examination under general anaesthetic.</w:t>
      </w:r>
    </w:p>
    <w:p w:rsidR="00EA1F74" w:rsidRDefault="00EA1F74" w:rsidP="00625DA1">
      <w:pPr>
        <w:pStyle w:val="BodyText"/>
      </w:pPr>
    </w:p>
    <w:p w:rsidR="00EA1F74" w:rsidRDefault="00EA1F74" w:rsidP="00625DA1">
      <w:pPr>
        <w:pStyle w:val="BodyText"/>
      </w:pPr>
    </w:p>
    <w:p w:rsidR="00EA1F74" w:rsidRDefault="00FC1CE8" w:rsidP="00625DA1">
      <w:pPr>
        <w:pStyle w:val="BodyText"/>
      </w:pPr>
      <w:r>
        <w:t>Poor engagement in preventative health care reported in this scoping review is consistent with previously published disability research (Weise et al., 2017). Populations with disabilities have been shown to have poorer access to, and lower uptake of preventative health measures such as oral health checks (Ziegler &amp; Spivack, 2018) and cholesterol screenings (Havercamp &amp; Scott, 2015). Women with intellectual disability have been noted to have poor uptake of cervical and breast cancer screenings (Parish et al., 2013; Parish &amp; Saville, 2006). A combination of person-related and environmental barriers are likely to contribute to these preventative health utilisation patterns (Williamson et al., 2017).</w:t>
      </w:r>
    </w:p>
    <w:p w:rsidR="00EA1F74" w:rsidRDefault="00EA1F74" w:rsidP="00625DA1">
      <w:pPr>
        <w:pStyle w:val="BodyText"/>
      </w:pPr>
    </w:p>
    <w:p w:rsidR="00EA1F74" w:rsidRDefault="00FC1CE8" w:rsidP="00EE7B87">
      <w:pPr>
        <w:pStyle w:val="Heading3"/>
      </w:pPr>
      <w:bookmarkStart w:id="62" w:name="_TOC_250003"/>
      <w:bookmarkEnd w:id="62"/>
      <w:r>
        <w:t>Identifying and responding to emerging health concerns</w:t>
      </w:r>
    </w:p>
    <w:p w:rsidR="00EA1F74" w:rsidRDefault="00FC1CE8" w:rsidP="00625DA1">
      <w:pPr>
        <w:pStyle w:val="BodyText"/>
      </w:pPr>
      <w:r>
        <w:t>Report authors also raised concerns about how well emerging health risks and chronic conditions were identified and managed by services. Limited use of communication plans and other communication accommodations may have curtailed some clients’ ability to express emerging health concerns to staff. Additionally, a lack of proactive management of emerging and chronic health risks was noted. Finally, concerns were raised about inadequate or delayed staff response to emergency situations. In general, these problems highlight a need for additional staff training, supported by organisational best practice policies and procedures.</w:t>
      </w:r>
    </w:p>
    <w:p w:rsidR="00EA1F74" w:rsidRDefault="00EA1F74" w:rsidP="00625DA1">
      <w:pPr>
        <w:pStyle w:val="BodyText"/>
      </w:pPr>
    </w:p>
    <w:p w:rsidR="00EA1F74" w:rsidRDefault="00FC1CE8" w:rsidP="00625DA1">
      <w:pPr>
        <w:pStyle w:val="BodyText"/>
      </w:pPr>
      <w:r>
        <w:rPr>
          <w:b/>
          <w:i/>
        </w:rPr>
        <w:t xml:space="preserve">Facilitating and interpreting client communication: </w:t>
      </w:r>
      <w:r>
        <w:t>In order for any person to share their health concerns with others, they must have a method of communication available to them. Many people with disabilities have cognitive and/or sensory impairments that impact communication. For example, they may struggle with abstract ideas and may require support to express and/or receive information (Boardman et al., 2014). Additionally, 50- 60% of people with intellectual disability will have a hearing impairment, and approximately 40% may have vision problems (Boardman et al., 2014; Emerson et al., 2001).</w:t>
      </w:r>
    </w:p>
    <w:p w:rsidR="00EA1F74" w:rsidRDefault="00EA1F74" w:rsidP="00625DA1">
      <w:pPr>
        <w:pStyle w:val="BodyText"/>
      </w:pPr>
    </w:p>
    <w:p w:rsidR="00EA1F74" w:rsidRPr="00FA1F07" w:rsidRDefault="00FC1CE8" w:rsidP="00FA1F07">
      <w:pPr>
        <w:spacing w:line="360" w:lineRule="auto"/>
        <w:ind w:left="733" w:right="1197"/>
        <w:rPr>
          <w:sz w:val="24"/>
        </w:rPr>
      </w:pPr>
      <w:r>
        <w:rPr>
          <w:sz w:val="24"/>
        </w:rPr>
        <w:t>Despite legislation and health care policies highlighting the importance of tailored communication for this population (UN General Assembly, 2007), this scoping review has identified that in some cases, people’s basic right to supported communication adjustments may not have been met. The VIC 17-18 authors, for example, noted that 53% of in-scope deaths were of people whose reported level of communication indicated that a communication plan should be in place, yet, 38% did not have any such communication plan on record. The NSW Ombudsman, in the 2012-2013 review period similarly notes, “…</w:t>
      </w:r>
      <w:r>
        <w:rPr>
          <w:i/>
          <w:sz w:val="24"/>
        </w:rPr>
        <w:t xml:space="preserve">while health records have frequently recorded the difficulties experienced by health staff in communicating with patients with disability, they have rarely identified the communication support the person required or received”. </w:t>
      </w:r>
      <w:r>
        <w:rPr>
          <w:sz w:val="24"/>
        </w:rPr>
        <w:t>Developing communication plans should be a priority for disability services: Early detection and intervention</w:t>
      </w:r>
      <w:r>
        <w:rPr>
          <w:spacing w:val="-3"/>
          <w:sz w:val="24"/>
        </w:rPr>
        <w:t xml:space="preserve"> </w:t>
      </w:r>
      <w:r>
        <w:rPr>
          <w:sz w:val="24"/>
        </w:rPr>
        <w:t>of</w:t>
      </w:r>
      <w:r w:rsidR="00FA1F07">
        <w:rPr>
          <w:sz w:val="24"/>
        </w:rPr>
        <w:t xml:space="preserve"> </w:t>
      </w:r>
      <w:r>
        <w:t>emerging health threats is far more likely when staff have plans in place to support them to understand the client’s verbal and/or behavioural communication cues.</w:t>
      </w:r>
    </w:p>
    <w:p w:rsidR="00EA1F74" w:rsidRDefault="00EA1F74" w:rsidP="00625DA1">
      <w:pPr>
        <w:pStyle w:val="BodyText"/>
      </w:pPr>
    </w:p>
    <w:p w:rsidR="00EA1F74" w:rsidRDefault="00FC1CE8" w:rsidP="00625DA1">
      <w:pPr>
        <w:pStyle w:val="BodyText"/>
      </w:pPr>
      <w:r>
        <w:rPr>
          <w:b/>
          <w:i/>
        </w:rPr>
        <w:t xml:space="preserve">Taking action when chronic health risks or other diagnosis are detected: </w:t>
      </w:r>
      <w:r>
        <w:t>Across reviews, report authors raised concerns about service providers failing to proactively manage emerging and chronic health risks. As we highlighted in our discussion of lifestyle related risks, a significant portion of people across samples were noted to be outside of a healthy weight range, yet many were not referred to specialists for follow-up and support. Similarly, people with recurrent respiratory infections and other known risks for aspiration were not uniformly referred to specialist clinics for assessment and follow-up. Many of the people across samples who smoked did not appear to have access to preventative supports such as nicotine replacement therapy or involvement in quit smoking programs. These data highlight a need to improve staff awareness of the risks associated with chronic untreated health conditions and the importance of early proactive intervention.</w:t>
      </w:r>
    </w:p>
    <w:p w:rsidR="00EA1F74" w:rsidRDefault="00EA1F74" w:rsidP="00625DA1">
      <w:pPr>
        <w:pStyle w:val="BodyText"/>
      </w:pPr>
    </w:p>
    <w:p w:rsidR="00EA1F74" w:rsidRDefault="00FC1CE8" w:rsidP="00625DA1">
      <w:pPr>
        <w:pStyle w:val="BodyText"/>
      </w:pPr>
      <w:r>
        <w:t>In some cases, it was noted that follow-up care was not sought due to client reluctance to attend medical or dental appointments. Even potentially life-saving treatment such as chemotherapy, was noted to be refused in some cases (NSW 12-13). In such cases, the NSW Ombudsman (NSW 12-13) has highlighted the importance of making reasonable adjustments to practice, and working with the person’s team to decrease anxiety and maximise co-operation with appointments.</w:t>
      </w:r>
    </w:p>
    <w:p w:rsidR="00EA1F74" w:rsidRDefault="00EA1F74" w:rsidP="00625DA1">
      <w:pPr>
        <w:pStyle w:val="BodyText"/>
      </w:pPr>
    </w:p>
    <w:p w:rsidR="00EA1F74" w:rsidRDefault="00FC1CE8" w:rsidP="00FA1F07">
      <w:pPr>
        <w:pStyle w:val="BodyText"/>
      </w:pPr>
      <w:r>
        <w:rPr>
          <w:b/>
          <w:i/>
        </w:rPr>
        <w:t xml:space="preserve">Identifying and responding to medical emergencies and identifying medical urgency: </w:t>
      </w:r>
      <w:r>
        <w:t>Across reviews, it was noted that staff were not always confident, or aware of best practice standards for responding to a medical emergency such as an epileptic seizure or a choking event. In some cases, it was noted that staff had difficulty distinguishing between an urgent and a non-urgent health situation, thus leading to delays in treatment that in some cases contributed to death. Given the short window between illness and death that has been reported in many of the in-scope deaths, training staff to respond promptly to deteriorations in health is essential. In their 2012-2013 and 2014-17 reports, for example, the NSW Ombudsman identified incidents of staff documenting</w:t>
      </w:r>
      <w:r w:rsidR="00FA1F07">
        <w:t xml:space="preserve"> </w:t>
      </w:r>
      <w:r>
        <w:t>deteriorations in health conditions, but not interpreting this as a prompt to seek medical review. Some workers appeared particularly reluctant to seek medical assistance, in cases where the person had recently been reviewed by a doctor. This reluctance may highlight a lack of understanding of how quickly a health problem may deteriorate into a crisis situation. In other cases, workers were unsure how to check for a pulse, or were noted to call their manager before calling emergency services, despite a clear need to call emergency services immediately.</w:t>
      </w:r>
    </w:p>
    <w:p w:rsidR="00EA1F74" w:rsidRDefault="00EA1F74" w:rsidP="00625DA1">
      <w:pPr>
        <w:pStyle w:val="BodyText"/>
      </w:pPr>
    </w:p>
    <w:p w:rsidR="00EA1F74" w:rsidRDefault="00FC1CE8" w:rsidP="00625DA1">
      <w:pPr>
        <w:pStyle w:val="BodyText"/>
      </w:pPr>
      <w:r>
        <w:t xml:space="preserve">While a number of tools, such as ‘Between the Flags’ (NSW Government, 2013) and ‘ISBAR’ (Introduction, Situation, Background, Assessment and Recommendation) (Thomas, Bertram, &amp; Johnson, 2009), have been implemented in some disability services to improve responses to critical situations, the NSW Ombudsman raised concerns in their 2014-2017 report about how well staff in disability services actually understand such tools. They recommend, instead, educating disability staff (including nurses) not to make professional or clinical judgements about a person’s health. Instead, if they have </w:t>
      </w:r>
      <w:r>
        <w:rPr>
          <w:i/>
        </w:rPr>
        <w:t xml:space="preserve">any </w:t>
      </w:r>
      <w:r>
        <w:t>concerns or doubts or notice any changes or concerns, they should seek urgent medical help.</w:t>
      </w:r>
    </w:p>
    <w:p w:rsidR="00EA1F74" w:rsidRDefault="00EA1F74" w:rsidP="00625DA1">
      <w:pPr>
        <w:pStyle w:val="BodyText"/>
      </w:pPr>
    </w:p>
    <w:p w:rsidR="00EA1F74" w:rsidRDefault="00FC1CE8" w:rsidP="00625DA1">
      <w:pPr>
        <w:pStyle w:val="BodyText"/>
      </w:pPr>
      <w:r>
        <w:t>The importance of direct care staff receiving regular refresher information on responding to critical health incidents was also highlighted (NSW 12-14). Specifically in relation to preventing epilepsy related deaths, the QLD (09-14) report emphasises that all people with a history of prolonged or repeated seizures should have an emergency care plan in place and that all staff should be familiar with this plan. Support staff and family members should also receive regular training about emergency management of epileptic seizures, as well as administration of emergency medication, if required, prior to arrival of emergency services.</w:t>
      </w:r>
    </w:p>
    <w:p w:rsidR="00EA1F74" w:rsidRDefault="00EA1F74" w:rsidP="00625DA1">
      <w:pPr>
        <w:pStyle w:val="BodyText"/>
      </w:pPr>
    </w:p>
    <w:p w:rsidR="00EA1F74" w:rsidRDefault="00FC1CE8" w:rsidP="00EE7B87">
      <w:pPr>
        <w:pStyle w:val="Heading3"/>
      </w:pPr>
      <w:bookmarkStart w:id="63" w:name="_TOC_250002"/>
      <w:bookmarkEnd w:id="63"/>
      <w:r>
        <w:t>Supporting end of life care</w:t>
      </w:r>
    </w:p>
    <w:p w:rsidR="00EA1F74" w:rsidRDefault="00FC1CE8">
      <w:pPr>
        <w:spacing w:before="136" w:line="360" w:lineRule="auto"/>
        <w:ind w:left="733" w:right="1181"/>
        <w:rPr>
          <w:sz w:val="24"/>
        </w:rPr>
      </w:pPr>
      <w:r>
        <w:rPr>
          <w:sz w:val="24"/>
        </w:rPr>
        <w:t>Case studies in several of the in-scope death reviews revealed a lack of clarity, and potentially poor practice, around end of life care for people with disabilities. Of particular concern, are cases where the decision to withhold treatment may have been made in relation to the clinician’s perception of the person’s quality of life rather than to best practice procedures indicated by the persons presenting conditions and treatment options. The QLD (09-14) authors noted that a number of their cases, “…</w:t>
      </w:r>
      <w:r>
        <w:rPr>
          <w:i/>
          <w:sz w:val="24"/>
        </w:rPr>
        <w:t xml:space="preserve">raised questions about whether more active treatment could have been provided for treatable illness, particularly where ‘not for resuscitation’ orders were provided by substitute decision-makers”. </w:t>
      </w:r>
      <w:r>
        <w:rPr>
          <w:sz w:val="24"/>
        </w:rPr>
        <w:t>The NSW Ombudsman’s report (NSW 12-13) also raised a number of problematic practices and concerns regarding end of life planning for people with disabilities. These include the following instances:</w:t>
      </w:r>
    </w:p>
    <w:p w:rsidR="00EA1F74" w:rsidRDefault="00FC1CE8">
      <w:pPr>
        <w:pStyle w:val="ListParagraph"/>
        <w:numPr>
          <w:ilvl w:val="1"/>
          <w:numId w:val="1"/>
        </w:numPr>
        <w:tabs>
          <w:tab w:val="left" w:pos="1515"/>
          <w:tab w:val="left" w:pos="1516"/>
        </w:tabs>
        <w:spacing w:before="125" w:line="350" w:lineRule="auto"/>
        <w:ind w:right="1190"/>
        <w:rPr>
          <w:i/>
          <w:sz w:val="24"/>
        </w:rPr>
      </w:pPr>
      <w:r>
        <w:rPr>
          <w:i/>
          <w:sz w:val="24"/>
        </w:rPr>
        <w:t>“decisions to limit treatment, start palliative care, or not to perform CPR were made by medical staff without the involvement of the person’s</w:t>
      </w:r>
      <w:r>
        <w:rPr>
          <w:i/>
          <w:spacing w:val="-5"/>
          <w:sz w:val="24"/>
        </w:rPr>
        <w:t xml:space="preserve"> </w:t>
      </w:r>
      <w:r>
        <w:rPr>
          <w:i/>
          <w:sz w:val="24"/>
        </w:rPr>
        <w:t>family,</w:t>
      </w:r>
    </w:p>
    <w:p w:rsidR="00EA1F74" w:rsidRDefault="00FC1CE8">
      <w:pPr>
        <w:pStyle w:val="ListParagraph"/>
        <w:numPr>
          <w:ilvl w:val="1"/>
          <w:numId w:val="1"/>
        </w:numPr>
        <w:tabs>
          <w:tab w:val="left" w:pos="1515"/>
          <w:tab w:val="left" w:pos="1516"/>
        </w:tabs>
        <w:spacing w:before="128" w:line="355" w:lineRule="auto"/>
        <w:ind w:right="1776"/>
        <w:rPr>
          <w:i/>
          <w:sz w:val="24"/>
        </w:rPr>
      </w:pPr>
      <w:r>
        <w:rPr>
          <w:i/>
          <w:sz w:val="24"/>
        </w:rPr>
        <w:t>the reasons for end of life decisions were either not documented or were very limited,</w:t>
      </w:r>
    </w:p>
    <w:p w:rsidR="00EA1F74" w:rsidRDefault="00FC1CE8">
      <w:pPr>
        <w:pStyle w:val="ListParagraph"/>
        <w:numPr>
          <w:ilvl w:val="1"/>
          <w:numId w:val="1"/>
        </w:numPr>
        <w:tabs>
          <w:tab w:val="left" w:pos="1515"/>
          <w:tab w:val="left" w:pos="1516"/>
        </w:tabs>
        <w:spacing w:before="121"/>
        <w:ind w:hanging="358"/>
        <w:rPr>
          <w:i/>
          <w:sz w:val="24"/>
        </w:rPr>
      </w:pPr>
      <w:r>
        <w:rPr>
          <w:i/>
          <w:sz w:val="24"/>
        </w:rPr>
        <w:t>the person with disability was not involved in the palliative care planning,</w:t>
      </w:r>
      <w:r>
        <w:rPr>
          <w:i/>
          <w:spacing w:val="-2"/>
          <w:sz w:val="24"/>
        </w:rPr>
        <w:t xml:space="preserve"> </w:t>
      </w:r>
      <w:r>
        <w:rPr>
          <w:i/>
          <w:sz w:val="24"/>
        </w:rPr>
        <w:t>and</w:t>
      </w:r>
    </w:p>
    <w:p w:rsidR="00EA1F74" w:rsidRDefault="00EA1F74" w:rsidP="00625DA1">
      <w:pPr>
        <w:pStyle w:val="BodyText"/>
      </w:pPr>
    </w:p>
    <w:p w:rsidR="00EA1F74" w:rsidRDefault="00FC1CE8">
      <w:pPr>
        <w:pStyle w:val="ListParagraph"/>
        <w:numPr>
          <w:ilvl w:val="1"/>
          <w:numId w:val="1"/>
        </w:numPr>
        <w:tabs>
          <w:tab w:val="left" w:pos="1515"/>
          <w:tab w:val="left" w:pos="1516"/>
        </w:tabs>
        <w:spacing w:line="355" w:lineRule="auto"/>
        <w:ind w:right="1203"/>
        <w:rPr>
          <w:sz w:val="24"/>
        </w:rPr>
      </w:pPr>
      <w:r>
        <w:rPr>
          <w:i/>
          <w:sz w:val="24"/>
        </w:rPr>
        <w:t xml:space="preserve">there was a lack of coordinated palliative care provided to assisted boarding </w:t>
      </w:r>
      <w:r>
        <w:rPr>
          <w:i/>
          <w:spacing w:val="-3"/>
          <w:sz w:val="24"/>
        </w:rPr>
        <w:t xml:space="preserve">house </w:t>
      </w:r>
      <w:r>
        <w:rPr>
          <w:i/>
          <w:sz w:val="24"/>
        </w:rPr>
        <w:t>residents with advanced terminal conditions.” (NSW</w:t>
      </w:r>
      <w:r>
        <w:rPr>
          <w:i/>
          <w:spacing w:val="-3"/>
          <w:sz w:val="24"/>
        </w:rPr>
        <w:t xml:space="preserve"> </w:t>
      </w:r>
      <w:r>
        <w:rPr>
          <w:i/>
          <w:sz w:val="24"/>
        </w:rPr>
        <w:t>2012-13</w:t>
      </w:r>
      <w:r>
        <w:rPr>
          <w:sz w:val="24"/>
        </w:rPr>
        <w:t>)”.</w:t>
      </w:r>
    </w:p>
    <w:p w:rsidR="00EA1F74" w:rsidRDefault="00EA1F74" w:rsidP="00625DA1">
      <w:pPr>
        <w:pStyle w:val="BodyText"/>
      </w:pPr>
    </w:p>
    <w:p w:rsidR="00EA1F74" w:rsidRDefault="00FC1CE8" w:rsidP="00FA1F07">
      <w:pPr>
        <w:pStyle w:val="BodyText"/>
      </w:pPr>
      <w:r>
        <w:t>Report authors highlight the importance of advance care planning activities that include the person with disability to the utmost extent possible. Health care staff, disability staff and family members, may also require additional support to enhance their understanding of legal, ethical, and medical considerations pertaining to end of life decision making for people with disabilities. A decision to withhold or cease treatment should only be made in conjunction with all relevant parties. We note that NSW was the only jurisdiction that specifically reported on who provided consent to treatment for people whose deaths were in-scope for review. We recommend the Commission collect this information as part of their minimum dataset for NDIS death investigations. This information may help to clarify</w:t>
      </w:r>
      <w:r w:rsidR="00FA1F07">
        <w:t xml:space="preserve"> </w:t>
      </w:r>
      <w:r>
        <w:t>how end of life decisions are being made, and identify where future education initiatives could best be targeted.</w:t>
      </w:r>
    </w:p>
    <w:p w:rsidR="00EA1F74" w:rsidRDefault="00EA1F74" w:rsidP="00625DA1">
      <w:pPr>
        <w:pStyle w:val="BodyText"/>
      </w:pPr>
    </w:p>
    <w:p w:rsidR="00EA1F74" w:rsidRDefault="00FC1CE8" w:rsidP="00625DA1">
      <w:pPr>
        <w:pStyle w:val="BodyText"/>
      </w:pPr>
      <w:r>
        <w:t>Issues raised across these death reviews regarding end of life planning for people with disabilities, are consistent with findings from national and international research.</w:t>
      </w:r>
    </w:p>
    <w:p w:rsidR="00EA1F74" w:rsidRDefault="00FC1CE8" w:rsidP="00625DA1">
      <w:pPr>
        <w:pStyle w:val="BodyText"/>
      </w:pPr>
      <w:r>
        <w:t>Specifically in relation to end of life care for people with intellectual disabilities, for example, problems with accessing palliative care (Friedman, Helm, &amp; Woodman, 2012), and lack of confidence among palliative care staff to tailor their practice to the needs of this population (Ryan, McEvoy, Guerin, &amp; Dodd, 2010) have been noted. Additionally, medical staff and family members have identified confusion regarding their roles in facilitating advanced care plan discussions with people with intellectual disability (Voss et al., 2017). Hospice staff describe struggling with ethical dilemmas pertaining to informed consent when capacity is lacking or difficult to determine (Friedman et al., 2012).</w:t>
      </w:r>
    </w:p>
    <w:p w:rsidR="00EA1F74" w:rsidRDefault="00FC1CE8" w:rsidP="00625DA1">
      <w:pPr>
        <w:pStyle w:val="BodyText"/>
      </w:pPr>
      <w:r>
        <w:t>Difficulties pertaining to pain assessment and management have also been raised (Friedman et al., 2012; Read, 2006), particularly in cases where people may be non- verbal. Reviews have highlighted that people with intellectual disability are often excluded from participation in end of life planning, despite the fact that some level of inclusion is generally possible, with creativity and skilful use of communication accommodations (Kirkendall, Linton, &amp; Farris, 2017).</w:t>
      </w:r>
    </w:p>
    <w:p w:rsidR="00EA1F74" w:rsidRDefault="00EA1F74">
      <w:pPr>
        <w:spacing w:line="360" w:lineRule="auto"/>
        <w:sectPr w:rsidR="00EA1F74" w:rsidSect="00FA5D6D">
          <w:pgSz w:w="11900" w:h="16840"/>
          <w:pgMar w:top="1600" w:right="260" w:bottom="1460" w:left="140" w:header="0" w:footer="567" w:gutter="0"/>
          <w:cols w:space="720"/>
          <w:docGrid w:linePitch="299"/>
        </w:sectPr>
      </w:pPr>
    </w:p>
    <w:p w:rsidR="00EA1F74" w:rsidRDefault="00EA1F74" w:rsidP="00625DA1">
      <w:pPr>
        <w:pStyle w:val="BodyText"/>
      </w:pPr>
    </w:p>
    <w:p w:rsidR="00EA1F74" w:rsidRDefault="00FC1CE8" w:rsidP="005D5E3C">
      <w:pPr>
        <w:pStyle w:val="Heading1"/>
      </w:pPr>
      <w:bookmarkStart w:id="64" w:name="_TOC_250001"/>
      <w:bookmarkEnd w:id="64"/>
      <w:r>
        <w:t>Conclusion</w:t>
      </w:r>
    </w:p>
    <w:p w:rsidR="00EA1F74" w:rsidRDefault="00EA1F74" w:rsidP="00625DA1">
      <w:pPr>
        <w:pStyle w:val="BodyText"/>
      </w:pPr>
    </w:p>
    <w:p w:rsidR="00EA1F74" w:rsidRDefault="00FC1CE8" w:rsidP="00625DA1">
      <w:pPr>
        <w:pStyle w:val="BodyText"/>
      </w:pPr>
      <w:r>
        <w:t>This scoping review has highlighted the significant gap in life expectancy experienced by people with disabilities in Australia. Across include jurisdictions, people with disabilities died approximately 20 to 25 years earlier than the general population. Analysis of the demographic data of people whose deaths were in-scope highlighted the complex health presentations of this population, that included multiple physical and mental health co- morbidities, and in many cases communication and mobility challenges. High rates of psychotropic use and polypharmacy were also noted across samples. Compared to the general Australian population, deaths from respiratory causes (mainly aspiration pneumonia and pneumonia) appeared to be overrepresented, as did nervous system deaths (especially epilepsy related). Deaths from particular types of external causes (specifically choking on food) were also overrepresented.</w:t>
      </w:r>
    </w:p>
    <w:p w:rsidR="00EA1F74" w:rsidRDefault="00EA1F74" w:rsidP="00625DA1">
      <w:pPr>
        <w:pStyle w:val="BodyText"/>
      </w:pPr>
    </w:p>
    <w:p w:rsidR="00EA1F74" w:rsidRDefault="00FC1CE8" w:rsidP="00625DA1">
      <w:pPr>
        <w:pStyle w:val="BodyText"/>
      </w:pPr>
      <w:r>
        <w:t>It was not possible to quantify the exact number of in-scope deaths across reports that were potentially treatable or avoidable. Certain categories of deaths that were overrepresented in this sample, however, such as deaths related to respiratory infections, choking, and epilepsy have been demonstrated to be potentially avoidable or amenable to intervention. Additionally, certain categories of circulatory and neoplasm deaths described across samples, have been shown to be sensitive to lifestyle intervention.</w:t>
      </w:r>
    </w:p>
    <w:p w:rsidR="00EA1F74" w:rsidRDefault="00EA1F74" w:rsidP="00625DA1">
      <w:pPr>
        <w:pStyle w:val="BodyText"/>
      </w:pPr>
    </w:p>
    <w:p w:rsidR="00EA1F74" w:rsidRDefault="00FC1CE8" w:rsidP="00625DA1">
      <w:pPr>
        <w:pStyle w:val="BodyText"/>
      </w:pPr>
      <w:r>
        <w:t>Across jurisdictions report authors identified a number of areas of poor practice that contributed to overall premature mortality. These included failure to comprehensively support client access to preventative health measures such as recommended vaccinations, annual physical examinations and dental appointments. Despite observed high rates of lifestyle related risks such as obesity and hypertension, a significant proportion of people whose deaths were in-scope for this review had not been supported to access the services of dietitians or exercise physiologists prior to their deaths.</w:t>
      </w:r>
    </w:p>
    <w:p w:rsidR="00EA1F74" w:rsidRDefault="00FC1CE8" w:rsidP="00FA1F07">
      <w:pPr>
        <w:pStyle w:val="BodyText"/>
      </w:pPr>
      <w:r>
        <w:t>Concerns were also raised by report authors that people with known health risks such as dysphagia, epilepsy, re-current respiratory infections or cardiac conditions, were not referred in a timely manner for specialist assessment and support. It was also unclear to</w:t>
      </w:r>
      <w:r w:rsidR="00FA1F07">
        <w:t xml:space="preserve"> </w:t>
      </w:r>
      <w:r>
        <w:t>what extent accommodations were being made by health and disability services to support clients to communicate their experiences and health concerns effectively.</w:t>
      </w:r>
    </w:p>
    <w:p w:rsidR="00EA1F74" w:rsidRDefault="00EA1F74" w:rsidP="00625DA1">
      <w:pPr>
        <w:pStyle w:val="BodyText"/>
      </w:pPr>
    </w:p>
    <w:p w:rsidR="00EA1F74" w:rsidRDefault="00FC1CE8" w:rsidP="00625DA1">
      <w:pPr>
        <w:pStyle w:val="BodyText"/>
      </w:pPr>
      <w:r>
        <w:t xml:space="preserve">Systematic problems related to both health and disability staff training and expertise </w:t>
      </w:r>
      <w:r>
        <w:rPr>
          <w:spacing w:val="-3"/>
        </w:rPr>
        <w:t xml:space="preserve">were </w:t>
      </w:r>
      <w:r>
        <w:t xml:space="preserve">also noted across jurisdictions. For example, even in cases where the person had a mealtime management plan in place, multiple cases of staff not adhering to the plan </w:t>
      </w:r>
      <w:r>
        <w:rPr>
          <w:spacing w:val="-3"/>
        </w:rPr>
        <w:t xml:space="preserve">were </w:t>
      </w:r>
      <w:r>
        <w:t>noted as a contributing factor in choking deaths. Emerging chronic health concerns were not always proactively followed up by staff, and it was noted that staff were unsure at times of how to appropriately respond to acute changes in the person’s health, or how to respond to a medical emergency. Lack of clarity around end of life care and decision- making was also described.</w:t>
      </w:r>
    </w:p>
    <w:p w:rsidR="00EA1F74" w:rsidRDefault="00EA1F74" w:rsidP="00625DA1">
      <w:pPr>
        <w:pStyle w:val="BodyText"/>
      </w:pPr>
    </w:p>
    <w:p w:rsidR="00EA1F74" w:rsidRDefault="00FC1CE8" w:rsidP="00625DA1">
      <w:pPr>
        <w:pStyle w:val="BodyText"/>
      </w:pPr>
      <w:r>
        <w:t>A number of limitations should be kept in mind when interpreting the results of this scoping review: Firstly, the five in-scope reports spanned significantly different time periods and had noted differences in their terms-of-reference and inclusion criteria. The overall sample therefore cannot be assumed to be representative of the broader population of people  with disabilities in Australia. Secondly, methodological differences in data collection and data analysis techniques meant that in many cases it was not possible to directly compare results across jurisdictions. For example, QLD was the only state that attempted to define and quantify the number of potentially avoidable deaths in their sample. Thirdly, specifically in relation to cause of death, methodological constraints and differences between reports limit the insights that can be drawn. Cause of death could not always be established, for example, particularly in cases where the person’s death was not ‘reportable’ to the state coroner. For a significant minority of in-scope deaths, underlying cause of death was listed as the disability itself, thus limiting the insight we could draw into potentially avoidable factors that may have also contributed to these deaths. Finally, limited and varied stratification of demographics by cause of death across reports meant that it was not possible to build up a clear picture of exactly who was more likely to die from which types of</w:t>
      </w:r>
      <w:r>
        <w:rPr>
          <w:spacing w:val="-2"/>
        </w:rPr>
        <w:t xml:space="preserve"> </w:t>
      </w:r>
      <w:r>
        <w:t>causes.</w:t>
      </w:r>
    </w:p>
    <w:p w:rsidR="00EA1F74" w:rsidRDefault="00EA1F74" w:rsidP="00625DA1">
      <w:pPr>
        <w:pStyle w:val="BodyText"/>
      </w:pPr>
    </w:p>
    <w:p w:rsidR="00EA1F74" w:rsidRDefault="00FC1CE8" w:rsidP="00625DA1">
      <w:pPr>
        <w:pStyle w:val="BodyText"/>
      </w:pPr>
      <w:r>
        <w:t>The introduction of the NDIS Quality and Safeguards Commission offers a substantial opportunity to develop a more comprehensive national picture of causes and contributors to deaths of Australians with disability. Despite the limitations outlined above, we are hopeful that the findings and analysis offered in this scoping review will provide the Commission with insight into core patterns related to deaths of people with disabilities in Australia, as well as potential methodological pitfalls to avoid when establishing an investigative methodology for their own death reviews.</w:t>
      </w:r>
    </w:p>
    <w:p w:rsidR="00FA1F07" w:rsidRDefault="00FA1F07">
      <w:pPr>
        <w:rPr>
          <w:w w:val="105"/>
          <w:sz w:val="24"/>
          <w:szCs w:val="24"/>
        </w:rPr>
      </w:pPr>
      <w:r>
        <w:br w:type="page"/>
      </w:r>
    </w:p>
    <w:p w:rsidR="00EA1F74" w:rsidRDefault="00FC1CE8" w:rsidP="005D5E3C">
      <w:pPr>
        <w:pStyle w:val="Heading1"/>
      </w:pPr>
      <w:bookmarkStart w:id="65" w:name="_TOC_250000"/>
      <w:bookmarkEnd w:id="65"/>
      <w:r w:rsidRPr="005D5E3C">
        <w:t>References</w:t>
      </w:r>
    </w:p>
    <w:p w:rsidR="00EA1F74" w:rsidRDefault="00EA1F74" w:rsidP="00625DA1">
      <w:pPr>
        <w:pStyle w:val="BodyText"/>
      </w:pPr>
    </w:p>
    <w:p w:rsidR="00EA1F74" w:rsidRDefault="00FC1CE8">
      <w:pPr>
        <w:spacing w:line="360" w:lineRule="auto"/>
        <w:ind w:left="1453" w:right="1292" w:hanging="720"/>
        <w:rPr>
          <w:sz w:val="24"/>
        </w:rPr>
      </w:pPr>
      <w:r>
        <w:rPr>
          <w:sz w:val="24"/>
        </w:rPr>
        <w:t xml:space="preserve">Abe, S., Ishihara, K., Adachi, M., &amp; Okuda, K. (2008). Tongue-coating as risk indicator for aspiration pneumonia in edentate elderly. </w:t>
      </w:r>
      <w:r>
        <w:rPr>
          <w:i/>
          <w:sz w:val="24"/>
        </w:rPr>
        <w:t>Archives of Gerontology Geriatrics, 47</w:t>
      </w:r>
      <w:r>
        <w:rPr>
          <w:sz w:val="24"/>
        </w:rPr>
        <w:t>, 267-275.</w:t>
      </w:r>
    </w:p>
    <w:p w:rsidR="00EA1F74" w:rsidRDefault="00FC1CE8" w:rsidP="00625DA1">
      <w:pPr>
        <w:pStyle w:val="BodyText"/>
      </w:pPr>
      <w:r>
        <w:t>ABS- Australian Bureau of Statistics (ABS). (2016). Cause of Deaths, Australia, 2016.</w:t>
      </w:r>
    </w:p>
    <w:p w:rsidR="00EA1F74" w:rsidRDefault="00FC1CE8" w:rsidP="00625DA1">
      <w:pPr>
        <w:pStyle w:val="BodyText"/>
      </w:pPr>
      <w:r>
        <w:t>Retrieved 16</w:t>
      </w:r>
      <w:r>
        <w:rPr>
          <w:vertAlign w:val="superscript"/>
        </w:rPr>
        <w:t>th</w:t>
      </w:r>
      <w:r>
        <w:t xml:space="preserve"> May 2019 from: </w:t>
      </w:r>
      <w:hyperlink r:id="rId20" w:tooltip="eference link" w:history="1">
        <w:r w:rsidRPr="00EF5512">
          <w:rPr>
            <w:rStyle w:val="Hyperlink"/>
            <w:spacing w:val="-1"/>
            <w:u w:color="0000FF"/>
          </w:rPr>
          <w:t>https://www.abs.gov.au/ausstats/abs@.nsf/Lookup/by%20Subject/3303.0~2016~M</w:t>
        </w:r>
        <w:r w:rsidRPr="00EF5512">
          <w:rPr>
            <w:rStyle w:val="Hyperlink"/>
            <w:spacing w:val="-1"/>
          </w:rPr>
          <w:t xml:space="preserve"> </w:t>
        </w:r>
        <w:r w:rsidRPr="00EF5512">
          <w:rPr>
            <w:rStyle w:val="Hyperlink"/>
            <w:u w:color="0000FF"/>
          </w:rPr>
          <w:t>ain%20Features~Australia's%20leading%20causes%20of%20death,%202016~3</w:t>
        </w:r>
      </w:hyperlink>
    </w:p>
    <w:p w:rsidR="00EA1F74" w:rsidRDefault="00FC1CE8" w:rsidP="00625DA1">
      <w:pPr>
        <w:pStyle w:val="BodyText"/>
      </w:pPr>
      <w:r>
        <w:t>ABS- Australian Bureau of Statistics. (2018). Causes of Death, Australia, 2017. Retrieved May 5</w:t>
      </w:r>
      <w:r>
        <w:rPr>
          <w:vertAlign w:val="superscript"/>
        </w:rPr>
        <w:t>th</w:t>
      </w:r>
      <w:r>
        <w:t xml:space="preserve"> 2019 from: </w:t>
      </w:r>
      <w:hyperlink r:id="rId21" w:tooltip="Reference link" w:history="1">
        <w:r w:rsidRPr="00EF5512">
          <w:rPr>
            <w:rStyle w:val="Hyperlink"/>
            <w:spacing w:val="-1"/>
            <w:u w:color="0000FF"/>
          </w:rPr>
          <w:t>https://www.abs.gov.au/ausstats/abs@.nsf/Lookup/by%20Subject/3303.0~2017~M</w:t>
        </w:r>
        <w:r w:rsidRPr="00EF5512">
          <w:rPr>
            <w:rStyle w:val="Hyperlink"/>
            <w:spacing w:val="-1"/>
          </w:rPr>
          <w:t xml:space="preserve"> </w:t>
        </w:r>
        <w:r w:rsidRPr="00EF5512">
          <w:rPr>
            <w:rStyle w:val="Hyperlink"/>
            <w:u w:color="0000FF"/>
          </w:rPr>
          <w:t>ain%20Features~Australia's%20leading%20causes%20of%20death,%202017~2</w:t>
        </w:r>
      </w:hyperlink>
    </w:p>
    <w:p w:rsidR="00EA1F74" w:rsidRDefault="00FC1CE8">
      <w:pPr>
        <w:spacing w:before="68" w:line="355" w:lineRule="auto"/>
        <w:ind w:left="1453" w:right="1195" w:hanging="720"/>
        <w:rPr>
          <w:sz w:val="24"/>
        </w:rPr>
      </w:pPr>
      <w:r>
        <w:rPr>
          <w:sz w:val="24"/>
        </w:rPr>
        <w:t xml:space="preserve">Australian Institute of Health and Welfare (AIHW). (2011). </w:t>
      </w:r>
      <w:r>
        <w:rPr>
          <w:i/>
          <w:sz w:val="24"/>
        </w:rPr>
        <w:t>Life expectancy and mortality of Aboriginal and Torres Strait Islander people</w:t>
      </w:r>
      <w:r>
        <w:rPr>
          <w:sz w:val="24"/>
        </w:rPr>
        <w:t>. Canberra: AIHW.</w:t>
      </w:r>
    </w:p>
    <w:p w:rsidR="00EA1F74" w:rsidRDefault="00FC1CE8">
      <w:pPr>
        <w:spacing w:before="72" w:line="355" w:lineRule="auto"/>
        <w:ind w:left="1453" w:right="1235" w:hanging="720"/>
        <w:rPr>
          <w:sz w:val="24"/>
        </w:rPr>
      </w:pPr>
      <w:r>
        <w:rPr>
          <w:sz w:val="24"/>
        </w:rPr>
        <w:t xml:space="preserve">Azzopardi, N., &amp; Ellul, P. (2013). Pneumonia and mortality after percutaneous endoscopic gastrostomy insertion. </w:t>
      </w:r>
      <w:r>
        <w:rPr>
          <w:i/>
          <w:sz w:val="24"/>
        </w:rPr>
        <w:t>The Turkish Journal of Gastroenterology, 24</w:t>
      </w:r>
      <w:r>
        <w:rPr>
          <w:sz w:val="24"/>
        </w:rPr>
        <w:t>, 109-116.</w:t>
      </w:r>
    </w:p>
    <w:p w:rsidR="00EA1F74" w:rsidRDefault="00FC1CE8">
      <w:pPr>
        <w:spacing w:before="71" w:line="360" w:lineRule="auto"/>
        <w:ind w:left="1453" w:right="1689" w:hanging="720"/>
        <w:rPr>
          <w:sz w:val="24"/>
        </w:rPr>
      </w:pPr>
      <w:r>
        <w:rPr>
          <w:sz w:val="24"/>
        </w:rPr>
        <w:t xml:space="preserve">Baird, P., &amp; Sadovnick, A. (1990). Underlying causes of death in Down syndrome: accuracy of British Columbia death certificate data. </w:t>
      </w:r>
      <w:r>
        <w:rPr>
          <w:i/>
          <w:sz w:val="24"/>
        </w:rPr>
        <w:t>Canadian Journal of Public Health, 81</w:t>
      </w:r>
      <w:r>
        <w:rPr>
          <w:sz w:val="24"/>
        </w:rPr>
        <w:t>, 456–461.</w:t>
      </w:r>
    </w:p>
    <w:p w:rsidR="00EA1F74" w:rsidRDefault="00FC1CE8">
      <w:pPr>
        <w:spacing w:before="59" w:line="360" w:lineRule="auto"/>
        <w:ind w:left="1453" w:right="1421" w:hanging="720"/>
        <w:rPr>
          <w:sz w:val="24"/>
        </w:rPr>
      </w:pPr>
      <w:r>
        <w:rPr>
          <w:sz w:val="24"/>
        </w:rPr>
        <w:t xml:space="preserve">Beange, H., A. McElduff, &amp; Baker, W. (1995). Medical disorders of adults with mental retardation: a population study. </w:t>
      </w:r>
      <w:r>
        <w:rPr>
          <w:i/>
          <w:sz w:val="24"/>
        </w:rPr>
        <w:t>American Journal of Mental Retardation, 99</w:t>
      </w:r>
      <w:r>
        <w:rPr>
          <w:sz w:val="24"/>
        </w:rPr>
        <w:t>, 595- 604.</w:t>
      </w:r>
    </w:p>
    <w:p w:rsidR="00EA1F74" w:rsidRDefault="00FC1CE8" w:rsidP="00625DA1">
      <w:pPr>
        <w:pStyle w:val="BodyText"/>
      </w:pPr>
      <w:r>
        <w:t>Birch, R. C., Foley, K. R., Pollack, A., Britt, H., Lennox, N., &amp; Trollor, J. N. (2018).</w:t>
      </w:r>
    </w:p>
    <w:p w:rsidR="00EA1F74" w:rsidRDefault="00FC1CE8" w:rsidP="00625DA1">
      <w:pPr>
        <w:pStyle w:val="BodyText"/>
      </w:pPr>
      <w:r>
        <w:t xml:space="preserve">Problems managed and medications prescribed during encounters with people with autism spectrum disorder in Australian general practice. </w:t>
      </w:r>
      <w:r>
        <w:rPr>
          <w:i/>
        </w:rPr>
        <w:t>Autism Research, 22</w:t>
      </w:r>
      <w:r>
        <w:t>(8), 995-1004.</w:t>
      </w:r>
    </w:p>
    <w:p w:rsidR="00EA1F74" w:rsidRDefault="00FC1CE8" w:rsidP="00625DA1">
      <w:pPr>
        <w:pStyle w:val="BodyText"/>
      </w:pPr>
      <w:r>
        <w:t>Bittles, A., Petterson, B., Sullivan, S., Hussain, R., Glasson, E., &amp; Montgomery, P. (2002).</w:t>
      </w:r>
    </w:p>
    <w:p w:rsidR="00EA1F74" w:rsidRDefault="00FC1CE8">
      <w:pPr>
        <w:spacing w:before="137" w:line="360" w:lineRule="auto"/>
        <w:ind w:left="1453" w:right="1462"/>
        <w:rPr>
          <w:sz w:val="24"/>
        </w:rPr>
      </w:pPr>
      <w:r>
        <w:rPr>
          <w:sz w:val="24"/>
        </w:rPr>
        <w:t xml:space="preserve">The influence of intellectual disability on life expectancy. </w:t>
      </w:r>
      <w:r>
        <w:rPr>
          <w:i/>
          <w:sz w:val="24"/>
        </w:rPr>
        <w:t>Journals of Gerontology Series, 57</w:t>
      </w:r>
      <w:r>
        <w:rPr>
          <w:sz w:val="24"/>
        </w:rPr>
        <w:t>(7), M470.</w:t>
      </w:r>
    </w:p>
    <w:p w:rsidR="00EA1F74" w:rsidRDefault="00FC1CE8" w:rsidP="00FA1F07">
      <w:pPr>
        <w:pStyle w:val="BodyText"/>
      </w:pPr>
      <w:r>
        <w:t>Boardman, L., Bernal, J., &amp; Hollins, S. (2014). Communicating with people with intellectual</w:t>
      </w:r>
      <w:r w:rsidR="00FA1F07">
        <w:t xml:space="preserve"> </w:t>
      </w:r>
      <w:r>
        <w:t xml:space="preserve">disabilities: a guide for general psychiatrists. </w:t>
      </w:r>
      <w:r>
        <w:rPr>
          <w:i/>
        </w:rPr>
        <w:t>Advances in Psychiatric Treatment, 20</w:t>
      </w:r>
      <w:r>
        <w:t>(1), 27-36.</w:t>
      </w:r>
    </w:p>
    <w:p w:rsidR="00EA1F74" w:rsidRDefault="00FC1CE8" w:rsidP="00625DA1">
      <w:pPr>
        <w:pStyle w:val="BodyText"/>
      </w:pPr>
      <w:r>
        <w:t xml:space="preserve">Bossink, L. W., van der Putten, A. A., &amp; Vlaskamp, C. (2017). Understanding low levels of physical activity in people with intellectual disabilities: A systematic review to identify barriers and facilitators. </w:t>
      </w:r>
      <w:r>
        <w:rPr>
          <w:i/>
        </w:rPr>
        <w:t>Research in Developmental Disabilities, 68</w:t>
      </w:r>
      <w:r>
        <w:t>, 95- 110.</w:t>
      </w:r>
    </w:p>
    <w:p w:rsidR="00EA1F74" w:rsidRDefault="00FC1CE8">
      <w:pPr>
        <w:spacing w:before="62" w:line="355" w:lineRule="auto"/>
        <w:ind w:left="1453" w:right="1222" w:hanging="720"/>
        <w:rPr>
          <w:sz w:val="24"/>
        </w:rPr>
      </w:pPr>
      <w:r>
        <w:rPr>
          <w:sz w:val="24"/>
        </w:rPr>
        <w:t xml:space="preserve">Busch, L. P., Saini, V., Zorzos, C., &amp; Duyile, L. (2018). Treatment of Life-Threatening Pica with 5-Year Follow-up. </w:t>
      </w:r>
      <w:r>
        <w:rPr>
          <w:i/>
          <w:sz w:val="24"/>
        </w:rPr>
        <w:t>Advances in Neurodevelopmental Disorders</w:t>
      </w:r>
      <w:r>
        <w:rPr>
          <w:sz w:val="24"/>
        </w:rPr>
        <w:t xml:space="preserve">. </w:t>
      </w:r>
      <w:r>
        <w:rPr>
          <w:i/>
          <w:sz w:val="24"/>
        </w:rPr>
        <w:t>2</w:t>
      </w:r>
      <w:r>
        <w:rPr>
          <w:sz w:val="24"/>
        </w:rPr>
        <w:t>(4), 335-343.</w:t>
      </w:r>
    </w:p>
    <w:p w:rsidR="00EA1F74" w:rsidRDefault="00FC1CE8" w:rsidP="00625DA1">
      <w:pPr>
        <w:pStyle w:val="BodyText"/>
      </w:pPr>
      <w:r>
        <w:t xml:space="preserve">Buszewicz, M., Welch, C., Horsfall, L., Nazareth, I., Osborn, D., Glover, G., &amp; Hunter, R. (2014). Assessment of an incentivised scheme to provide annual health checks in primary care for adults with intellectual disability: A longitudinal cohort study. </w:t>
      </w:r>
      <w:r>
        <w:rPr>
          <w:i/>
        </w:rPr>
        <w:t>The Lancet Psychiatry, 1</w:t>
      </w:r>
      <w:r>
        <w:t>(7), 522–530.</w:t>
      </w:r>
    </w:p>
    <w:p w:rsidR="00EA1F74" w:rsidRDefault="00FC1CE8">
      <w:pPr>
        <w:spacing w:before="69" w:line="355" w:lineRule="auto"/>
        <w:ind w:left="1453" w:right="1422" w:hanging="720"/>
        <w:rPr>
          <w:sz w:val="24"/>
        </w:rPr>
      </w:pPr>
      <w:r>
        <w:rPr>
          <w:sz w:val="24"/>
        </w:rPr>
        <w:t xml:space="preserve">Chadwick, D., &amp; Jolliffe, J. (2009). A descriptive investigation of dysphagia in adults with intellectual disabilities. </w:t>
      </w:r>
      <w:r>
        <w:rPr>
          <w:i/>
          <w:sz w:val="24"/>
        </w:rPr>
        <w:t>Journal of Intellectual Disability Research, 53</w:t>
      </w:r>
      <w:r>
        <w:rPr>
          <w:sz w:val="24"/>
        </w:rPr>
        <w:t>, 29-43.</w:t>
      </w:r>
    </w:p>
    <w:p w:rsidR="00EA1F74" w:rsidRDefault="00FC1CE8">
      <w:pPr>
        <w:spacing w:before="71" w:line="360" w:lineRule="auto"/>
        <w:ind w:left="1453" w:right="1608" w:hanging="720"/>
        <w:rPr>
          <w:sz w:val="24"/>
        </w:rPr>
      </w:pPr>
      <w:r>
        <w:rPr>
          <w:sz w:val="24"/>
        </w:rPr>
        <w:t xml:space="preserve">Chadwick, D., Jolliffe, J., &amp; Goldbart, J. (2002). Carer knowledge of dysphagia management strategies. </w:t>
      </w:r>
      <w:r>
        <w:rPr>
          <w:i/>
          <w:sz w:val="24"/>
        </w:rPr>
        <w:t>International Journal of Language and Communication Disorders, 37</w:t>
      </w:r>
      <w:r>
        <w:rPr>
          <w:sz w:val="24"/>
        </w:rPr>
        <w:t>, 345-358.</w:t>
      </w:r>
    </w:p>
    <w:p w:rsidR="00EA1F74" w:rsidRDefault="00FC1CE8">
      <w:pPr>
        <w:spacing w:before="59" w:line="360" w:lineRule="auto"/>
        <w:ind w:left="1453" w:right="1236" w:hanging="720"/>
        <w:rPr>
          <w:sz w:val="24"/>
        </w:rPr>
      </w:pPr>
      <w:r>
        <w:rPr>
          <w:sz w:val="24"/>
        </w:rPr>
        <w:t xml:space="preserve">Charles, A., Ranson, D., Bohensky, M., &amp; Ibrahim, J. E. (2007). Under-reporting of deaths to the coroner by doctors: a retrospective review of deaths in two hospitals in Melbourne, Australia. </w:t>
      </w:r>
      <w:r>
        <w:rPr>
          <w:i/>
          <w:sz w:val="24"/>
        </w:rPr>
        <w:t>International Journal for Quality in Health Care, 19</w:t>
      </w:r>
      <w:r>
        <w:rPr>
          <w:sz w:val="24"/>
        </w:rPr>
        <w:t>(4), 232- 236.</w:t>
      </w:r>
    </w:p>
    <w:p w:rsidR="00EA1F74" w:rsidRDefault="00FC1CE8">
      <w:pPr>
        <w:spacing w:before="63" w:line="357" w:lineRule="auto"/>
        <w:ind w:left="1453" w:right="1943" w:hanging="720"/>
        <w:rPr>
          <w:sz w:val="24"/>
        </w:rPr>
      </w:pPr>
      <w:r>
        <w:rPr>
          <w:sz w:val="24"/>
        </w:rPr>
        <w:t xml:space="preserve">Chennubhotla, S., Hertog, R., Williams, J. E., Hanna, D., &amp; Abell, T. L. (2019). An Algorithmic Approach to Nutritional Difficulties in People with Developmental Disabilities. </w:t>
      </w:r>
      <w:r>
        <w:rPr>
          <w:i/>
          <w:sz w:val="24"/>
        </w:rPr>
        <w:t>Intellectual and Developmental Disabilities, 57</w:t>
      </w:r>
      <w:r>
        <w:rPr>
          <w:sz w:val="24"/>
        </w:rPr>
        <w:t>(1), 14-25.</w:t>
      </w:r>
    </w:p>
    <w:p w:rsidR="00EA1F74" w:rsidRDefault="00FC1CE8" w:rsidP="00625DA1">
      <w:pPr>
        <w:pStyle w:val="BodyText"/>
      </w:pPr>
      <w:r>
        <w:t>Chitty, K. M., Evans, E., Torr, J. J., Iacono, T., Brodaty, H., Sachdev, P., &amp; Trollor, J. N. (2016). Central nervous system medication use in older adults with intellectual disability: results from the successful ageing in intellectual disability study.</w:t>
      </w:r>
    </w:p>
    <w:p w:rsidR="00EA1F74" w:rsidRDefault="00FC1CE8">
      <w:pPr>
        <w:spacing w:line="272" w:lineRule="exact"/>
        <w:ind w:left="1453"/>
        <w:rPr>
          <w:sz w:val="24"/>
        </w:rPr>
      </w:pPr>
      <w:r>
        <w:rPr>
          <w:i/>
          <w:sz w:val="24"/>
        </w:rPr>
        <w:t>Australian &amp; New Zealand Journal of Psychiatry, 50</w:t>
      </w:r>
      <w:r>
        <w:rPr>
          <w:sz w:val="24"/>
        </w:rPr>
        <w:t>(4), 352-362.</w:t>
      </w:r>
    </w:p>
    <w:p w:rsidR="00EA1F74" w:rsidRDefault="00FC1CE8" w:rsidP="00625DA1">
      <w:pPr>
        <w:pStyle w:val="BodyText"/>
      </w:pPr>
      <w:r>
        <w:t xml:space="preserve">Christenson, B., Hedlund, J., Lundbergh, P., &amp; Örtqvist, Å. (2004). Additive preventive effect of influenza and pneumococcal vaccines in elderly persons. </w:t>
      </w:r>
      <w:r>
        <w:rPr>
          <w:i/>
        </w:rPr>
        <w:t>European Respiratory Journal, 23</w:t>
      </w:r>
      <w:r>
        <w:t>(3), 363-368.</w:t>
      </w:r>
    </w:p>
    <w:p w:rsidR="00EA1F74" w:rsidRDefault="00FC1CE8" w:rsidP="00625DA1">
      <w:pPr>
        <w:pStyle w:val="BodyText"/>
      </w:pPr>
      <w:r>
        <w:t xml:space="preserve">Cicala, G., Barbieri, M. A., Spina, E., &amp; de Leon, J. (2019). A comprehensive review of swallowing difficulties and dysphagia associated with antipsychotics in adults. </w:t>
      </w:r>
      <w:r>
        <w:rPr>
          <w:i/>
        </w:rPr>
        <w:t>Expert Review of Clinical Pharmacology, 12</w:t>
      </w:r>
      <w:r>
        <w:t>(3), 219-234.</w:t>
      </w:r>
    </w:p>
    <w:p w:rsidR="00EA1F74" w:rsidRDefault="00FC1CE8" w:rsidP="00625DA1">
      <w:pPr>
        <w:pStyle w:val="BodyText"/>
      </w:pPr>
      <w:r>
        <w:t xml:space="preserve">Cooper, S. A., McLean, G., Guthrie, B., McConnachie, A., Mercer, S., Sullivan, F., &amp; Morrison, J. (2015). Multiple physical and mental health comorbidity in adults with intellectual disabilities: population-based cross-sectional analysis. </w:t>
      </w:r>
      <w:r>
        <w:rPr>
          <w:i/>
        </w:rPr>
        <w:t>BMC Family Practice, 16</w:t>
      </w:r>
      <w:r>
        <w:t>(1), 110.</w:t>
      </w:r>
    </w:p>
    <w:p w:rsidR="00EA1F74" w:rsidRDefault="00FC1CE8" w:rsidP="00625DA1">
      <w:pPr>
        <w:pStyle w:val="BodyText"/>
      </w:pPr>
      <w:r>
        <w:t xml:space="preserve">Cooper, S. A., Morrison, J., Allan, L., McConnachie, A., Greenlaw, N., Melville, C. et al. (2014). Practice nurse health checks for adults with intellectual disabilities: A cluster design randomised controlled trial. </w:t>
      </w:r>
      <w:r>
        <w:rPr>
          <w:i/>
        </w:rPr>
        <w:t>Lancet Psychiatry, 1</w:t>
      </w:r>
      <w:r>
        <w:t>, 511-521.</w:t>
      </w:r>
    </w:p>
    <w:p w:rsidR="00EA1F74" w:rsidRDefault="00FC1CE8">
      <w:pPr>
        <w:spacing w:before="67" w:line="360" w:lineRule="auto"/>
        <w:ind w:left="1453" w:right="1702" w:hanging="720"/>
        <w:rPr>
          <w:sz w:val="24"/>
        </w:rPr>
      </w:pPr>
      <w:r>
        <w:rPr>
          <w:sz w:val="24"/>
        </w:rPr>
        <w:t xml:space="preserve">Coppus, A. M. W. (2013). People with intellectual disability: What do we know about adulthood and life expectancy? </w:t>
      </w:r>
      <w:r>
        <w:rPr>
          <w:i/>
          <w:sz w:val="24"/>
        </w:rPr>
        <w:t>Developmental Disabilities Research Reviews, 18</w:t>
      </w:r>
      <w:r>
        <w:rPr>
          <w:sz w:val="24"/>
        </w:rPr>
        <w:t>(1), 6-16.</w:t>
      </w:r>
    </w:p>
    <w:p w:rsidR="00EA1F74" w:rsidRDefault="00FC1CE8" w:rsidP="00625DA1">
      <w:pPr>
        <w:pStyle w:val="BodyText"/>
      </w:pPr>
      <w:r>
        <w:t xml:space="preserve">Correll, C. U., Detraux, J., De Lepeleire, J., &amp; De Hert, M. (2015). Effects of antipsychotics, antidepressants and mood stabilizers on risk for physical diseases in people with schizophrenia, depression and bipolar disorder. </w:t>
      </w:r>
      <w:r>
        <w:rPr>
          <w:i/>
        </w:rPr>
        <w:t>World Psychiatry, 14</w:t>
      </w:r>
      <w:r>
        <w:t>(2), 119-136.</w:t>
      </w:r>
    </w:p>
    <w:p w:rsidR="00EA1F74" w:rsidRDefault="00FC1CE8">
      <w:pPr>
        <w:spacing w:before="63" w:line="357" w:lineRule="auto"/>
        <w:ind w:left="1453" w:right="1546" w:hanging="720"/>
        <w:rPr>
          <w:sz w:val="24"/>
        </w:rPr>
      </w:pPr>
      <w:r>
        <w:rPr>
          <w:sz w:val="24"/>
        </w:rPr>
        <w:t xml:space="preserve">Crawley, H. (2009). </w:t>
      </w:r>
      <w:r>
        <w:rPr>
          <w:i/>
          <w:sz w:val="24"/>
        </w:rPr>
        <w:t>Eating well: supporting adults with learning disabilities. Training materials for people working with adults with learning disabilities</w:t>
      </w:r>
      <w:r>
        <w:rPr>
          <w:sz w:val="24"/>
        </w:rPr>
        <w:t xml:space="preserve">. Retrieved from </w:t>
      </w:r>
      <w:hyperlink r:id="rId22" w:tooltip="Reference link">
        <w:r>
          <w:rPr>
            <w:color w:val="0000FF"/>
            <w:sz w:val="24"/>
            <w:u w:val="single" w:color="0000FF"/>
          </w:rPr>
          <w:t>http://www.cwt.org.uk/wp-content/uploads/2014/07/LD-TM.pdf</w:t>
        </w:r>
      </w:hyperlink>
    </w:p>
    <w:p w:rsidR="00EA1F74" w:rsidRDefault="00FC1CE8" w:rsidP="00625DA1">
      <w:pPr>
        <w:pStyle w:val="BodyText"/>
      </w:pPr>
      <w:r>
        <w:t xml:space="preserve">Day, S. M., Wu, Y. W., Strauss, D. J., Shavelle, R. M., &amp; Reynolds, R. J. (2005). Causes of death in remote symptomatic epilepsy. </w:t>
      </w:r>
      <w:r>
        <w:rPr>
          <w:i/>
        </w:rPr>
        <w:t>Neurology, 65</w:t>
      </w:r>
      <w:r>
        <w:t>, 216-222.</w:t>
      </w:r>
    </w:p>
    <w:p w:rsidR="00EA1F74" w:rsidRDefault="00FC1CE8" w:rsidP="00625DA1">
      <w:pPr>
        <w:pStyle w:val="BodyText"/>
      </w:pPr>
      <w:r>
        <w:t>de Kuijper, G., Hoekstra, P., Visser, F., Scholte, F. A., Penning, C., &amp; Evenhuis, H. (2010).</w:t>
      </w:r>
    </w:p>
    <w:p w:rsidR="00EA1F74" w:rsidRDefault="00FC1CE8">
      <w:pPr>
        <w:spacing w:before="137" w:line="360" w:lineRule="auto"/>
        <w:ind w:left="1453" w:right="1986"/>
        <w:jc w:val="both"/>
        <w:rPr>
          <w:sz w:val="24"/>
        </w:rPr>
      </w:pPr>
      <w:r>
        <w:rPr>
          <w:sz w:val="24"/>
        </w:rPr>
        <w:t xml:space="preserve">Use of antipsychotic drugs in individuals with intellectual disability (ID) in the Netherlands: prevalence and reasons for prescription. </w:t>
      </w:r>
      <w:r>
        <w:rPr>
          <w:i/>
          <w:sz w:val="24"/>
        </w:rPr>
        <w:t>Journal of Intellectual Disability Research, 54</w:t>
      </w:r>
      <w:r>
        <w:rPr>
          <w:sz w:val="24"/>
        </w:rPr>
        <w:t>(7), 659-667.</w:t>
      </w:r>
    </w:p>
    <w:p w:rsidR="00EA1F74" w:rsidRDefault="00FC1CE8" w:rsidP="00625DA1">
      <w:pPr>
        <w:pStyle w:val="BodyText"/>
      </w:pPr>
      <w:r>
        <w:t xml:space="preserve">de Winter, C. F., L. P. Bastiaanse, T. I. Hilgenkamp, H. M. Evenhuis, &amp; Echteld, M. A. (2012). Cardiovascular risk factors (diabetes, hypertension, hypercholesterolemia and metabolic syndrome) in older people with intellectual disability: results of the HA-ID study. </w:t>
      </w:r>
      <w:r>
        <w:rPr>
          <w:i/>
        </w:rPr>
        <w:t xml:space="preserve">Research in Developmental Disabilities, </w:t>
      </w:r>
      <w:r>
        <w:t>33(6), 1722-1731.</w:t>
      </w:r>
    </w:p>
    <w:p w:rsidR="00EA1F74" w:rsidRDefault="00FC1CE8" w:rsidP="004E7E6E">
      <w:pPr>
        <w:pStyle w:val="BodyText"/>
      </w:pPr>
      <w:r>
        <w:t>DiBardino, D. M., &amp; Wunderink, R. G. (2015). Aspiration pneumonia: a review of modern</w:t>
      </w:r>
      <w:r w:rsidR="004E7E6E">
        <w:t xml:space="preserve"> </w:t>
      </w:r>
      <w:r>
        <w:t xml:space="preserve">trends. </w:t>
      </w:r>
      <w:r>
        <w:rPr>
          <w:i/>
        </w:rPr>
        <w:t>Journal of Critical Care, 30</w:t>
      </w:r>
      <w:r>
        <w:t>(1), 40-48.</w:t>
      </w:r>
    </w:p>
    <w:p w:rsidR="00EA1F74" w:rsidRDefault="00FC1CE8" w:rsidP="00625DA1">
      <w:pPr>
        <w:pStyle w:val="BodyText"/>
      </w:pPr>
      <w:r>
        <w:t xml:space="preserve">Dixon-Ibarra, A., Lee, M., &amp; Dugala, A. (2013). Physical activity and sedentary behavior in older adults with intellectual disabilities: a comparative study. </w:t>
      </w:r>
      <w:r>
        <w:rPr>
          <w:i/>
        </w:rPr>
        <w:t>Adapted Physical Activity Quarterly, 30</w:t>
      </w:r>
      <w:r>
        <w:t>(1), 1-19.</w:t>
      </w:r>
    </w:p>
    <w:p w:rsidR="00EA1F74" w:rsidRDefault="00FC1CE8">
      <w:pPr>
        <w:spacing w:before="67" w:line="360" w:lineRule="auto"/>
        <w:ind w:left="1453" w:right="1156" w:hanging="720"/>
        <w:rPr>
          <w:sz w:val="24"/>
        </w:rPr>
      </w:pPr>
      <w:r>
        <w:rPr>
          <w:sz w:val="24"/>
        </w:rPr>
        <w:t xml:space="preserve">Draheim, C. C. (2006). Cardiovascular disease prevalence and risk factors of persons with mental retardation. </w:t>
      </w:r>
      <w:r>
        <w:rPr>
          <w:i/>
          <w:sz w:val="24"/>
        </w:rPr>
        <w:t>Mental Retardation &amp; Developmental Disabilities Research Reviews 12</w:t>
      </w:r>
      <w:r>
        <w:rPr>
          <w:sz w:val="24"/>
        </w:rPr>
        <w:t>(1), 3–12.</w:t>
      </w:r>
    </w:p>
    <w:p w:rsidR="00EA1F74" w:rsidRDefault="00FC1CE8">
      <w:pPr>
        <w:spacing w:before="59" w:line="360" w:lineRule="auto"/>
        <w:ind w:left="1453" w:right="1395" w:hanging="720"/>
        <w:rPr>
          <w:sz w:val="24"/>
        </w:rPr>
      </w:pPr>
      <w:r>
        <w:rPr>
          <w:sz w:val="24"/>
        </w:rPr>
        <w:t xml:space="preserve">Durvasala, S., Beange, H., &amp; Baker, W. (2002). Mortality of people with intellectual disability in northern Sydney. </w:t>
      </w:r>
      <w:r>
        <w:rPr>
          <w:i/>
          <w:sz w:val="24"/>
        </w:rPr>
        <w:t>Journal of Intellectual and Developmental Disability, 27</w:t>
      </w:r>
      <w:r>
        <w:rPr>
          <w:sz w:val="24"/>
        </w:rPr>
        <w:t>, 255–264.</w:t>
      </w:r>
    </w:p>
    <w:p w:rsidR="00EA1F74" w:rsidRDefault="00FC1CE8" w:rsidP="00625DA1">
      <w:pPr>
        <w:pStyle w:val="BodyText"/>
      </w:pPr>
      <w:r>
        <w:t>Dziewas, R., Warnecke, T., Schnabel, M., Ritter, M., Nabavi, D., Schilling, M. et al. (2007).</w:t>
      </w:r>
    </w:p>
    <w:p w:rsidR="00EA1F74" w:rsidRDefault="00FC1CE8" w:rsidP="00625DA1">
      <w:pPr>
        <w:pStyle w:val="BodyText"/>
      </w:pPr>
      <w:r>
        <w:t xml:space="preserve">Neuroleptic-Induced Dysphagia: Case Report and Literature Review. </w:t>
      </w:r>
      <w:r>
        <w:rPr>
          <w:i/>
        </w:rPr>
        <w:t>Dysphagia, 22</w:t>
      </w:r>
      <w:r>
        <w:t>(1), 63-7.</w:t>
      </w:r>
    </w:p>
    <w:p w:rsidR="00EA1F74" w:rsidRDefault="00FC1CE8" w:rsidP="00625DA1">
      <w:pPr>
        <w:pStyle w:val="BodyText"/>
      </w:pPr>
      <w:r>
        <w:t>Einarsson, I. O., Ólafsson, Á., Hinriksdóttir, G., Jóhannsson, E., Daly, D., &amp; Arngrímsson,</w:t>
      </w:r>
    </w:p>
    <w:p w:rsidR="00EA1F74" w:rsidRDefault="00FC1CE8">
      <w:pPr>
        <w:spacing w:before="136" w:line="355" w:lineRule="auto"/>
        <w:ind w:left="1453" w:right="1182"/>
        <w:rPr>
          <w:sz w:val="24"/>
        </w:rPr>
      </w:pPr>
      <w:r>
        <w:rPr>
          <w:sz w:val="24"/>
        </w:rPr>
        <w:t xml:space="preserve">S. A. (2015). Differences in physical activity among youth with and without intellectual disability. </w:t>
      </w:r>
      <w:r>
        <w:rPr>
          <w:i/>
          <w:sz w:val="24"/>
        </w:rPr>
        <w:t>Medicine and Science in Sports and Exercise, 47</w:t>
      </w:r>
      <w:r>
        <w:rPr>
          <w:sz w:val="24"/>
        </w:rPr>
        <w:t>(2), 411-418.</w:t>
      </w:r>
    </w:p>
    <w:p w:rsidR="00EA1F74" w:rsidRDefault="00FC1CE8" w:rsidP="00625DA1">
      <w:pPr>
        <w:pStyle w:val="BodyText"/>
      </w:pPr>
      <w:r>
        <w:t xml:space="preserve">Emerson, E., &amp; Hatton, C. (2007). Contribution of socioeconomic position to health inequalities of British children and adolescents with intellectual disabilities. </w:t>
      </w:r>
      <w:r>
        <w:rPr>
          <w:i/>
        </w:rPr>
        <w:t>American Journal of Mental Retardation, 112</w:t>
      </w:r>
      <w:r>
        <w:t>(2) 140-150.</w:t>
      </w:r>
    </w:p>
    <w:p w:rsidR="00EA1F74" w:rsidRDefault="00FC1CE8">
      <w:pPr>
        <w:spacing w:before="59" w:line="360" w:lineRule="auto"/>
        <w:ind w:left="1453" w:right="1488" w:hanging="720"/>
        <w:rPr>
          <w:sz w:val="24"/>
        </w:rPr>
      </w:pPr>
      <w:r>
        <w:rPr>
          <w:sz w:val="24"/>
        </w:rPr>
        <w:t xml:space="preserve">Emerson, E., Hatton, C., &amp; Felce, D. (2001). </w:t>
      </w:r>
      <w:r>
        <w:rPr>
          <w:i/>
          <w:sz w:val="24"/>
        </w:rPr>
        <w:t xml:space="preserve">Learning Disabilities: The Fundamental Facts. Foundation for People with Learning Disabilities. </w:t>
      </w:r>
      <w:r>
        <w:rPr>
          <w:sz w:val="24"/>
        </w:rPr>
        <w:t>London: The Foundation for People with Learning Disabilities.</w:t>
      </w:r>
    </w:p>
    <w:p w:rsidR="00EA1F74" w:rsidRDefault="00FC1CE8" w:rsidP="00625DA1">
      <w:pPr>
        <w:pStyle w:val="BodyText"/>
      </w:pPr>
      <w:r>
        <w:t xml:space="preserve">Foreman KJ , Naghavi M , &amp; ., Ezzati, M. (2016). Improving the usefulness of US mortality data: new methods for reclassification of underlying cause of death. </w:t>
      </w:r>
      <w:r>
        <w:rPr>
          <w:i/>
        </w:rPr>
        <w:t>Population Health Metrics, 14</w:t>
      </w:r>
      <w:r>
        <w:t>(14), 14.</w:t>
      </w:r>
    </w:p>
    <w:p w:rsidR="00EA1F74" w:rsidRDefault="00FC1CE8">
      <w:pPr>
        <w:spacing w:before="67" w:line="357" w:lineRule="auto"/>
        <w:ind w:left="1453" w:right="1155" w:hanging="720"/>
        <w:rPr>
          <w:sz w:val="24"/>
        </w:rPr>
      </w:pPr>
      <w:r>
        <w:rPr>
          <w:sz w:val="24"/>
        </w:rPr>
        <w:t xml:space="preserve">Friedman, S., Helm, D., &amp; Woodman, A. (2012). Unique and universal barriers: Hospice care for aging adults with intellectual disability. </w:t>
      </w:r>
      <w:r>
        <w:rPr>
          <w:i/>
          <w:sz w:val="24"/>
        </w:rPr>
        <w:t>American Journal on Intellectual and Developmental Disabilities, 117</w:t>
      </w:r>
      <w:r>
        <w:rPr>
          <w:sz w:val="24"/>
        </w:rPr>
        <w:t>(6), 509–532.</w:t>
      </w:r>
    </w:p>
    <w:p w:rsidR="00EA1F74" w:rsidRDefault="00FC1CE8">
      <w:pPr>
        <w:spacing w:before="67" w:line="355" w:lineRule="auto"/>
        <w:ind w:left="1453" w:right="1582" w:hanging="720"/>
        <w:rPr>
          <w:sz w:val="24"/>
        </w:rPr>
      </w:pPr>
      <w:r>
        <w:rPr>
          <w:sz w:val="24"/>
        </w:rPr>
        <w:t xml:space="preserve">Guthrie, S., &amp; Stansfield, J. (2017). Teatime Threats. Choking Incidents at the Evening Meal. </w:t>
      </w:r>
      <w:r>
        <w:rPr>
          <w:i/>
          <w:sz w:val="24"/>
        </w:rPr>
        <w:t>Journal of Applied Research in Intellectual Disabilities. 30</w:t>
      </w:r>
      <w:r>
        <w:rPr>
          <w:sz w:val="24"/>
        </w:rPr>
        <w:t>(1), 47-60.</w:t>
      </w:r>
    </w:p>
    <w:p w:rsidR="00EA1F74" w:rsidRDefault="00FC1CE8" w:rsidP="00625DA1">
      <w:pPr>
        <w:pStyle w:val="BodyText"/>
      </w:pPr>
      <w:r>
        <w:t xml:space="preserve">Havercamp, S. M., &amp; Scott, H. M. (2015). National health surveillance of adults with disabilities, adults with intellectual and developmental disabilities, and adults with no disabilities. </w:t>
      </w:r>
      <w:r>
        <w:rPr>
          <w:i/>
        </w:rPr>
        <w:t>Disability and Health Journal, 8</w:t>
      </w:r>
      <w:r>
        <w:t>(2), 165-172.</w:t>
      </w:r>
    </w:p>
    <w:p w:rsidR="00EA1F74" w:rsidRDefault="00FC1CE8">
      <w:pPr>
        <w:spacing w:before="58" w:line="360" w:lineRule="auto"/>
        <w:ind w:left="1453" w:right="1318" w:hanging="720"/>
        <w:jc w:val="both"/>
        <w:rPr>
          <w:sz w:val="24"/>
        </w:rPr>
      </w:pPr>
      <w:r>
        <w:rPr>
          <w:sz w:val="24"/>
        </w:rPr>
        <w:t xml:space="preserve">Hennequin, M., Faulks, D., Veyrune J-L, &amp; Bourdiol, P. (1999). Significance of oral health in persons with Down syndrome: A literature review. </w:t>
      </w:r>
      <w:r>
        <w:rPr>
          <w:i/>
          <w:sz w:val="24"/>
        </w:rPr>
        <w:t>Developmental Medicine and Child Neurolology, 41</w:t>
      </w:r>
      <w:r>
        <w:rPr>
          <w:sz w:val="24"/>
        </w:rPr>
        <w:t>, 275 –283.</w:t>
      </w:r>
    </w:p>
    <w:p w:rsidR="00EA1F74" w:rsidRDefault="00FC1CE8" w:rsidP="00625DA1">
      <w:pPr>
        <w:pStyle w:val="BodyText"/>
      </w:pPr>
      <w:r>
        <w:t xml:space="preserve">Heslop, P., Blair, P. S., Fleming, P., Hoghton, M., Marriott, A., &amp; Russ, L. (2014). The Confidential Inquiry into premature deaths of people with intellectual disabilities in the UK: a population-based study. </w:t>
      </w:r>
      <w:r>
        <w:rPr>
          <w:i/>
        </w:rPr>
        <w:t>The Lancet, 383</w:t>
      </w:r>
      <w:r>
        <w:t>(9920), 889-895.</w:t>
      </w:r>
    </w:p>
    <w:p w:rsidR="00EA1F74" w:rsidRDefault="00FC1CE8" w:rsidP="00625DA1">
      <w:pPr>
        <w:pStyle w:val="BodyText"/>
      </w:pPr>
      <w:r>
        <w:t>Hirvikoski, T., Mittendorfer</w:t>
      </w:r>
      <w:r>
        <w:rPr>
          <w:rFonts w:ascii="Trebuchet MS" w:hAnsi="Trebuchet MS"/>
        </w:rPr>
        <w:t>‐</w:t>
      </w:r>
      <w:r>
        <w:t xml:space="preserve">Rutz, E., Boman, M., Larsson, H., Lichtenstein, P., &amp; Bö, S. (2015). Premature mortality in autism spectrum disorder. </w:t>
      </w:r>
      <w:r>
        <w:rPr>
          <w:i/>
        </w:rPr>
        <w:t>The British Journal of Psychiatry, 208</w:t>
      </w:r>
      <w:r>
        <w:t>, 232–238.</w:t>
      </w:r>
    </w:p>
    <w:p w:rsidR="00EA1F74" w:rsidRDefault="00FC1CE8" w:rsidP="00625DA1">
      <w:pPr>
        <w:pStyle w:val="BodyText"/>
      </w:pPr>
      <w:r>
        <w:t>Hosking, F. J., Carey, I. M., Shah, S. M., Harris, T., DeWilde, S., Beighton, C., &amp; Cook, D.</w:t>
      </w:r>
    </w:p>
    <w:p w:rsidR="00EA1F74" w:rsidRDefault="00FC1CE8">
      <w:pPr>
        <w:spacing w:before="137" w:line="360" w:lineRule="auto"/>
        <w:ind w:left="1453" w:right="1862"/>
        <w:rPr>
          <w:sz w:val="24"/>
        </w:rPr>
      </w:pPr>
      <w:r>
        <w:rPr>
          <w:sz w:val="24"/>
        </w:rPr>
        <w:t xml:space="preserve">G. (2016). Mortality among adults with intellectual disability in England: Comparisons with the general population. </w:t>
      </w:r>
      <w:r>
        <w:rPr>
          <w:i/>
          <w:sz w:val="24"/>
        </w:rPr>
        <w:t>American Journal of Public Health, 106</w:t>
      </w:r>
      <w:r>
        <w:rPr>
          <w:sz w:val="24"/>
        </w:rPr>
        <w:t>(8), 1483–1490.</w:t>
      </w:r>
    </w:p>
    <w:p w:rsidR="00EA1F74" w:rsidRDefault="00FC1CE8" w:rsidP="00625DA1">
      <w:pPr>
        <w:pStyle w:val="BodyText"/>
      </w:pPr>
      <w:r>
        <w:t xml:space="preserve">Hwang, Y. I., Srasuebkul, P., Foley, K. R., Arnold, S., &amp; Trollor, J. N. (2019). Mortality and cause of death of Australians on the autism spectrum. </w:t>
      </w:r>
      <w:r>
        <w:rPr>
          <w:i/>
        </w:rPr>
        <w:t>Autism Research, 12</w:t>
      </w:r>
      <w:r>
        <w:t>(5), 806-815.</w:t>
      </w:r>
    </w:p>
    <w:p w:rsidR="00EA1F74" w:rsidRDefault="00FC1CE8" w:rsidP="00625DA1">
      <w:pPr>
        <w:pStyle w:val="BodyText"/>
      </w:pPr>
      <w:r>
        <w:t xml:space="preserve">Jørgensen, I. F., Russo, F., Jensen, A. B., Westergaard, D., Lademann, M., Hu, J. X. et al. (2019). Comorbidity landscape of the Danish patient population affected by chromosome abnormalities. </w:t>
      </w:r>
      <w:r>
        <w:rPr>
          <w:i/>
        </w:rPr>
        <w:t>Genetics in Medicine, 1</w:t>
      </w:r>
      <w:r>
        <w:t>.</w:t>
      </w:r>
    </w:p>
    <w:p w:rsidR="00EA1F74" w:rsidRDefault="00FC1CE8" w:rsidP="00625DA1">
      <w:pPr>
        <w:pStyle w:val="BodyText"/>
      </w:pPr>
      <w:r>
        <w:t xml:space="preserve">Joshy, G., Arora, M., Korda, R. J., Chalmers, J., &amp; Banks, E. (2016). Is poor oral health a risk marker for incident cardiovascular disease hospitalisation and all-cause mortality? Findings from 172 630 participants from the prospective 45 and Up Study. </w:t>
      </w:r>
      <w:r>
        <w:rPr>
          <w:i/>
        </w:rPr>
        <w:t>BMJ open, 6</w:t>
      </w:r>
      <w:r>
        <w:t>(8), e012386.</w:t>
      </w:r>
    </w:p>
    <w:p w:rsidR="00EA1F74" w:rsidRDefault="00FC1CE8">
      <w:pPr>
        <w:spacing w:before="57" w:line="360" w:lineRule="auto"/>
        <w:ind w:left="1453" w:right="1187" w:hanging="720"/>
        <w:rPr>
          <w:sz w:val="24"/>
        </w:rPr>
      </w:pPr>
      <w:r>
        <w:rPr>
          <w:sz w:val="24"/>
        </w:rPr>
        <w:t xml:space="preserve">Khalil, H., Peters, M., &amp; Godfrey, C., McInerney, P., Soares, C. B., &amp; Parker, D. (2016). An Evidence-Based Approach to Scoping Reviews. </w:t>
      </w:r>
      <w:r>
        <w:rPr>
          <w:i/>
          <w:sz w:val="24"/>
        </w:rPr>
        <w:t>Worldviews on Evidence-Based Nursing</w:t>
      </w:r>
      <w:r>
        <w:rPr>
          <w:sz w:val="24"/>
        </w:rPr>
        <w:t xml:space="preserve">, </w:t>
      </w:r>
      <w:r>
        <w:rPr>
          <w:i/>
          <w:sz w:val="24"/>
        </w:rPr>
        <w:t>13</w:t>
      </w:r>
      <w:r>
        <w:rPr>
          <w:sz w:val="24"/>
        </w:rPr>
        <w:t>(2),118-123.</w:t>
      </w:r>
    </w:p>
    <w:p w:rsidR="00EA1F74" w:rsidRDefault="00FC1CE8" w:rsidP="00625DA1">
      <w:pPr>
        <w:pStyle w:val="BodyText"/>
      </w:pPr>
      <w:r>
        <w:t>Kiani, R., Tyrer, F., Jesu, A., Bhaumik, S., Gangavati, S., Walker, G. et al. (2014).</w:t>
      </w:r>
    </w:p>
    <w:p w:rsidR="00EA1F74" w:rsidRDefault="00FC1CE8" w:rsidP="004E7E6E">
      <w:pPr>
        <w:pStyle w:val="BodyText"/>
      </w:pPr>
      <w:r>
        <w:t>Mortality from sudden unexpected death in epilepsy (SUDEP) in a cohort of adults</w:t>
      </w:r>
      <w:r w:rsidR="004E7E6E">
        <w:t xml:space="preserve"> </w:t>
      </w:r>
      <w:r>
        <w:t xml:space="preserve">with intellectual disability. </w:t>
      </w:r>
      <w:r>
        <w:rPr>
          <w:i/>
        </w:rPr>
        <w:t>Journal of Intellectual Disability Research</w:t>
      </w:r>
      <w:r>
        <w:t xml:space="preserve">, </w:t>
      </w:r>
      <w:r>
        <w:rPr>
          <w:i/>
        </w:rPr>
        <w:t>58</w:t>
      </w:r>
      <w:r>
        <w:t>(6), 508- 520.</w:t>
      </w:r>
    </w:p>
    <w:p w:rsidR="00EA1F74" w:rsidRDefault="00FC1CE8" w:rsidP="00625DA1">
      <w:pPr>
        <w:pStyle w:val="BodyText"/>
      </w:pPr>
      <w:r>
        <w:t xml:space="preserve">Kinnear, D., Morrison, J., Allan, L., Henderson, A., Smiley, E., &amp; Cooper, S. A. (2018). Prevalence of physical conditions and multimorbidity in a cohort of adults with intellectual disabilities with and without Down syndrome: cross-sectional study. </w:t>
      </w:r>
      <w:r>
        <w:rPr>
          <w:i/>
        </w:rPr>
        <w:t>BMJ Open, 8</w:t>
      </w:r>
      <w:r>
        <w:t>(2), e018292.</w:t>
      </w:r>
    </w:p>
    <w:p w:rsidR="00EA1F74" w:rsidRDefault="00FC1CE8">
      <w:pPr>
        <w:spacing w:before="62" w:line="357" w:lineRule="auto"/>
        <w:ind w:left="1453" w:right="1382" w:hanging="720"/>
        <w:rPr>
          <w:sz w:val="24"/>
        </w:rPr>
      </w:pPr>
      <w:r>
        <w:rPr>
          <w:sz w:val="24"/>
        </w:rPr>
        <w:t>Kirkendall, A., Linton, K., &amp; Farris, S. (2017). Intellectual d</w:t>
      </w:r>
      <w:r w:rsidR="004E7E6E">
        <w:rPr>
          <w:sz w:val="24"/>
        </w:rPr>
        <w:t xml:space="preserve">isabilities and decision making </w:t>
      </w:r>
      <w:r>
        <w:rPr>
          <w:sz w:val="24"/>
        </w:rPr>
        <w:t xml:space="preserve">at end of life: a literature review. </w:t>
      </w:r>
      <w:r>
        <w:rPr>
          <w:i/>
          <w:sz w:val="24"/>
        </w:rPr>
        <w:t>Journal of Applied Research in Intellectual Disabilities, 30</w:t>
      </w:r>
      <w:r>
        <w:rPr>
          <w:sz w:val="24"/>
        </w:rPr>
        <w:t>(6), 982-994.</w:t>
      </w:r>
    </w:p>
    <w:p w:rsidR="00EA1F74" w:rsidRDefault="00FC1CE8" w:rsidP="00625DA1">
      <w:pPr>
        <w:pStyle w:val="BodyText"/>
      </w:pPr>
      <w:r>
        <w:t xml:space="preserve">Kraicer-Melamed, H., O’Donnell, S., &amp; Quach, C. (2016). The effectiveness of pneumococcal polysaccharide vaccine 23 (PPV23) in the general population of 50 years of age and older: A systematic review and meta-analysis. </w:t>
      </w:r>
      <w:r>
        <w:rPr>
          <w:i/>
        </w:rPr>
        <w:t>Vaccine</w:t>
      </w:r>
      <w:r>
        <w:t>, 1540- 1550.</w:t>
      </w:r>
    </w:p>
    <w:p w:rsidR="00EA1F74" w:rsidRDefault="00FC1CE8" w:rsidP="00625DA1">
      <w:pPr>
        <w:pStyle w:val="BodyText"/>
      </w:pPr>
      <w:r>
        <w:t xml:space="preserve">Landes, S. D., Stevens, J. D., &amp; Turk, M. A. (2019). Obscuring effect of coding developmental disability as the underlying cause of death on mortality trends for adults with developmental disability: a cross-sectional study using US Mortality Data from 2012 to 2016. </w:t>
      </w:r>
      <w:r>
        <w:rPr>
          <w:i/>
        </w:rPr>
        <w:t>BMJ Open, 9</w:t>
      </w:r>
      <w:r>
        <w:t>(2), e026614.</w:t>
      </w:r>
    </w:p>
    <w:p w:rsidR="00EA1F74" w:rsidRDefault="00FC1CE8" w:rsidP="00625DA1">
      <w:pPr>
        <w:pStyle w:val="BodyText"/>
      </w:pPr>
      <w:r>
        <w:t xml:space="preserve">Laskaratos, F., Walker, M., Walker, M., Gowribalan, J., Gkotsi, D., Wojciechowska, V. et al. (2013). Predictive factors for early mortality after percutaneous endoscopic and radiologically-inserted gastrostomy. </w:t>
      </w:r>
      <w:r>
        <w:rPr>
          <w:i/>
        </w:rPr>
        <w:t>Digestive Diseases and Sciences, 58</w:t>
      </w:r>
      <w:r>
        <w:t>(12), 3558-3565.</w:t>
      </w:r>
    </w:p>
    <w:p w:rsidR="00EA1F74" w:rsidRDefault="00FC1CE8">
      <w:pPr>
        <w:spacing w:before="57" w:line="360" w:lineRule="auto"/>
        <w:ind w:left="1453" w:right="1223" w:hanging="720"/>
        <w:rPr>
          <w:sz w:val="24"/>
        </w:rPr>
      </w:pPr>
      <w:r>
        <w:rPr>
          <w:sz w:val="24"/>
        </w:rPr>
        <w:t xml:space="preserve">Lauer, E., &amp; McCallion, P. (2015). Mortality of people with intellectual and developmental disabilities from select US state disability service systems and medical claims data. </w:t>
      </w:r>
      <w:r>
        <w:rPr>
          <w:i/>
          <w:sz w:val="24"/>
        </w:rPr>
        <w:t>Journal of Applied Research in Intellectual Disabilities, 28</w:t>
      </w:r>
      <w:r>
        <w:rPr>
          <w:sz w:val="24"/>
        </w:rPr>
        <w:t>(5), 394-405.</w:t>
      </w:r>
    </w:p>
    <w:p w:rsidR="00EA1F74" w:rsidRDefault="00FC1CE8" w:rsidP="00625DA1">
      <w:pPr>
        <w:pStyle w:val="BodyText"/>
      </w:pPr>
      <w:r>
        <w:t xml:space="preserve">Lawrence, D., Hancock, K. J., &amp; Kisely, S. (2013). The gap in life expectancy from preventable physical illness in psychiatric patients in Western Australia: retrospective analysis of population based registers. </w:t>
      </w:r>
      <w:r>
        <w:rPr>
          <w:i/>
        </w:rPr>
        <w:t>BMJ, 346</w:t>
      </w:r>
      <w:r>
        <w:t>, f2539.</w:t>
      </w:r>
    </w:p>
    <w:p w:rsidR="00EA1F74" w:rsidRDefault="00FC1CE8" w:rsidP="00625DA1">
      <w:pPr>
        <w:pStyle w:val="BodyText"/>
      </w:pPr>
      <w:r>
        <w:t xml:space="preserve">Lennox, N., Bain, C., Rey-Conde, T., Purdie, D., Bush, R., &amp; Pandeya, N. (2007). Effects of a comprehensive health assessment programme for Australian adults with intellectual disability: a cluster randomized trial. </w:t>
      </w:r>
      <w:r>
        <w:rPr>
          <w:i/>
        </w:rPr>
        <w:t>International Journal of Epidemiology, 136</w:t>
      </w:r>
      <w:r>
        <w:t>(1), 139-146.</w:t>
      </w:r>
    </w:p>
    <w:p w:rsidR="00EA1F74" w:rsidRDefault="00FC1CE8">
      <w:pPr>
        <w:spacing w:before="93" w:line="360" w:lineRule="auto"/>
        <w:ind w:left="1453" w:right="1250" w:hanging="720"/>
        <w:rPr>
          <w:sz w:val="24"/>
        </w:rPr>
      </w:pPr>
      <w:r>
        <w:rPr>
          <w:sz w:val="24"/>
        </w:rPr>
        <w:t xml:space="preserve">Loomes, R., Hull, L., &amp; Mandy, W. P. L. (2017). What is the male-to-female ratio in autism spectrum disorder? A systematic review and meta-analysis. </w:t>
      </w:r>
      <w:r>
        <w:rPr>
          <w:i/>
          <w:sz w:val="24"/>
        </w:rPr>
        <w:t>Journal of the American Academy of Child &amp; Adolescent Psychiatry, 55</w:t>
      </w:r>
      <w:r>
        <w:rPr>
          <w:sz w:val="24"/>
        </w:rPr>
        <w:t>(6), 466-474.</w:t>
      </w:r>
    </w:p>
    <w:p w:rsidR="00EA1F74" w:rsidRDefault="00FC1CE8" w:rsidP="00625DA1">
      <w:pPr>
        <w:pStyle w:val="BodyText"/>
      </w:pPr>
      <w:r>
        <w:t xml:space="preserve">Maddalena, A., Fox, M., Hofmann M, &amp; Hock, C. (2004). Esophageal dysfunction on psychotropic medication: a case report and literature review. </w:t>
      </w:r>
      <w:r>
        <w:rPr>
          <w:i/>
        </w:rPr>
        <w:t>Pharmacopsychiatry, 37</w:t>
      </w:r>
      <w:r>
        <w:t>, 134-138.</w:t>
      </w:r>
    </w:p>
    <w:p w:rsidR="00EA1F74" w:rsidRDefault="00FC1CE8" w:rsidP="00625DA1">
      <w:pPr>
        <w:pStyle w:val="BodyText"/>
      </w:pPr>
      <w:r>
        <w:t xml:space="preserve">Matson, J. L., Belva, B., Hattier, M. A., &amp; Matson, M. L. (2011). Pica in persons with developmental disabilities: characteristics, diagnosis, and assessment. </w:t>
      </w:r>
      <w:r>
        <w:rPr>
          <w:i/>
        </w:rPr>
        <w:t>Research in Autism Spectrum Disorders, 5</w:t>
      </w:r>
      <w:r>
        <w:t>(4), 1459–1464.</w:t>
      </w:r>
    </w:p>
    <w:p w:rsidR="00EA1F74" w:rsidRDefault="00FC1CE8">
      <w:pPr>
        <w:spacing w:before="67" w:line="355" w:lineRule="auto"/>
        <w:ind w:left="1453" w:right="1569" w:hanging="720"/>
        <w:rPr>
          <w:sz w:val="24"/>
        </w:rPr>
      </w:pPr>
      <w:r>
        <w:rPr>
          <w:sz w:val="24"/>
        </w:rPr>
        <w:t xml:space="preserve">Matson, J. L., &amp; Mahan, S. (2010). Antipsychotic drug side effects for persons with intellectual disability. </w:t>
      </w:r>
      <w:r>
        <w:rPr>
          <w:i/>
          <w:sz w:val="24"/>
        </w:rPr>
        <w:t>Research in Developmental Disabilities, 31</w:t>
      </w:r>
      <w:r>
        <w:rPr>
          <w:sz w:val="24"/>
        </w:rPr>
        <w:t>(6), 1570-1576.</w:t>
      </w:r>
    </w:p>
    <w:p w:rsidR="00EA1F74" w:rsidRDefault="00FC1CE8" w:rsidP="00625DA1">
      <w:pPr>
        <w:pStyle w:val="BodyText"/>
      </w:pPr>
      <w:r>
        <w:t xml:space="preserve">McKenzie, K., Milton, M., Smith, G., &amp; Ouellette-Kuntz, H. (2016). Systematic review of the prevalence and incidence of intellectual disabilities: current trends and issues. </w:t>
      </w:r>
      <w:r>
        <w:rPr>
          <w:i/>
        </w:rPr>
        <w:t>Current Developmental Disorders Reports, 3</w:t>
      </w:r>
      <w:r>
        <w:t>(2), 104-115.</w:t>
      </w:r>
    </w:p>
    <w:p w:rsidR="00EA1F74" w:rsidRDefault="00FC1CE8" w:rsidP="00625DA1">
      <w:pPr>
        <w:pStyle w:val="BodyText"/>
      </w:pPr>
      <w:r>
        <w:t xml:space="preserve">Middleton, S., &amp; Buist, M. T. (2014). The coronial reporting of medical setting deaths: a legal analysis of the variation in Australian jurisdictions. </w:t>
      </w:r>
      <w:r>
        <w:rPr>
          <w:i/>
        </w:rPr>
        <w:t>Melbourne University Law Review, 37</w:t>
      </w:r>
      <w:r>
        <w:t>, 699-735.</w:t>
      </w:r>
    </w:p>
    <w:p w:rsidR="00EA1F74" w:rsidRDefault="00FC1CE8" w:rsidP="00625DA1">
      <w:pPr>
        <w:pStyle w:val="BodyText"/>
      </w:pPr>
      <w:r>
        <w:t>Neate, S. L., Bugeja, L. C., Jelinek, G. A., Spooner, H. M., Ding, L., &amp; Ranson, D. L. (2013). Non</w:t>
      </w:r>
      <w:r>
        <w:rPr>
          <w:rFonts w:ascii="Trebuchet MS" w:hAnsi="Trebuchet MS"/>
        </w:rPr>
        <w:t>‐</w:t>
      </w:r>
      <w:r>
        <w:t xml:space="preserve">reporting of reportable deaths to the coroner: when in doubt, report. </w:t>
      </w:r>
      <w:r>
        <w:rPr>
          <w:i/>
        </w:rPr>
        <w:t>Medical journal of Australia, 199</w:t>
      </w:r>
      <w:r>
        <w:t>(6), 402-405.</w:t>
      </w:r>
    </w:p>
    <w:p w:rsidR="00EA1F74" w:rsidRDefault="00FC1CE8" w:rsidP="00625DA1">
      <w:pPr>
        <w:pStyle w:val="BodyText"/>
      </w:pPr>
      <w:r>
        <w:t xml:space="preserve">NSW Government. (2013). Between the flags. Retrieved from </w:t>
      </w:r>
      <w:hyperlink r:id="rId23" w:tooltip="Reference link">
        <w:r>
          <w:rPr>
            <w:color w:val="0000FF"/>
            <w:u w:val="single" w:color="0000FF"/>
          </w:rPr>
          <w:t>http://www.cec.health.nsw.gov.au/patient-safety-programs/adult-patient-</w:t>
        </w:r>
      </w:hyperlink>
      <w:r>
        <w:rPr>
          <w:color w:val="0000FF"/>
        </w:rPr>
        <w:t xml:space="preserve"> </w:t>
      </w:r>
      <w:r>
        <w:rPr>
          <w:color w:val="0000FF"/>
          <w:u w:val="single" w:color="0000FF"/>
        </w:rPr>
        <w:t>safety/between-the-flags</w:t>
      </w:r>
    </w:p>
    <w:p w:rsidR="00EA1F74" w:rsidRDefault="00FC1CE8" w:rsidP="00625DA1">
      <w:pPr>
        <w:pStyle w:val="BodyText"/>
      </w:pPr>
      <w:r>
        <w:t xml:space="preserve">O’Doherty, M. G., Cairns, K., O’Neill, V., Lamrock, F., Jørgensen, T., Brenner, H. et al. (2016). Effect of major lifestyle risk factors, independent and jointly, on life expectancy with and without cardiovascular disease: results from the Consortium on Health and Ageing Network of Cohorts in Europe and the United States (CHANCES). </w:t>
      </w:r>
      <w:r>
        <w:rPr>
          <w:i/>
        </w:rPr>
        <w:t>European Journal of Epidemiology</w:t>
      </w:r>
      <w:r>
        <w:t>, 31(5), 455-468.</w:t>
      </w:r>
    </w:p>
    <w:p w:rsidR="00EA1F74" w:rsidRDefault="00FC1CE8" w:rsidP="004E7E6E">
      <w:pPr>
        <w:pStyle w:val="BodyText"/>
      </w:pPr>
      <w:r>
        <w:t xml:space="preserve">O'Flaherty, M., Allender, S., Taylor, R., Stevenson, C., Peeters, A., &amp; Capewell, S. (2012). The decline in coronary heart disease mortality is slowing in young adults (Australia 1976–2006): a time trend analysis. </w:t>
      </w:r>
      <w:r>
        <w:rPr>
          <w:i/>
        </w:rPr>
        <w:t>International Journal of Cardiology, 158</w:t>
      </w:r>
      <w:r>
        <w:t>(2), 193-198.</w:t>
      </w:r>
    </w:p>
    <w:p w:rsidR="00EA1F74" w:rsidRDefault="00FC1CE8">
      <w:pPr>
        <w:spacing w:before="204" w:line="360" w:lineRule="auto"/>
        <w:ind w:left="1453" w:right="1195" w:hanging="720"/>
        <w:rPr>
          <w:sz w:val="24"/>
        </w:rPr>
      </w:pPr>
      <w:r>
        <w:rPr>
          <w:sz w:val="24"/>
        </w:rPr>
        <w:t>O'Leary, L., Cooper, S. A., &amp; Hughes</w:t>
      </w:r>
      <w:r>
        <w:rPr>
          <w:rFonts w:ascii="Trebuchet MS" w:hAnsi="Trebuchet MS"/>
          <w:sz w:val="24"/>
        </w:rPr>
        <w:t>‐</w:t>
      </w:r>
      <w:r>
        <w:rPr>
          <w:sz w:val="24"/>
        </w:rPr>
        <w:t xml:space="preserve">McCormack, L. (2018). Early death and causes of death of people with intellectual disabilities: A systematic review. </w:t>
      </w:r>
      <w:r>
        <w:rPr>
          <w:i/>
          <w:sz w:val="24"/>
        </w:rPr>
        <w:t>Journal of Applied Research in Intellectual Disabilities, 31</w:t>
      </w:r>
      <w:r>
        <w:rPr>
          <w:sz w:val="24"/>
        </w:rPr>
        <w:t>(3), 325-342.</w:t>
      </w:r>
    </w:p>
    <w:p w:rsidR="00EA1F74" w:rsidRDefault="00FC1CE8" w:rsidP="00625DA1">
      <w:pPr>
        <w:pStyle w:val="BodyText"/>
      </w:pPr>
      <w:r>
        <w:t xml:space="preserve">Orenstein, L., Chetrit, A., &amp; Dankner, R. (2016). Healthy lifestyle pattern is protective against 30-yr cancer incidence in men and women: a cohort study. </w:t>
      </w:r>
      <w:r>
        <w:rPr>
          <w:i/>
        </w:rPr>
        <w:t>Nutrition and cancer, 68</w:t>
      </w:r>
      <w:r>
        <w:t>(3), 410-419.</w:t>
      </w:r>
    </w:p>
    <w:p w:rsidR="00EA1F74" w:rsidRDefault="00FC1CE8">
      <w:pPr>
        <w:spacing w:before="59" w:line="360" w:lineRule="auto"/>
        <w:ind w:left="1453" w:right="2107" w:hanging="720"/>
        <w:jc w:val="both"/>
        <w:rPr>
          <w:sz w:val="24"/>
        </w:rPr>
      </w:pPr>
      <w:r>
        <w:rPr>
          <w:sz w:val="24"/>
        </w:rPr>
        <w:t xml:space="preserve">World Health Organization (WHO). (2013). </w:t>
      </w:r>
      <w:r>
        <w:rPr>
          <w:i/>
          <w:sz w:val="24"/>
        </w:rPr>
        <w:t xml:space="preserve">International statistical classification of diseases and related health problems-10th revision. </w:t>
      </w:r>
      <w:r>
        <w:rPr>
          <w:sz w:val="24"/>
        </w:rPr>
        <w:t>Geneva: World Health Organization.</w:t>
      </w:r>
    </w:p>
    <w:p w:rsidR="00EA1F74" w:rsidRDefault="00FC1CE8" w:rsidP="00625DA1">
      <w:pPr>
        <w:pStyle w:val="BodyText"/>
      </w:pPr>
      <w:r>
        <w:t xml:space="preserve">Parish, S. L., &amp; Saville, A. W. (2006). Women with cognitive limitations in the community: Evidence of disability-based disparities in healthcare. </w:t>
      </w:r>
      <w:r>
        <w:rPr>
          <w:i/>
        </w:rPr>
        <w:t>Mental Retardation, 44</w:t>
      </w:r>
      <w:r>
        <w:t>, 249- 259.</w:t>
      </w:r>
    </w:p>
    <w:p w:rsidR="00EA1F74" w:rsidRDefault="00FC1CE8" w:rsidP="00625DA1">
      <w:pPr>
        <w:pStyle w:val="BodyText"/>
      </w:pPr>
      <w:r>
        <w:t xml:space="preserve">Parish, S. L., Swaine, J. G., Son, E., &amp; Luken, K. (2013). Determinants of cervical cancer screening among women with intellectual disabilities: Evidence from medical record. </w:t>
      </w:r>
      <w:r>
        <w:rPr>
          <w:i/>
        </w:rPr>
        <w:t>Health Reports, 128</w:t>
      </w:r>
      <w:r>
        <w:t>, 519-526.</w:t>
      </w:r>
    </w:p>
    <w:p w:rsidR="00EA1F74" w:rsidRDefault="00FC1CE8">
      <w:pPr>
        <w:spacing w:before="67" w:line="360" w:lineRule="auto"/>
        <w:ind w:left="1453" w:right="1368" w:hanging="720"/>
        <w:rPr>
          <w:sz w:val="24"/>
        </w:rPr>
      </w:pPr>
      <w:r>
        <w:rPr>
          <w:sz w:val="24"/>
        </w:rPr>
        <w:t xml:space="preserve">Patja, K., Iivanainen, M., Vesala, H., Oksanen, H., &amp; Ruoppila, I. (2000). Life expectancy of people with intellectual disability: a 35-year follow-up study. </w:t>
      </w:r>
      <w:r>
        <w:rPr>
          <w:i/>
          <w:sz w:val="24"/>
        </w:rPr>
        <w:t>Journal of Intellectual Disability Research, 44</w:t>
      </w:r>
      <w:r>
        <w:rPr>
          <w:sz w:val="24"/>
        </w:rPr>
        <w:t>,</w:t>
      </w:r>
      <w:r>
        <w:rPr>
          <w:spacing w:val="-3"/>
          <w:sz w:val="24"/>
        </w:rPr>
        <w:t xml:space="preserve"> </w:t>
      </w:r>
      <w:r>
        <w:rPr>
          <w:sz w:val="24"/>
        </w:rPr>
        <w:t>591–599.</w:t>
      </w:r>
    </w:p>
    <w:p w:rsidR="00EA1F74" w:rsidRDefault="00FC1CE8">
      <w:pPr>
        <w:spacing w:before="59" w:line="364" w:lineRule="auto"/>
        <w:ind w:left="1453" w:right="1766" w:hanging="720"/>
        <w:rPr>
          <w:sz w:val="24"/>
        </w:rPr>
      </w:pPr>
      <w:r>
        <w:rPr>
          <w:sz w:val="24"/>
        </w:rPr>
        <w:t>Patja, K., Mölsä, P., &amp; Iivanainen, M. (2001). Cause</w:t>
      </w:r>
      <w:r>
        <w:rPr>
          <w:rFonts w:ascii="Trebuchet MS" w:hAnsi="Trebuchet MS"/>
          <w:sz w:val="24"/>
        </w:rPr>
        <w:t>‐</w:t>
      </w:r>
      <w:r>
        <w:rPr>
          <w:sz w:val="24"/>
        </w:rPr>
        <w:t>specific mortality of people with intellectual disability in a population</w:t>
      </w:r>
      <w:r>
        <w:rPr>
          <w:rFonts w:ascii="Trebuchet MS" w:hAnsi="Trebuchet MS"/>
          <w:sz w:val="24"/>
        </w:rPr>
        <w:t>‐</w:t>
      </w:r>
      <w:r>
        <w:rPr>
          <w:sz w:val="24"/>
        </w:rPr>
        <w:t>based, 35</w:t>
      </w:r>
      <w:r>
        <w:rPr>
          <w:rFonts w:ascii="Trebuchet MS" w:hAnsi="Trebuchet MS"/>
          <w:sz w:val="24"/>
        </w:rPr>
        <w:t>‐</w:t>
      </w:r>
      <w:r>
        <w:rPr>
          <w:sz w:val="24"/>
        </w:rPr>
        <w:t>year follow</w:t>
      </w:r>
      <w:r>
        <w:rPr>
          <w:rFonts w:ascii="Trebuchet MS" w:hAnsi="Trebuchet MS"/>
          <w:sz w:val="24"/>
        </w:rPr>
        <w:t>‐</w:t>
      </w:r>
      <w:r>
        <w:rPr>
          <w:sz w:val="24"/>
        </w:rPr>
        <w:t xml:space="preserve">up study. </w:t>
      </w:r>
      <w:r>
        <w:rPr>
          <w:i/>
          <w:sz w:val="24"/>
        </w:rPr>
        <w:t>Journal</w:t>
      </w:r>
      <w:r>
        <w:rPr>
          <w:i/>
          <w:spacing w:val="-49"/>
          <w:sz w:val="24"/>
        </w:rPr>
        <w:t xml:space="preserve"> </w:t>
      </w:r>
      <w:r>
        <w:rPr>
          <w:i/>
          <w:sz w:val="24"/>
        </w:rPr>
        <w:t>of Intellectual Disability Research, 45</w:t>
      </w:r>
      <w:r>
        <w:rPr>
          <w:sz w:val="24"/>
        </w:rPr>
        <w:t>(1),</w:t>
      </w:r>
      <w:r>
        <w:rPr>
          <w:spacing w:val="-3"/>
          <w:sz w:val="24"/>
        </w:rPr>
        <w:t xml:space="preserve"> </w:t>
      </w:r>
      <w:r>
        <w:rPr>
          <w:sz w:val="24"/>
        </w:rPr>
        <w:t>30-40.</w:t>
      </w:r>
    </w:p>
    <w:p w:rsidR="00EA1F74" w:rsidRDefault="00FC1CE8">
      <w:pPr>
        <w:spacing w:before="58" w:line="357" w:lineRule="auto"/>
        <w:ind w:left="1453" w:right="1529" w:hanging="720"/>
        <w:rPr>
          <w:sz w:val="24"/>
        </w:rPr>
      </w:pPr>
      <w:r>
        <w:rPr>
          <w:sz w:val="24"/>
        </w:rPr>
        <w:t xml:space="preserve">Pilla, M., Langlois, N., &amp; Byard, R. W. (2018). Causes of death in a series of decedents with cerebral palsy in a medicolegal context. </w:t>
      </w:r>
      <w:r>
        <w:rPr>
          <w:i/>
          <w:sz w:val="24"/>
        </w:rPr>
        <w:t>Australian Journal of Forensic Sciences, 50</w:t>
      </w:r>
      <w:r>
        <w:rPr>
          <w:sz w:val="24"/>
        </w:rPr>
        <w:t>(4), 428-434.</w:t>
      </w:r>
    </w:p>
    <w:p w:rsidR="00EA1F74" w:rsidRDefault="00FC1CE8" w:rsidP="00625DA1">
      <w:pPr>
        <w:pStyle w:val="BodyText"/>
      </w:pPr>
      <w:r>
        <w:t xml:space="preserve">Purnell, B. S., Thijs, R. D., &amp; Buchanan, G. F. (2018). Dead in the night: Sleep-wake and time-of-day influences on sudden unexpected death in epilepsy. </w:t>
      </w:r>
      <w:r>
        <w:rPr>
          <w:i/>
        </w:rPr>
        <w:t>Frontiers in Neurology, 9</w:t>
      </w:r>
      <w:r>
        <w:t>, 1079.</w:t>
      </w:r>
    </w:p>
    <w:p w:rsidR="00EA1F74" w:rsidRPr="004E7E6E" w:rsidRDefault="00FC1CE8" w:rsidP="004E7E6E">
      <w:pPr>
        <w:spacing w:before="62" w:line="417" w:lineRule="auto"/>
        <w:ind w:left="733" w:right="1876"/>
        <w:rPr>
          <w:sz w:val="24"/>
        </w:rPr>
      </w:pPr>
      <w:r>
        <w:rPr>
          <w:sz w:val="24"/>
        </w:rPr>
        <w:t xml:space="preserve">Read, S. (2006). </w:t>
      </w:r>
      <w:r>
        <w:rPr>
          <w:i/>
          <w:sz w:val="24"/>
        </w:rPr>
        <w:t>Communication in the dying context</w:t>
      </w:r>
      <w:r>
        <w:rPr>
          <w:sz w:val="24"/>
        </w:rPr>
        <w:t>. London: Quay Books. Robertson J, Hatton C, Emerson E, &amp; S., B. (2014). The impact of health checks for</w:t>
      </w:r>
      <w:r w:rsidR="004E7E6E">
        <w:rPr>
          <w:sz w:val="24"/>
        </w:rPr>
        <w:t xml:space="preserve"> </w:t>
      </w:r>
      <w:r>
        <w:t>people with intellectual disabilities: an updated systematic review of evidence.</w:t>
      </w:r>
    </w:p>
    <w:p w:rsidR="00EA1F74" w:rsidRDefault="00FC1CE8">
      <w:pPr>
        <w:spacing w:before="132"/>
        <w:ind w:left="1453"/>
        <w:rPr>
          <w:sz w:val="24"/>
        </w:rPr>
      </w:pPr>
      <w:r>
        <w:rPr>
          <w:i/>
          <w:sz w:val="24"/>
        </w:rPr>
        <w:t>Research in Developmental Disabilities, 35</w:t>
      </w:r>
      <w:r>
        <w:rPr>
          <w:sz w:val="24"/>
        </w:rPr>
        <w:t>(10), 2450-2462.</w:t>
      </w:r>
    </w:p>
    <w:p w:rsidR="00EA1F74" w:rsidRDefault="00FC1CE8">
      <w:pPr>
        <w:spacing w:before="204" w:line="360" w:lineRule="auto"/>
        <w:ind w:left="1453" w:right="1275" w:hanging="720"/>
        <w:rPr>
          <w:sz w:val="24"/>
        </w:rPr>
      </w:pPr>
      <w:r>
        <w:rPr>
          <w:sz w:val="24"/>
        </w:rPr>
        <w:t xml:space="preserve">Robertson, J., Baines, S., Emerson, E., &amp; Hatton, C. (2017). Service responses to people with intellectual disabilities and epilepsy: a systematic review. </w:t>
      </w:r>
      <w:r>
        <w:rPr>
          <w:i/>
          <w:sz w:val="24"/>
        </w:rPr>
        <w:t>Journal of Applied Research in Intellectual Disabilities, 30</w:t>
      </w:r>
      <w:r>
        <w:rPr>
          <w:sz w:val="24"/>
        </w:rPr>
        <w:t>(1), 1-32.</w:t>
      </w:r>
    </w:p>
    <w:p w:rsidR="00EA1F74" w:rsidRDefault="00FC1CE8">
      <w:pPr>
        <w:spacing w:before="59" w:line="360" w:lineRule="auto"/>
        <w:ind w:left="1453" w:right="1252" w:hanging="720"/>
        <w:jc w:val="both"/>
        <w:rPr>
          <w:sz w:val="24"/>
        </w:rPr>
      </w:pPr>
      <w:r>
        <w:rPr>
          <w:sz w:val="24"/>
        </w:rPr>
        <w:t xml:space="preserve">Robertson, J., Chadwick, D., Baines, S., Emerson, E., &amp; Hatton, C. (2017). Prevalence of dysphagia in people with intellectual disability: a systematic review. </w:t>
      </w:r>
      <w:r>
        <w:rPr>
          <w:i/>
          <w:sz w:val="24"/>
        </w:rPr>
        <w:t>Intellectual and Developmental Disabilities, 55</w:t>
      </w:r>
      <w:r>
        <w:rPr>
          <w:sz w:val="24"/>
        </w:rPr>
        <w:t>(6), 377-391.</w:t>
      </w:r>
    </w:p>
    <w:p w:rsidR="00EA1F74" w:rsidRDefault="00FC1CE8" w:rsidP="00625DA1">
      <w:pPr>
        <w:pStyle w:val="BodyText"/>
      </w:pPr>
      <w:r>
        <w:t xml:space="preserve">Robertson, J., Chadwick, D., Baines, S., Emerson, E., &amp; Hatton, C. (2018). People with intellectual disabilities and dysphagia. </w:t>
      </w:r>
      <w:r>
        <w:rPr>
          <w:i/>
        </w:rPr>
        <w:t>Disability and Rehabilitation, 40</w:t>
      </w:r>
      <w:r>
        <w:t>(1), 1345- 1360.</w:t>
      </w:r>
    </w:p>
    <w:p w:rsidR="00EA1F74" w:rsidRDefault="00FC1CE8" w:rsidP="00625DA1">
      <w:pPr>
        <w:pStyle w:val="BodyText"/>
      </w:pPr>
      <w:r>
        <w:t xml:space="preserve">Robertson, J., Hatton, C., Emerson, E., &amp; Baines, S. (2015a). Mortality in people with intellectual disabilities and epilepsy: a systematic review. </w:t>
      </w:r>
      <w:r>
        <w:rPr>
          <w:i/>
        </w:rPr>
        <w:t>Seizure, 29</w:t>
      </w:r>
      <w:r>
        <w:t>, 123-133.</w:t>
      </w:r>
    </w:p>
    <w:p w:rsidR="00EA1F74" w:rsidRDefault="00FC1CE8" w:rsidP="00625DA1">
      <w:pPr>
        <w:pStyle w:val="BodyText"/>
      </w:pPr>
      <w:r>
        <w:t xml:space="preserve">Robertson, J., Hatton, C., Emerson, E., &amp; Baines, S. (2015b). Prevalence of epilepsy among people with intellectual disabilities: a systematic review. </w:t>
      </w:r>
      <w:r>
        <w:rPr>
          <w:i/>
        </w:rPr>
        <w:t>Seizure, 29</w:t>
      </w:r>
      <w:r>
        <w:t>, 46-62.</w:t>
      </w:r>
    </w:p>
    <w:p w:rsidR="00EA1F74" w:rsidRDefault="00FC1CE8">
      <w:pPr>
        <w:spacing w:before="71" w:line="355" w:lineRule="auto"/>
        <w:ind w:left="1453" w:right="1319" w:hanging="720"/>
        <w:jc w:val="both"/>
        <w:rPr>
          <w:sz w:val="24"/>
        </w:rPr>
      </w:pPr>
      <w:r>
        <w:rPr>
          <w:sz w:val="24"/>
        </w:rPr>
        <w:t xml:space="preserve">Rogers, R. G., &amp; Crimmins, E. M. (2011). </w:t>
      </w:r>
      <w:r>
        <w:rPr>
          <w:i/>
          <w:sz w:val="24"/>
        </w:rPr>
        <w:t xml:space="preserve">International Handbook of Adult Mortality. </w:t>
      </w:r>
      <w:r>
        <w:rPr>
          <w:sz w:val="24"/>
        </w:rPr>
        <w:t>New York: Springer.</w:t>
      </w:r>
    </w:p>
    <w:p w:rsidR="00EA1F74" w:rsidRDefault="00FC1CE8" w:rsidP="00625DA1">
      <w:pPr>
        <w:pStyle w:val="BodyText"/>
      </w:pPr>
      <w:r>
        <w:t xml:space="preserve">Ryan, K., McEvoy, J., Guerin, S., &amp; Dodd, P. (2010). An exploration of the experience, confidence and attitudes of staff to the provision of palliative care to people with intellectual disabilities. </w:t>
      </w:r>
      <w:r>
        <w:rPr>
          <w:i/>
        </w:rPr>
        <w:t>Palliative Medicine, 24</w:t>
      </w:r>
      <w:r>
        <w:t>(6), 566-572.</w:t>
      </w:r>
    </w:p>
    <w:p w:rsidR="00EA1F74" w:rsidRDefault="00FC1CE8" w:rsidP="00625DA1">
      <w:pPr>
        <w:pStyle w:val="BodyText"/>
        <w:rPr>
          <w:i/>
        </w:rPr>
      </w:pPr>
      <w:r>
        <w:t xml:space="preserve">Salomon, C., Britt, H., Pollack, A., &amp; Trollor, J. (2018). Primary care for people with an intellectual disability—what is prescribed? An analysis of medication recommendations from the BEACH dataset. </w:t>
      </w:r>
      <w:r>
        <w:rPr>
          <w:i/>
        </w:rPr>
        <w:t>BJGP Open, bjgpopen18X101541.</w:t>
      </w:r>
    </w:p>
    <w:p w:rsidR="00EA1F74" w:rsidRDefault="00FC1CE8">
      <w:pPr>
        <w:spacing w:before="59" w:line="360" w:lineRule="auto"/>
        <w:ind w:left="1453" w:right="1502" w:hanging="720"/>
        <w:rPr>
          <w:sz w:val="24"/>
        </w:rPr>
      </w:pPr>
      <w:r>
        <w:rPr>
          <w:sz w:val="24"/>
        </w:rPr>
        <w:t xml:space="preserve">Samuels, R., &amp; Chadwick, D. (2006). Predictors of asphyxiation risk in adults with intellectual disabilities and dysphagia. </w:t>
      </w:r>
      <w:r>
        <w:rPr>
          <w:i/>
          <w:sz w:val="24"/>
        </w:rPr>
        <w:t>Journal of Intellectual Disability Research, 50</w:t>
      </w:r>
      <w:r>
        <w:rPr>
          <w:sz w:val="24"/>
        </w:rPr>
        <w:t>, 362-370.</w:t>
      </w:r>
    </w:p>
    <w:p w:rsidR="00EA1F74" w:rsidRDefault="00FC1CE8" w:rsidP="00625DA1">
      <w:pPr>
        <w:pStyle w:val="BodyText"/>
      </w:pPr>
      <w:r>
        <w:t xml:space="preserve">Schwedhelm, C., Boeing, H., Hoffmann, G., Aleksandrova, K., &amp; Schwingshackl, L. (2016). Effect of diet on mortality and cancer recurrence among cancer survivors: a systematic review and meta-analysis of cohort studies. </w:t>
      </w:r>
      <w:r>
        <w:rPr>
          <w:i/>
        </w:rPr>
        <w:t>Nutrition reviews, 74</w:t>
      </w:r>
      <w:r>
        <w:t>(12), 737-748.</w:t>
      </w:r>
    </w:p>
    <w:p w:rsidR="00EA1F74" w:rsidRDefault="00FC1CE8" w:rsidP="00625DA1">
      <w:pPr>
        <w:pStyle w:val="BodyText"/>
      </w:pPr>
      <w:r>
        <w:t>Shankar, R. (2015). Can Technology help reduce risk of harm in patients with epilepsy?</w:t>
      </w:r>
    </w:p>
    <w:p w:rsidR="00EA1F74" w:rsidRDefault="00FC1CE8">
      <w:pPr>
        <w:spacing w:before="132"/>
        <w:ind w:left="1453"/>
        <w:rPr>
          <w:sz w:val="24"/>
        </w:rPr>
      </w:pPr>
      <w:r>
        <w:rPr>
          <w:i/>
          <w:sz w:val="24"/>
        </w:rPr>
        <w:t>British Journal of General Practice, 65</w:t>
      </w:r>
      <w:r>
        <w:rPr>
          <w:sz w:val="24"/>
        </w:rPr>
        <w:t>(638), 448-449.</w:t>
      </w:r>
    </w:p>
    <w:p w:rsidR="00EA1F74" w:rsidRDefault="00FC1CE8" w:rsidP="00625DA1">
      <w:pPr>
        <w:pStyle w:val="BodyText"/>
      </w:pPr>
      <w:r>
        <w:t xml:space="preserve">Sheppard, J. J., Malandraki, G. A., Pifer, P., Cuff, J., Troche, M., Hemsley, B. et al. (2017). Validation of the choking risk assessment and pneumonia risk assessment for adults with intellectual and developmental disability (IDD). </w:t>
      </w:r>
      <w:r>
        <w:rPr>
          <w:i/>
        </w:rPr>
        <w:t>Research in Developmental Disabilities, 69</w:t>
      </w:r>
      <w:r>
        <w:t>, 61-76.</w:t>
      </w:r>
    </w:p>
    <w:p w:rsidR="00EA1F74" w:rsidRDefault="00FC1CE8" w:rsidP="00625DA1">
      <w:pPr>
        <w:pStyle w:val="BodyText"/>
      </w:pPr>
      <w:r>
        <w:t xml:space="preserve">Solmi, M., Murru, A., Pacchiarotti, I., Undurraga, J., Veronese, N., Fornaro, M. et al. (2017). Safety, tolerability, and risks associated with first-and second-generation antipsychotics: a state-of-the-art clinical review. </w:t>
      </w:r>
      <w:r>
        <w:rPr>
          <w:i/>
        </w:rPr>
        <w:t>Therapeutics and Clinical Risk Management, 13</w:t>
      </w:r>
      <w:r>
        <w:t>, 757-777.</w:t>
      </w:r>
    </w:p>
    <w:p w:rsidR="00EA1F74" w:rsidRDefault="00FC1CE8" w:rsidP="00625DA1">
      <w:pPr>
        <w:pStyle w:val="BodyText"/>
      </w:pPr>
      <w:r>
        <w:t xml:space="preserve">Terpenning, M. S., Taylor, G. W., Lopatin, D. E., Kerr, C. K., Dominguez, B. L., &amp; Loesche, W. J. (2001). Aspiration pneumonia: Dental and oral risk factors in an older veteran population. </w:t>
      </w:r>
      <w:r>
        <w:rPr>
          <w:i/>
        </w:rPr>
        <w:t>Journal of the American Geriatric Society, 49</w:t>
      </w:r>
      <w:r>
        <w:t>, 557-563.</w:t>
      </w:r>
    </w:p>
    <w:p w:rsidR="00EA1F74" w:rsidRDefault="00FC1CE8" w:rsidP="00625DA1">
      <w:pPr>
        <w:pStyle w:val="BodyText"/>
      </w:pPr>
      <w:r>
        <w:t xml:space="preserve">Thacker, A., Abdelnoor, A., Anderson, C., White, S., &amp; Hollins, S. (2008). Indicators of choking risk in adults with learning disabilities: A questionnaire survey and interview study. </w:t>
      </w:r>
      <w:r>
        <w:rPr>
          <w:i/>
        </w:rPr>
        <w:t>Disability and Rehabilitation, 30</w:t>
      </w:r>
      <w:r>
        <w:t>(15), 1131-1138.</w:t>
      </w:r>
    </w:p>
    <w:p w:rsidR="00EA1F74" w:rsidRDefault="00FC1CE8">
      <w:pPr>
        <w:spacing w:before="64" w:line="355" w:lineRule="auto"/>
        <w:ind w:left="1453" w:right="1329" w:hanging="720"/>
        <w:rPr>
          <w:sz w:val="24"/>
        </w:rPr>
      </w:pPr>
      <w:r>
        <w:rPr>
          <w:sz w:val="24"/>
        </w:rPr>
        <w:t xml:space="preserve">Thillai, M. (2010). Respiratory diseases. In: </w:t>
      </w:r>
      <w:r>
        <w:rPr>
          <w:i/>
          <w:sz w:val="24"/>
        </w:rPr>
        <w:t>Intellectual Disability and Ill Health: A Review of the Evidence</w:t>
      </w:r>
      <w:r>
        <w:rPr>
          <w:sz w:val="24"/>
        </w:rPr>
        <w:t>. Cambridge: University press.</w:t>
      </w:r>
    </w:p>
    <w:p w:rsidR="00EA1F74" w:rsidRDefault="00FC1CE8" w:rsidP="00625DA1">
      <w:pPr>
        <w:pStyle w:val="BodyText"/>
      </w:pPr>
      <w:r>
        <w:t xml:space="preserve">Thomas, C., Bertram, E., &amp; Johnson, D. (2009). The SBAR communication technique: Teaching nursing students professional communication skills. </w:t>
      </w:r>
      <w:r>
        <w:rPr>
          <w:i/>
        </w:rPr>
        <w:t>Nurse Education Today, 34</w:t>
      </w:r>
      <w:r>
        <w:t>, 176-180.</w:t>
      </w:r>
    </w:p>
    <w:p w:rsidR="00EA1F74" w:rsidRDefault="00FC1CE8" w:rsidP="00625DA1">
      <w:pPr>
        <w:pStyle w:val="BodyText"/>
      </w:pPr>
      <w:r>
        <w:t xml:space="preserve">Tong, B., S., &amp; Einfeld, S. (2000). The trajectory of psychiatric disorders in young people with intellectual disabilities. </w:t>
      </w:r>
      <w:r>
        <w:rPr>
          <w:i/>
        </w:rPr>
        <w:t>Journal of Psychiatry, 34</w:t>
      </w:r>
      <w:r>
        <w:t>, 80-84.</w:t>
      </w:r>
    </w:p>
    <w:p w:rsidR="00EA1F74" w:rsidRDefault="00FC1CE8" w:rsidP="00625DA1">
      <w:pPr>
        <w:pStyle w:val="BodyText"/>
      </w:pPr>
      <w:r>
        <w:t>Torre, L. A., Bray, F., Siegel, R. L., Ferlay, J., Lortet</w:t>
      </w:r>
      <w:r>
        <w:rPr>
          <w:rFonts w:ascii="Trebuchet MS" w:hAnsi="Trebuchet MS"/>
        </w:rPr>
        <w:t>‐</w:t>
      </w:r>
      <w:r>
        <w:t>Tieulent, J., &amp; Jemal, A. (2015).</w:t>
      </w:r>
    </w:p>
    <w:p w:rsidR="00EA1F74" w:rsidRDefault="00FC1CE8" w:rsidP="00625DA1">
      <w:pPr>
        <w:pStyle w:val="BodyText"/>
      </w:pPr>
      <w:r>
        <w:t xml:space="preserve">Global cancer statistics. </w:t>
      </w:r>
      <w:r>
        <w:rPr>
          <w:i/>
        </w:rPr>
        <w:t>CA, 65</w:t>
      </w:r>
      <w:r>
        <w:t>(2), 87-108.</w:t>
      </w:r>
    </w:p>
    <w:p w:rsidR="00EA1F74" w:rsidRDefault="00FC1CE8" w:rsidP="00625DA1">
      <w:pPr>
        <w:pStyle w:val="BodyText"/>
      </w:pPr>
      <w:r>
        <w:t>Tricco, A. C., Lillie, E., Zarin, W., O'Brien, K. K., Colquhoun, H., Levac, D. et al. (2018).</w:t>
      </w:r>
    </w:p>
    <w:p w:rsidR="00EA1F74" w:rsidRDefault="00FC1CE8" w:rsidP="00625DA1">
      <w:pPr>
        <w:pStyle w:val="BodyText"/>
      </w:pPr>
      <w:r>
        <w:t>PRISMA extension for scoping reviews (PRISMA-ScR): checklist and explanation.</w:t>
      </w:r>
    </w:p>
    <w:p w:rsidR="00EA1F74" w:rsidRDefault="00FC1CE8">
      <w:pPr>
        <w:spacing w:before="132"/>
        <w:ind w:left="1453"/>
        <w:rPr>
          <w:sz w:val="24"/>
        </w:rPr>
      </w:pPr>
      <w:r>
        <w:rPr>
          <w:i/>
          <w:sz w:val="24"/>
        </w:rPr>
        <w:t>Annals of Internal Medicine, 169</w:t>
      </w:r>
      <w:r>
        <w:rPr>
          <w:sz w:val="24"/>
        </w:rPr>
        <w:t>(7), 467-473.</w:t>
      </w:r>
    </w:p>
    <w:p w:rsidR="00EA1F74" w:rsidRDefault="00FC1CE8">
      <w:pPr>
        <w:spacing w:before="204" w:line="355" w:lineRule="auto"/>
        <w:ind w:left="1453" w:right="1372" w:hanging="720"/>
        <w:jc w:val="both"/>
        <w:rPr>
          <w:sz w:val="24"/>
        </w:rPr>
      </w:pPr>
      <w:r>
        <w:rPr>
          <w:sz w:val="24"/>
        </w:rPr>
        <w:t xml:space="preserve">Trollor, J. (2014). Making mental health services accessible to people with an intellectual disability. </w:t>
      </w:r>
      <w:r>
        <w:rPr>
          <w:i/>
          <w:sz w:val="24"/>
        </w:rPr>
        <w:t>Australian and New Zealand Journal of Psychiatry, 48</w:t>
      </w:r>
      <w:r>
        <w:rPr>
          <w:sz w:val="24"/>
        </w:rPr>
        <w:t>(5), 395-398.</w:t>
      </w:r>
    </w:p>
    <w:p w:rsidR="00EA1F74" w:rsidRDefault="00FC1CE8" w:rsidP="00625DA1">
      <w:pPr>
        <w:pStyle w:val="BodyText"/>
      </w:pPr>
      <w:r>
        <w:t xml:space="preserve">Trollor, J., Srasuebkul, P., Xu, H., &amp; Howlett, S. (2017). Cause of death and potentially avoidable deaths in Australian adults with intellectual disability using retrospective linked data. </w:t>
      </w:r>
      <w:r>
        <w:rPr>
          <w:i/>
        </w:rPr>
        <w:t>BMJ Open, 7</w:t>
      </w:r>
      <w:r>
        <w:t>(2), e013489.</w:t>
      </w:r>
    </w:p>
    <w:p w:rsidR="00EA1F74" w:rsidRDefault="00FC1CE8" w:rsidP="00625DA1">
      <w:pPr>
        <w:pStyle w:val="BodyText"/>
      </w:pPr>
      <w:r>
        <w:t>Trollor, J. N., Ruffell, B., Tracy, J., Torr, J., Durvasula, S., Iacono, T. et al. (2016).</w:t>
      </w:r>
    </w:p>
    <w:p w:rsidR="00EA1F74" w:rsidRDefault="00FC1CE8" w:rsidP="00625DA1">
      <w:pPr>
        <w:pStyle w:val="BodyText"/>
      </w:pPr>
      <w:r>
        <w:t xml:space="preserve">Intellectual disability health content within medical curriculum: an audit of what our future doctors are taught. </w:t>
      </w:r>
      <w:r>
        <w:rPr>
          <w:i/>
        </w:rPr>
        <w:t>BMC Medical Education, 16</w:t>
      </w:r>
      <w:r>
        <w:t>(1),</w:t>
      </w:r>
      <w:r>
        <w:rPr>
          <w:spacing w:val="-5"/>
        </w:rPr>
        <w:t xml:space="preserve"> </w:t>
      </w:r>
      <w:r>
        <w:t>105.</w:t>
      </w:r>
    </w:p>
    <w:p w:rsidR="00EA1F74" w:rsidRDefault="00FC1CE8" w:rsidP="00625DA1">
      <w:pPr>
        <w:pStyle w:val="BodyText"/>
      </w:pPr>
      <w:r>
        <w:t xml:space="preserve">UN General Assembly. (2007). Convention on the Rights of Persons with </w:t>
      </w:r>
      <w:r>
        <w:rPr>
          <w:spacing w:val="-2"/>
        </w:rPr>
        <w:t xml:space="preserve">Disabilities </w:t>
      </w:r>
      <w:r>
        <w:t>Retrieved from</w:t>
      </w:r>
      <w:r>
        <w:rPr>
          <w:spacing w:val="-1"/>
        </w:rPr>
        <w:t xml:space="preserve"> </w:t>
      </w:r>
      <w:r>
        <w:rPr>
          <w:color w:val="0000FF"/>
          <w:u w:val="single" w:color="0000FF"/>
        </w:rPr>
        <w:t>https://</w:t>
      </w:r>
      <w:hyperlink r:id="rId24" w:tooltip="Reference link">
        <w:r>
          <w:rPr>
            <w:color w:val="0000FF"/>
            <w:u w:val="single" w:color="0000FF"/>
          </w:rPr>
          <w:t>www.refworld.org/docid/45f973632.html</w:t>
        </w:r>
      </w:hyperlink>
    </w:p>
    <w:p w:rsidR="00EA1F74" w:rsidRDefault="00FC1CE8" w:rsidP="00625DA1">
      <w:pPr>
        <w:pStyle w:val="BodyText"/>
      </w:pPr>
      <w:r>
        <w:t>Van Timmeren, E. A., Van der Putten, A. A. J., van Schrojenstein Lantman</w:t>
      </w:r>
      <w:r>
        <w:rPr>
          <w:rFonts w:ascii="Trebuchet MS" w:hAnsi="Trebuchet MS"/>
        </w:rPr>
        <w:t>‐</w:t>
      </w:r>
      <w:r>
        <w:t>de Valk, H. M. J., Van der Schans, C. P., &amp; Waninge, A. (2016). Prevalence of reported physical health problems in people with severe or profound intellectual and motor disabilities: a cross</w:t>
      </w:r>
      <w:r>
        <w:rPr>
          <w:rFonts w:ascii="Trebuchet MS" w:hAnsi="Trebuchet MS"/>
        </w:rPr>
        <w:t>‐</w:t>
      </w:r>
      <w:r>
        <w:t xml:space="preserve">sectional study of medical records and care plans. </w:t>
      </w:r>
      <w:r>
        <w:rPr>
          <w:i/>
        </w:rPr>
        <w:t>Journal of Intellectual Disability Research, 60</w:t>
      </w:r>
      <w:r>
        <w:t>(11), 1109-1118.</w:t>
      </w:r>
    </w:p>
    <w:p w:rsidR="00EA1F74" w:rsidRDefault="00FC1CE8" w:rsidP="00625DA1">
      <w:pPr>
        <w:pStyle w:val="BodyText"/>
      </w:pPr>
      <w:r>
        <w:t xml:space="preserve">Voss, H., Vogel, A., Wagemans, A. M., Francke, A. L., Metsemakers, J. F., Courtens, A. M., &amp; de Veer, A. J. (2017). Advance care planning in palliative care for people with intellectual disabilities: a systematic review. </w:t>
      </w:r>
      <w:r>
        <w:rPr>
          <w:i/>
        </w:rPr>
        <w:t>Journal of Pain and Symptom Management, 54</w:t>
      </w:r>
      <w:r>
        <w:t>(6), 938-960.</w:t>
      </w:r>
    </w:p>
    <w:p w:rsidR="00EA1F74" w:rsidRDefault="00FC1CE8" w:rsidP="00625DA1">
      <w:pPr>
        <w:pStyle w:val="BodyText"/>
      </w:pPr>
      <w:r>
        <w:t xml:space="preserve">Walker, E. R., McGee, R. E., &amp; Druss, B. G. (2015). Mortality in mental disorders and global disease burden implications: a systematic review and meta-analysis. </w:t>
      </w:r>
      <w:r>
        <w:rPr>
          <w:i/>
        </w:rPr>
        <w:t>JAMA Psychiatry, 72</w:t>
      </w:r>
      <w:r>
        <w:t>(4), 334-341.</w:t>
      </w:r>
    </w:p>
    <w:p w:rsidR="00EA1F74" w:rsidRDefault="00FC1CE8">
      <w:pPr>
        <w:spacing w:before="67" w:line="360" w:lineRule="auto"/>
        <w:ind w:left="1453" w:right="1383" w:hanging="720"/>
        <w:rPr>
          <w:sz w:val="24"/>
        </w:rPr>
      </w:pPr>
      <w:r>
        <w:rPr>
          <w:sz w:val="24"/>
        </w:rPr>
        <w:t xml:space="preserve">Wallace, R. A., &amp; Schluter, P. (2008). Audit of cardiovascular disease risk factors among supported adults with intellectual disability attending an ageing clinic. </w:t>
      </w:r>
      <w:r>
        <w:rPr>
          <w:i/>
          <w:sz w:val="24"/>
        </w:rPr>
        <w:t>Journal of Intellectual and Developmental Disability, 33</w:t>
      </w:r>
      <w:r>
        <w:rPr>
          <w:sz w:val="24"/>
        </w:rPr>
        <w:t>(1), 48-58.</w:t>
      </w:r>
    </w:p>
    <w:p w:rsidR="00EA1F74" w:rsidRDefault="00FC1CE8">
      <w:pPr>
        <w:spacing w:before="59" w:line="360" w:lineRule="auto"/>
        <w:ind w:left="1453" w:right="1271" w:hanging="720"/>
        <w:rPr>
          <w:sz w:val="24"/>
        </w:rPr>
      </w:pPr>
      <w:r>
        <w:rPr>
          <w:sz w:val="24"/>
        </w:rPr>
        <w:t xml:space="preserve">Watts, R., &amp; Vyas, H. (2013). An overview of respiratory problems in children with Down's syndrome. </w:t>
      </w:r>
      <w:r>
        <w:rPr>
          <w:i/>
          <w:sz w:val="24"/>
        </w:rPr>
        <w:t>Archives of Disease in Childhood, 98</w:t>
      </w:r>
      <w:r>
        <w:rPr>
          <w:sz w:val="24"/>
        </w:rPr>
        <w:t>, 812-817.</w:t>
      </w:r>
    </w:p>
    <w:p w:rsidR="00EA1F74" w:rsidRDefault="00FC1CE8" w:rsidP="00625DA1">
      <w:pPr>
        <w:pStyle w:val="BodyText"/>
      </w:pPr>
      <w:r>
        <w:t xml:space="preserve">Weise, J., Pollack, A., Britt, H., &amp; Trollor, J. N. (2017). Primary health care for people with an intellectual disability: an exploration of consultations, problems identified, and their management in Australia. </w:t>
      </w:r>
      <w:r>
        <w:rPr>
          <w:i/>
        </w:rPr>
        <w:t>Journal of Intellectual Disability Research, 61</w:t>
      </w:r>
      <w:r>
        <w:t>(5), 399-410.</w:t>
      </w:r>
    </w:p>
    <w:p w:rsidR="00EA1F74" w:rsidRDefault="00FC1CE8" w:rsidP="004E7E6E">
      <w:pPr>
        <w:pStyle w:val="BodyText"/>
      </w:pPr>
      <w:r>
        <w:t>Williamson, H. J., Contreras, G. M., Rodriguez, E. S., Smith, J. M., &amp; Perkins, E. A. (2017). Health care access for adults with intellectual and developmental</w:t>
      </w:r>
      <w:r w:rsidR="004E7E6E">
        <w:t xml:space="preserve"> </w:t>
      </w:r>
      <w:r>
        <w:t xml:space="preserve">disabilities: a scoping review. </w:t>
      </w:r>
      <w:r>
        <w:rPr>
          <w:i/>
        </w:rPr>
        <w:t>OTJR: Occupation, Participation and Health, 37</w:t>
      </w:r>
      <w:r>
        <w:t>(4), 227-236.</w:t>
      </w:r>
    </w:p>
    <w:p w:rsidR="00EA1F74" w:rsidRDefault="00FC1CE8">
      <w:pPr>
        <w:spacing w:before="71" w:line="360" w:lineRule="auto"/>
        <w:ind w:left="1453" w:right="1155" w:hanging="720"/>
        <w:rPr>
          <w:sz w:val="24"/>
        </w:rPr>
      </w:pPr>
      <w:r>
        <w:rPr>
          <w:sz w:val="24"/>
        </w:rPr>
        <w:t xml:space="preserve">Wilson, N. J., Lin, Z., Villarosa, A., &amp; George, A. (2018). Oral health status and reported oral health problems in people with intellectual disability: A literature review. </w:t>
      </w:r>
      <w:r>
        <w:rPr>
          <w:i/>
          <w:sz w:val="24"/>
        </w:rPr>
        <w:t xml:space="preserve">Journal of Intellectual &amp; Developmental Disability, </w:t>
      </w:r>
      <w:r>
        <w:rPr>
          <w:sz w:val="24"/>
        </w:rPr>
        <w:t>1-13.</w:t>
      </w:r>
    </w:p>
    <w:p w:rsidR="00EA1F74" w:rsidRDefault="00FC1CE8" w:rsidP="00625DA1">
      <w:pPr>
        <w:pStyle w:val="BodyText"/>
      </w:pPr>
      <w:r>
        <w:t>Woolfenden, S., Sarkozy, V., Ridley, G., Coory, M., &amp; Williams, K. (2012). A systematic review of two outcomes in autism spectrum disorder: Epilepsy and mortality.</w:t>
      </w:r>
    </w:p>
    <w:p w:rsidR="00EA1F74" w:rsidRDefault="00FC1CE8">
      <w:pPr>
        <w:spacing w:line="268" w:lineRule="exact"/>
        <w:ind w:left="1453"/>
        <w:rPr>
          <w:sz w:val="24"/>
        </w:rPr>
      </w:pPr>
      <w:r>
        <w:rPr>
          <w:i/>
          <w:sz w:val="24"/>
        </w:rPr>
        <w:t>Developmental Medicine &amp; Child Neurology, 54</w:t>
      </w:r>
      <w:r>
        <w:rPr>
          <w:sz w:val="24"/>
        </w:rPr>
        <w:t>(4), 306–312.</w:t>
      </w:r>
    </w:p>
    <w:p w:rsidR="00EA1F74" w:rsidRDefault="00FC1CE8">
      <w:pPr>
        <w:spacing w:before="204" w:line="360" w:lineRule="auto"/>
        <w:ind w:left="1453" w:right="1368" w:hanging="720"/>
        <w:rPr>
          <w:i/>
          <w:sz w:val="24"/>
        </w:rPr>
      </w:pPr>
      <w:r>
        <w:rPr>
          <w:sz w:val="24"/>
        </w:rPr>
        <w:t xml:space="preserve">Ziegler, J., &amp; Spivack, E. (2018). Nutritional and dental issues in patients with intellectual and developmental disabilities. </w:t>
      </w:r>
      <w:r>
        <w:rPr>
          <w:i/>
          <w:sz w:val="24"/>
        </w:rPr>
        <w:t>The Journal of the American Dental</w:t>
      </w:r>
    </w:p>
    <w:p w:rsidR="00EA1F74" w:rsidRDefault="00FC1CE8">
      <w:pPr>
        <w:spacing w:line="269" w:lineRule="exact"/>
        <w:ind w:left="1453"/>
        <w:rPr>
          <w:sz w:val="24"/>
        </w:rPr>
      </w:pPr>
      <w:r>
        <w:rPr>
          <w:i/>
          <w:sz w:val="24"/>
        </w:rPr>
        <w:t>Association</w:t>
      </w:r>
      <w:r>
        <w:rPr>
          <w:sz w:val="24"/>
        </w:rPr>
        <w:t xml:space="preserve">, </w:t>
      </w:r>
      <w:r>
        <w:rPr>
          <w:i/>
          <w:sz w:val="24"/>
        </w:rPr>
        <w:t>149</w:t>
      </w:r>
      <w:r>
        <w:rPr>
          <w:sz w:val="24"/>
        </w:rPr>
        <w:t>(4), 317-321.</w:t>
      </w:r>
    </w:p>
    <w:sectPr w:rsidR="00EA1F74" w:rsidSect="00FA5D6D">
      <w:pgSz w:w="11900" w:h="16840"/>
      <w:pgMar w:top="1600" w:right="260" w:bottom="1460" w:left="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B4" w:rsidRDefault="002B53B4">
      <w:r>
        <w:separator/>
      </w:r>
    </w:p>
  </w:endnote>
  <w:endnote w:type="continuationSeparator" w:id="0">
    <w:p w:rsidR="002B53B4" w:rsidRDefault="002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42" w:rsidRDefault="00096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42" w:rsidRDefault="00096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42" w:rsidRDefault="00096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E8" w:rsidRDefault="00A75F8E" w:rsidP="00FF66C4">
    <w:pPr>
      <w:pStyle w:val="BodyText"/>
      <w:tabs>
        <w:tab w:val="clear" w:pos="1134"/>
        <w:tab w:val="left" w:pos="1843"/>
        <w:tab w:val="left" w:pos="8843"/>
        <w:tab w:val="right" w:pos="10206"/>
      </w:tabs>
      <w:spacing w:line="240" w:lineRule="auto"/>
      <w:ind w:left="731" w:right="1179"/>
      <w:jc w:val="center"/>
      <w:rPr>
        <w:sz w:val="20"/>
      </w:rPr>
    </w:pPr>
    <w:r>
      <w:rPr>
        <w:sz w:val="20"/>
      </w:rPr>
      <w:tab/>
    </w:r>
    <w:r w:rsidR="00F757E8" w:rsidRPr="00CB629F">
      <w:rPr>
        <w:noProof/>
        <w:position w:val="-30"/>
        <w:lang w:val="en-AU" w:eastAsia="en-AU"/>
      </w:rPr>
      <w:drawing>
        <wp:inline distT="0" distB="0" distL="0" distR="0" wp14:anchorId="29F10CC1" wp14:editId="1F830D93">
          <wp:extent cx="4105275" cy="723900"/>
          <wp:effectExtent l="0" t="0" r="9525" b="0"/>
          <wp:docPr id="5" name="image2.png" descr="University of New South Wales and Department of Developmental Disability Neuropsychiatry" title="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5275" cy="723900"/>
                  </a:xfrm>
                  <a:prstGeom prst="rect">
                    <a:avLst/>
                  </a:prstGeom>
                </pic:spPr>
              </pic:pic>
            </a:graphicData>
          </a:graphic>
        </wp:inline>
      </w:drawing>
    </w:r>
    <w:r w:rsidR="00FF66C4">
      <w:rPr>
        <w:sz w:val="20"/>
      </w:rPr>
      <w:tab/>
    </w:r>
    <w:r w:rsidR="00FF66C4">
      <w:rPr>
        <w:sz w:val="20"/>
      </w:rPr>
      <w:tab/>
    </w:r>
    <w:r w:rsidR="00F757E8">
      <w:rPr>
        <w:noProof/>
        <w:lang w:val="en-AU" w:eastAsia="en-AU"/>
      </w:rPr>
      <mc:AlternateContent>
        <mc:Choice Requires="wps">
          <w:drawing>
            <wp:inline distT="0" distB="0" distL="0" distR="0">
              <wp:extent cx="560294" cy="249555"/>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94" cy="249555"/>
                      </a:xfrm>
                      <a:prstGeom prst="rect">
                        <a:avLst/>
                      </a:prstGeom>
                      <a:solidFill>
                        <a:schemeClr val="tx1">
                          <a:lumMod val="75000"/>
                          <a:lumOff val="25000"/>
                        </a:schemeClr>
                      </a:solidFill>
                      <a:ln>
                        <a:noFill/>
                      </a:ln>
                      <a:extLst/>
                    </wps:spPr>
                    <wps:txbx>
                      <w:txbxContent>
                        <w:p w:rsidR="00F757E8" w:rsidRDefault="00F757E8">
                          <w:pPr>
                            <w:spacing w:before="13"/>
                            <w:ind w:left="60"/>
                            <w:rPr>
                              <w:sz w:val="16"/>
                            </w:rPr>
                          </w:pPr>
                          <w:r>
                            <w:fldChar w:fldCharType="begin"/>
                          </w:r>
                          <w:r>
                            <w:rPr>
                              <w:color w:val="FFFFFF"/>
                              <w:sz w:val="16"/>
                            </w:rPr>
                            <w:instrText xml:space="preserve"> PAGE </w:instrText>
                          </w:r>
                          <w:r>
                            <w:fldChar w:fldCharType="separate"/>
                          </w:r>
                          <w:r w:rsidR="00096242">
                            <w:rPr>
                              <w:noProof/>
                              <w:color w:val="FFFFFF"/>
                              <w:sz w:val="16"/>
                            </w:rPr>
                            <w:t>122</w:t>
                          </w:r>
                          <w:r>
                            <w:fldChar w:fldCharType="end"/>
                          </w:r>
                        </w:p>
                      </w:txbxContent>
                    </wps:txbx>
                    <wps:bodyPr rot="0" vert="horz" wrap="square" lIns="0" tIns="0" rIns="0" bIns="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44.1pt;height:1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" fillcolor="#404040 [2429]" stroked="f">
              <v:textbox inset="0,0,0,0">
                <w:txbxContent>
                  <w:p w:rsidR="00F757E8" w:rsidRDefault="00F757E8">
                    <w:pPr>
                      <w:spacing w:before="13"/>
                      <w:ind w:left="60"/>
                      <w:rPr>
                        <w:sz w:val="16"/>
                      </w:rPr>
                    </w:pPr>
                    <w:r>
                      <w:fldChar w:fldCharType="begin"/>
                    </w:r>
                    <w:r>
                      <w:rPr>
                        <w:color w:val="FFFFFF"/>
                        <w:sz w:val="16"/>
                      </w:rPr>
                      <w:instrText xml:space="preserve"> PAGE </w:instrText>
                    </w:r>
                    <w:r>
                      <w:fldChar w:fldCharType="separate"/>
                    </w:r>
                    <w:r w:rsidR="00096242">
                      <w:rPr>
                        <w:noProof/>
                        <w:color w:val="FFFFFF"/>
                        <w:sz w:val="16"/>
                      </w:rPr>
                      <w:t>122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B4" w:rsidRDefault="002B53B4">
      <w:r>
        <w:separator/>
      </w:r>
    </w:p>
  </w:footnote>
  <w:footnote w:type="continuationSeparator" w:id="0">
    <w:p w:rsidR="002B53B4" w:rsidRDefault="002B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42" w:rsidRDefault="00096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42" w:rsidRDefault="0009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242" w:rsidRDefault="0009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B05"/>
    <w:multiLevelType w:val="hybridMultilevel"/>
    <w:tmpl w:val="10B43236"/>
    <w:lvl w:ilvl="0" w:tplc="88EA1D88">
      <w:numFmt w:val="bullet"/>
      <w:lvlText w:val=""/>
      <w:lvlJc w:val="left"/>
      <w:pPr>
        <w:ind w:left="467" w:hanging="357"/>
      </w:pPr>
      <w:rPr>
        <w:rFonts w:ascii="Symbol" w:eastAsia="Symbol" w:hAnsi="Symbol" w:cs="Symbol" w:hint="default"/>
        <w:w w:val="103"/>
        <w:sz w:val="19"/>
        <w:szCs w:val="19"/>
      </w:rPr>
    </w:lvl>
    <w:lvl w:ilvl="1" w:tplc="57364BA2">
      <w:numFmt w:val="bullet"/>
      <w:lvlText w:val="o"/>
      <w:lvlJc w:val="left"/>
      <w:pPr>
        <w:ind w:left="830" w:hanging="360"/>
      </w:pPr>
      <w:rPr>
        <w:rFonts w:ascii="Courier New" w:eastAsia="Courier New" w:hAnsi="Courier New" w:cs="Courier New" w:hint="default"/>
        <w:w w:val="103"/>
        <w:sz w:val="19"/>
        <w:szCs w:val="19"/>
      </w:rPr>
    </w:lvl>
    <w:lvl w:ilvl="2" w:tplc="196EF1E4">
      <w:numFmt w:val="bullet"/>
      <w:lvlText w:val="•"/>
      <w:lvlJc w:val="left"/>
      <w:pPr>
        <w:ind w:left="1805" w:hanging="360"/>
      </w:pPr>
      <w:rPr>
        <w:rFonts w:hint="default"/>
      </w:rPr>
    </w:lvl>
    <w:lvl w:ilvl="3" w:tplc="4380DAC8">
      <w:numFmt w:val="bullet"/>
      <w:lvlText w:val="•"/>
      <w:lvlJc w:val="left"/>
      <w:pPr>
        <w:ind w:left="2770" w:hanging="360"/>
      </w:pPr>
      <w:rPr>
        <w:rFonts w:hint="default"/>
      </w:rPr>
    </w:lvl>
    <w:lvl w:ilvl="4" w:tplc="ED86C396">
      <w:numFmt w:val="bullet"/>
      <w:lvlText w:val="•"/>
      <w:lvlJc w:val="left"/>
      <w:pPr>
        <w:ind w:left="3735" w:hanging="360"/>
      </w:pPr>
      <w:rPr>
        <w:rFonts w:hint="default"/>
      </w:rPr>
    </w:lvl>
    <w:lvl w:ilvl="5" w:tplc="EF14741E">
      <w:numFmt w:val="bullet"/>
      <w:lvlText w:val="•"/>
      <w:lvlJc w:val="left"/>
      <w:pPr>
        <w:ind w:left="4700" w:hanging="360"/>
      </w:pPr>
      <w:rPr>
        <w:rFonts w:hint="default"/>
      </w:rPr>
    </w:lvl>
    <w:lvl w:ilvl="6" w:tplc="319A55CA">
      <w:numFmt w:val="bullet"/>
      <w:lvlText w:val="•"/>
      <w:lvlJc w:val="left"/>
      <w:pPr>
        <w:ind w:left="5666" w:hanging="360"/>
      </w:pPr>
      <w:rPr>
        <w:rFonts w:hint="default"/>
      </w:rPr>
    </w:lvl>
    <w:lvl w:ilvl="7" w:tplc="914EC006">
      <w:numFmt w:val="bullet"/>
      <w:lvlText w:val="•"/>
      <w:lvlJc w:val="left"/>
      <w:pPr>
        <w:ind w:left="6631" w:hanging="360"/>
      </w:pPr>
      <w:rPr>
        <w:rFonts w:hint="default"/>
      </w:rPr>
    </w:lvl>
    <w:lvl w:ilvl="8" w:tplc="21C005E2">
      <w:numFmt w:val="bullet"/>
      <w:lvlText w:val="•"/>
      <w:lvlJc w:val="left"/>
      <w:pPr>
        <w:ind w:left="7596" w:hanging="360"/>
      </w:pPr>
      <w:rPr>
        <w:rFonts w:hint="default"/>
      </w:rPr>
    </w:lvl>
  </w:abstractNum>
  <w:abstractNum w:abstractNumId="1" w15:restartNumberingAfterBreak="0">
    <w:nsid w:val="01FB26C7"/>
    <w:multiLevelType w:val="hybridMultilevel"/>
    <w:tmpl w:val="CB4843F4"/>
    <w:lvl w:ilvl="0" w:tplc="43C670CA">
      <w:numFmt w:val="bullet"/>
      <w:lvlText w:val=""/>
      <w:lvlJc w:val="left"/>
      <w:pPr>
        <w:ind w:left="464" w:hanging="360"/>
      </w:pPr>
      <w:rPr>
        <w:rFonts w:ascii="Symbol" w:eastAsia="Symbol" w:hAnsi="Symbol" w:cs="Symbol" w:hint="default"/>
        <w:w w:val="103"/>
        <w:sz w:val="19"/>
        <w:szCs w:val="19"/>
      </w:rPr>
    </w:lvl>
    <w:lvl w:ilvl="1" w:tplc="6BCCCC9A">
      <w:numFmt w:val="bullet"/>
      <w:lvlText w:val="•"/>
      <w:lvlJc w:val="left"/>
      <w:pPr>
        <w:ind w:left="993" w:hanging="360"/>
      </w:pPr>
      <w:rPr>
        <w:rFonts w:hint="default"/>
      </w:rPr>
    </w:lvl>
    <w:lvl w:ilvl="2" w:tplc="EC8A114C">
      <w:numFmt w:val="bullet"/>
      <w:lvlText w:val="•"/>
      <w:lvlJc w:val="left"/>
      <w:pPr>
        <w:ind w:left="1526" w:hanging="360"/>
      </w:pPr>
      <w:rPr>
        <w:rFonts w:hint="default"/>
      </w:rPr>
    </w:lvl>
    <w:lvl w:ilvl="3" w:tplc="D4E84676">
      <w:numFmt w:val="bullet"/>
      <w:lvlText w:val="•"/>
      <w:lvlJc w:val="left"/>
      <w:pPr>
        <w:ind w:left="2059" w:hanging="360"/>
      </w:pPr>
      <w:rPr>
        <w:rFonts w:hint="default"/>
      </w:rPr>
    </w:lvl>
    <w:lvl w:ilvl="4" w:tplc="819A6C8C">
      <w:numFmt w:val="bullet"/>
      <w:lvlText w:val="•"/>
      <w:lvlJc w:val="left"/>
      <w:pPr>
        <w:ind w:left="2593" w:hanging="360"/>
      </w:pPr>
      <w:rPr>
        <w:rFonts w:hint="default"/>
      </w:rPr>
    </w:lvl>
    <w:lvl w:ilvl="5" w:tplc="C010C864">
      <w:numFmt w:val="bullet"/>
      <w:lvlText w:val="•"/>
      <w:lvlJc w:val="left"/>
      <w:pPr>
        <w:ind w:left="3126" w:hanging="360"/>
      </w:pPr>
      <w:rPr>
        <w:rFonts w:hint="default"/>
      </w:rPr>
    </w:lvl>
    <w:lvl w:ilvl="6" w:tplc="27F2BBF6">
      <w:numFmt w:val="bullet"/>
      <w:lvlText w:val="•"/>
      <w:lvlJc w:val="left"/>
      <w:pPr>
        <w:ind w:left="3659" w:hanging="360"/>
      </w:pPr>
      <w:rPr>
        <w:rFonts w:hint="default"/>
      </w:rPr>
    </w:lvl>
    <w:lvl w:ilvl="7" w:tplc="3DA08BC4">
      <w:numFmt w:val="bullet"/>
      <w:lvlText w:val="•"/>
      <w:lvlJc w:val="left"/>
      <w:pPr>
        <w:ind w:left="4193" w:hanging="360"/>
      </w:pPr>
      <w:rPr>
        <w:rFonts w:hint="default"/>
      </w:rPr>
    </w:lvl>
    <w:lvl w:ilvl="8" w:tplc="60341FA6">
      <w:numFmt w:val="bullet"/>
      <w:lvlText w:val="•"/>
      <w:lvlJc w:val="left"/>
      <w:pPr>
        <w:ind w:left="4726" w:hanging="360"/>
      </w:pPr>
      <w:rPr>
        <w:rFonts w:hint="default"/>
      </w:rPr>
    </w:lvl>
  </w:abstractNum>
  <w:abstractNum w:abstractNumId="2" w15:restartNumberingAfterBreak="0">
    <w:nsid w:val="02227F9D"/>
    <w:multiLevelType w:val="hybridMultilevel"/>
    <w:tmpl w:val="199E358C"/>
    <w:lvl w:ilvl="0" w:tplc="BB320612">
      <w:numFmt w:val="bullet"/>
      <w:lvlText w:val=""/>
      <w:lvlJc w:val="left"/>
      <w:pPr>
        <w:ind w:left="470" w:hanging="360"/>
      </w:pPr>
      <w:rPr>
        <w:rFonts w:ascii="Symbol" w:eastAsia="Symbol" w:hAnsi="Symbol" w:cs="Symbol" w:hint="default"/>
        <w:w w:val="103"/>
        <w:sz w:val="19"/>
        <w:szCs w:val="19"/>
      </w:rPr>
    </w:lvl>
    <w:lvl w:ilvl="1" w:tplc="52DE726A">
      <w:numFmt w:val="bullet"/>
      <w:lvlText w:val="•"/>
      <w:lvlJc w:val="left"/>
      <w:pPr>
        <w:ind w:left="1408" w:hanging="360"/>
      </w:pPr>
      <w:rPr>
        <w:rFonts w:hint="default"/>
      </w:rPr>
    </w:lvl>
    <w:lvl w:ilvl="2" w:tplc="A9F0E89E">
      <w:numFmt w:val="bullet"/>
      <w:lvlText w:val="•"/>
      <w:lvlJc w:val="left"/>
      <w:pPr>
        <w:ind w:left="2336" w:hanging="360"/>
      </w:pPr>
      <w:rPr>
        <w:rFonts w:hint="default"/>
      </w:rPr>
    </w:lvl>
    <w:lvl w:ilvl="3" w:tplc="7902D768">
      <w:numFmt w:val="bullet"/>
      <w:lvlText w:val="•"/>
      <w:lvlJc w:val="left"/>
      <w:pPr>
        <w:ind w:left="3264" w:hanging="360"/>
      </w:pPr>
      <w:rPr>
        <w:rFonts w:hint="default"/>
      </w:rPr>
    </w:lvl>
    <w:lvl w:ilvl="4" w:tplc="62A85D2A">
      <w:numFmt w:val="bullet"/>
      <w:lvlText w:val="•"/>
      <w:lvlJc w:val="left"/>
      <w:pPr>
        <w:ind w:left="4192" w:hanging="360"/>
      </w:pPr>
      <w:rPr>
        <w:rFonts w:hint="default"/>
      </w:rPr>
    </w:lvl>
    <w:lvl w:ilvl="5" w:tplc="67CC812A">
      <w:numFmt w:val="bullet"/>
      <w:lvlText w:val="•"/>
      <w:lvlJc w:val="left"/>
      <w:pPr>
        <w:ind w:left="5121" w:hanging="360"/>
      </w:pPr>
      <w:rPr>
        <w:rFonts w:hint="default"/>
      </w:rPr>
    </w:lvl>
    <w:lvl w:ilvl="6" w:tplc="A600BF2A">
      <w:numFmt w:val="bullet"/>
      <w:lvlText w:val="•"/>
      <w:lvlJc w:val="left"/>
      <w:pPr>
        <w:ind w:left="6049" w:hanging="360"/>
      </w:pPr>
      <w:rPr>
        <w:rFonts w:hint="default"/>
      </w:rPr>
    </w:lvl>
    <w:lvl w:ilvl="7" w:tplc="46B853C2">
      <w:numFmt w:val="bullet"/>
      <w:lvlText w:val="•"/>
      <w:lvlJc w:val="left"/>
      <w:pPr>
        <w:ind w:left="6977" w:hanging="360"/>
      </w:pPr>
      <w:rPr>
        <w:rFonts w:hint="default"/>
      </w:rPr>
    </w:lvl>
    <w:lvl w:ilvl="8" w:tplc="AD9CBC3A">
      <w:numFmt w:val="bullet"/>
      <w:lvlText w:val="•"/>
      <w:lvlJc w:val="left"/>
      <w:pPr>
        <w:ind w:left="7905" w:hanging="360"/>
      </w:pPr>
      <w:rPr>
        <w:rFonts w:hint="default"/>
      </w:rPr>
    </w:lvl>
  </w:abstractNum>
  <w:abstractNum w:abstractNumId="3" w15:restartNumberingAfterBreak="0">
    <w:nsid w:val="02D71D1E"/>
    <w:multiLevelType w:val="hybridMultilevel"/>
    <w:tmpl w:val="8786A9C2"/>
    <w:lvl w:ilvl="0" w:tplc="F6AEF39E">
      <w:numFmt w:val="bullet"/>
      <w:lvlText w:val=""/>
      <w:lvlJc w:val="left"/>
      <w:pPr>
        <w:ind w:left="470" w:hanging="360"/>
      </w:pPr>
      <w:rPr>
        <w:rFonts w:ascii="Symbol" w:eastAsia="Symbol" w:hAnsi="Symbol" w:cs="Symbol" w:hint="default"/>
        <w:w w:val="103"/>
        <w:sz w:val="19"/>
        <w:szCs w:val="19"/>
      </w:rPr>
    </w:lvl>
    <w:lvl w:ilvl="1" w:tplc="816CAAC8">
      <w:numFmt w:val="bullet"/>
      <w:lvlText w:val="•"/>
      <w:lvlJc w:val="left"/>
      <w:pPr>
        <w:ind w:left="1167" w:hanging="360"/>
      </w:pPr>
      <w:rPr>
        <w:rFonts w:hint="default"/>
      </w:rPr>
    </w:lvl>
    <w:lvl w:ilvl="2" w:tplc="312CDAF0">
      <w:numFmt w:val="bullet"/>
      <w:lvlText w:val="•"/>
      <w:lvlJc w:val="left"/>
      <w:pPr>
        <w:ind w:left="1854" w:hanging="360"/>
      </w:pPr>
      <w:rPr>
        <w:rFonts w:hint="default"/>
      </w:rPr>
    </w:lvl>
    <w:lvl w:ilvl="3" w:tplc="D00E66B2">
      <w:numFmt w:val="bullet"/>
      <w:lvlText w:val="•"/>
      <w:lvlJc w:val="left"/>
      <w:pPr>
        <w:ind w:left="2541" w:hanging="360"/>
      </w:pPr>
      <w:rPr>
        <w:rFonts w:hint="default"/>
      </w:rPr>
    </w:lvl>
    <w:lvl w:ilvl="4" w:tplc="113A3A0E">
      <w:numFmt w:val="bullet"/>
      <w:lvlText w:val="•"/>
      <w:lvlJc w:val="left"/>
      <w:pPr>
        <w:ind w:left="3229" w:hanging="360"/>
      </w:pPr>
      <w:rPr>
        <w:rFonts w:hint="default"/>
      </w:rPr>
    </w:lvl>
    <w:lvl w:ilvl="5" w:tplc="A4503A5A">
      <w:numFmt w:val="bullet"/>
      <w:lvlText w:val="•"/>
      <w:lvlJc w:val="left"/>
      <w:pPr>
        <w:ind w:left="3916" w:hanging="360"/>
      </w:pPr>
      <w:rPr>
        <w:rFonts w:hint="default"/>
      </w:rPr>
    </w:lvl>
    <w:lvl w:ilvl="6" w:tplc="F6420BC6">
      <w:numFmt w:val="bullet"/>
      <w:lvlText w:val="•"/>
      <w:lvlJc w:val="left"/>
      <w:pPr>
        <w:ind w:left="4603" w:hanging="360"/>
      </w:pPr>
      <w:rPr>
        <w:rFonts w:hint="default"/>
      </w:rPr>
    </w:lvl>
    <w:lvl w:ilvl="7" w:tplc="EBB07610">
      <w:numFmt w:val="bullet"/>
      <w:lvlText w:val="•"/>
      <w:lvlJc w:val="left"/>
      <w:pPr>
        <w:ind w:left="5291" w:hanging="360"/>
      </w:pPr>
      <w:rPr>
        <w:rFonts w:hint="default"/>
      </w:rPr>
    </w:lvl>
    <w:lvl w:ilvl="8" w:tplc="D62E2D2C">
      <w:numFmt w:val="bullet"/>
      <w:lvlText w:val="•"/>
      <w:lvlJc w:val="left"/>
      <w:pPr>
        <w:ind w:left="5978" w:hanging="360"/>
      </w:pPr>
      <w:rPr>
        <w:rFonts w:hint="default"/>
      </w:rPr>
    </w:lvl>
  </w:abstractNum>
  <w:abstractNum w:abstractNumId="4" w15:restartNumberingAfterBreak="0">
    <w:nsid w:val="041A79D2"/>
    <w:multiLevelType w:val="hybridMultilevel"/>
    <w:tmpl w:val="A5C037DC"/>
    <w:lvl w:ilvl="0" w:tplc="7C2AFD78">
      <w:numFmt w:val="bullet"/>
      <w:lvlText w:val=""/>
      <w:lvlJc w:val="left"/>
      <w:pPr>
        <w:ind w:left="465" w:hanging="360"/>
      </w:pPr>
      <w:rPr>
        <w:rFonts w:ascii="Symbol" w:eastAsia="Symbol" w:hAnsi="Symbol" w:cs="Symbol" w:hint="default"/>
        <w:w w:val="103"/>
        <w:sz w:val="19"/>
        <w:szCs w:val="19"/>
      </w:rPr>
    </w:lvl>
    <w:lvl w:ilvl="1" w:tplc="9B163FB4">
      <w:numFmt w:val="bullet"/>
      <w:lvlText w:val="•"/>
      <w:lvlJc w:val="left"/>
      <w:pPr>
        <w:ind w:left="1425" w:hanging="360"/>
      </w:pPr>
      <w:rPr>
        <w:rFonts w:hint="default"/>
      </w:rPr>
    </w:lvl>
    <w:lvl w:ilvl="2" w:tplc="384887E6">
      <w:numFmt w:val="bullet"/>
      <w:lvlText w:val="•"/>
      <w:lvlJc w:val="left"/>
      <w:pPr>
        <w:ind w:left="2390" w:hanging="360"/>
      </w:pPr>
      <w:rPr>
        <w:rFonts w:hint="default"/>
      </w:rPr>
    </w:lvl>
    <w:lvl w:ilvl="3" w:tplc="076C3ADE">
      <w:numFmt w:val="bullet"/>
      <w:lvlText w:val="•"/>
      <w:lvlJc w:val="left"/>
      <w:pPr>
        <w:ind w:left="3355" w:hanging="360"/>
      </w:pPr>
      <w:rPr>
        <w:rFonts w:hint="default"/>
      </w:rPr>
    </w:lvl>
    <w:lvl w:ilvl="4" w:tplc="A5CABD5A">
      <w:numFmt w:val="bullet"/>
      <w:lvlText w:val="•"/>
      <w:lvlJc w:val="left"/>
      <w:pPr>
        <w:ind w:left="4320" w:hanging="360"/>
      </w:pPr>
      <w:rPr>
        <w:rFonts w:hint="default"/>
      </w:rPr>
    </w:lvl>
    <w:lvl w:ilvl="5" w:tplc="D6D0AB20">
      <w:numFmt w:val="bullet"/>
      <w:lvlText w:val="•"/>
      <w:lvlJc w:val="left"/>
      <w:pPr>
        <w:ind w:left="5286" w:hanging="360"/>
      </w:pPr>
      <w:rPr>
        <w:rFonts w:hint="default"/>
      </w:rPr>
    </w:lvl>
    <w:lvl w:ilvl="6" w:tplc="86A030F6">
      <w:numFmt w:val="bullet"/>
      <w:lvlText w:val="•"/>
      <w:lvlJc w:val="left"/>
      <w:pPr>
        <w:ind w:left="6251" w:hanging="360"/>
      </w:pPr>
      <w:rPr>
        <w:rFonts w:hint="default"/>
      </w:rPr>
    </w:lvl>
    <w:lvl w:ilvl="7" w:tplc="B118627A">
      <w:numFmt w:val="bullet"/>
      <w:lvlText w:val="•"/>
      <w:lvlJc w:val="left"/>
      <w:pPr>
        <w:ind w:left="7216" w:hanging="360"/>
      </w:pPr>
      <w:rPr>
        <w:rFonts w:hint="default"/>
      </w:rPr>
    </w:lvl>
    <w:lvl w:ilvl="8" w:tplc="6220BC92">
      <w:numFmt w:val="bullet"/>
      <w:lvlText w:val="•"/>
      <w:lvlJc w:val="left"/>
      <w:pPr>
        <w:ind w:left="8181" w:hanging="360"/>
      </w:pPr>
      <w:rPr>
        <w:rFonts w:hint="default"/>
      </w:rPr>
    </w:lvl>
  </w:abstractNum>
  <w:abstractNum w:abstractNumId="5" w15:restartNumberingAfterBreak="0">
    <w:nsid w:val="0A1E53B9"/>
    <w:multiLevelType w:val="hybridMultilevel"/>
    <w:tmpl w:val="62C6B71A"/>
    <w:lvl w:ilvl="0" w:tplc="D34A79E8">
      <w:numFmt w:val="bullet"/>
      <w:lvlText w:val=""/>
      <w:lvlJc w:val="left"/>
      <w:pPr>
        <w:ind w:left="1515" w:hanging="357"/>
      </w:pPr>
      <w:rPr>
        <w:rFonts w:ascii="Symbol" w:eastAsia="Symbol" w:hAnsi="Symbol" w:cs="Symbol" w:hint="default"/>
        <w:w w:val="100"/>
        <w:sz w:val="24"/>
        <w:szCs w:val="24"/>
      </w:rPr>
    </w:lvl>
    <w:lvl w:ilvl="1" w:tplc="57D61C7C">
      <w:numFmt w:val="bullet"/>
      <w:lvlText w:val=""/>
      <w:lvlJc w:val="left"/>
      <w:pPr>
        <w:ind w:left="1813" w:hanging="360"/>
      </w:pPr>
      <w:rPr>
        <w:rFonts w:ascii="Symbol" w:eastAsia="Symbol" w:hAnsi="Symbol" w:cs="Symbol" w:hint="default"/>
        <w:w w:val="100"/>
        <w:sz w:val="24"/>
        <w:szCs w:val="24"/>
      </w:rPr>
    </w:lvl>
    <w:lvl w:ilvl="2" w:tplc="3AF2D472">
      <w:numFmt w:val="bullet"/>
      <w:lvlText w:val="•"/>
      <w:lvlJc w:val="left"/>
      <w:pPr>
        <w:ind w:left="2895" w:hanging="360"/>
      </w:pPr>
      <w:rPr>
        <w:rFonts w:hint="default"/>
      </w:rPr>
    </w:lvl>
    <w:lvl w:ilvl="3" w:tplc="CFB6FDF4">
      <w:numFmt w:val="bullet"/>
      <w:lvlText w:val="•"/>
      <w:lvlJc w:val="left"/>
      <w:pPr>
        <w:ind w:left="3971" w:hanging="360"/>
      </w:pPr>
      <w:rPr>
        <w:rFonts w:hint="default"/>
      </w:rPr>
    </w:lvl>
    <w:lvl w:ilvl="4" w:tplc="2B3639C8">
      <w:numFmt w:val="bullet"/>
      <w:lvlText w:val="•"/>
      <w:lvlJc w:val="left"/>
      <w:pPr>
        <w:ind w:left="5046" w:hanging="360"/>
      </w:pPr>
      <w:rPr>
        <w:rFonts w:hint="default"/>
      </w:rPr>
    </w:lvl>
    <w:lvl w:ilvl="5" w:tplc="13A63C22">
      <w:numFmt w:val="bullet"/>
      <w:lvlText w:val="•"/>
      <w:lvlJc w:val="left"/>
      <w:pPr>
        <w:ind w:left="6122" w:hanging="360"/>
      </w:pPr>
      <w:rPr>
        <w:rFonts w:hint="default"/>
      </w:rPr>
    </w:lvl>
    <w:lvl w:ilvl="6" w:tplc="65480A7C">
      <w:numFmt w:val="bullet"/>
      <w:lvlText w:val="•"/>
      <w:lvlJc w:val="left"/>
      <w:pPr>
        <w:ind w:left="7197" w:hanging="360"/>
      </w:pPr>
      <w:rPr>
        <w:rFonts w:hint="default"/>
      </w:rPr>
    </w:lvl>
    <w:lvl w:ilvl="7" w:tplc="B1FE0446">
      <w:numFmt w:val="bullet"/>
      <w:lvlText w:val="•"/>
      <w:lvlJc w:val="left"/>
      <w:pPr>
        <w:ind w:left="8273" w:hanging="360"/>
      </w:pPr>
      <w:rPr>
        <w:rFonts w:hint="default"/>
      </w:rPr>
    </w:lvl>
    <w:lvl w:ilvl="8" w:tplc="38FA33E0">
      <w:numFmt w:val="bullet"/>
      <w:lvlText w:val="•"/>
      <w:lvlJc w:val="left"/>
      <w:pPr>
        <w:ind w:left="9348" w:hanging="360"/>
      </w:pPr>
      <w:rPr>
        <w:rFonts w:hint="default"/>
      </w:rPr>
    </w:lvl>
  </w:abstractNum>
  <w:abstractNum w:abstractNumId="6" w15:restartNumberingAfterBreak="0">
    <w:nsid w:val="0A436F3B"/>
    <w:multiLevelType w:val="hybridMultilevel"/>
    <w:tmpl w:val="0338B99C"/>
    <w:lvl w:ilvl="0" w:tplc="4B16DAB2">
      <w:numFmt w:val="bullet"/>
      <w:lvlText w:val=""/>
      <w:lvlJc w:val="left"/>
      <w:pPr>
        <w:ind w:left="470" w:hanging="360"/>
      </w:pPr>
      <w:rPr>
        <w:rFonts w:ascii="Symbol" w:eastAsia="Symbol" w:hAnsi="Symbol" w:cs="Symbol" w:hint="default"/>
        <w:w w:val="103"/>
        <w:sz w:val="19"/>
        <w:szCs w:val="19"/>
      </w:rPr>
    </w:lvl>
    <w:lvl w:ilvl="1" w:tplc="6BFE470C">
      <w:numFmt w:val="bullet"/>
      <w:lvlText w:val="•"/>
      <w:lvlJc w:val="left"/>
      <w:pPr>
        <w:ind w:left="1337" w:hanging="360"/>
      </w:pPr>
      <w:rPr>
        <w:rFonts w:hint="default"/>
      </w:rPr>
    </w:lvl>
    <w:lvl w:ilvl="2" w:tplc="233AA930">
      <w:numFmt w:val="bullet"/>
      <w:lvlText w:val="•"/>
      <w:lvlJc w:val="left"/>
      <w:pPr>
        <w:ind w:left="2194" w:hanging="360"/>
      </w:pPr>
      <w:rPr>
        <w:rFonts w:hint="default"/>
      </w:rPr>
    </w:lvl>
    <w:lvl w:ilvl="3" w:tplc="40A43788">
      <w:numFmt w:val="bullet"/>
      <w:lvlText w:val="•"/>
      <w:lvlJc w:val="left"/>
      <w:pPr>
        <w:ind w:left="3051" w:hanging="360"/>
      </w:pPr>
      <w:rPr>
        <w:rFonts w:hint="default"/>
      </w:rPr>
    </w:lvl>
    <w:lvl w:ilvl="4" w:tplc="B442C9CC">
      <w:numFmt w:val="bullet"/>
      <w:lvlText w:val="•"/>
      <w:lvlJc w:val="left"/>
      <w:pPr>
        <w:ind w:left="3908" w:hanging="360"/>
      </w:pPr>
      <w:rPr>
        <w:rFonts w:hint="default"/>
      </w:rPr>
    </w:lvl>
    <w:lvl w:ilvl="5" w:tplc="2BEEC37C">
      <w:numFmt w:val="bullet"/>
      <w:lvlText w:val="•"/>
      <w:lvlJc w:val="left"/>
      <w:pPr>
        <w:ind w:left="4766" w:hanging="360"/>
      </w:pPr>
      <w:rPr>
        <w:rFonts w:hint="default"/>
      </w:rPr>
    </w:lvl>
    <w:lvl w:ilvl="6" w:tplc="14A8DF68">
      <w:numFmt w:val="bullet"/>
      <w:lvlText w:val="•"/>
      <w:lvlJc w:val="left"/>
      <w:pPr>
        <w:ind w:left="5623" w:hanging="360"/>
      </w:pPr>
      <w:rPr>
        <w:rFonts w:hint="default"/>
      </w:rPr>
    </w:lvl>
    <w:lvl w:ilvl="7" w:tplc="4672F91A">
      <w:numFmt w:val="bullet"/>
      <w:lvlText w:val="•"/>
      <w:lvlJc w:val="left"/>
      <w:pPr>
        <w:ind w:left="6480" w:hanging="360"/>
      </w:pPr>
      <w:rPr>
        <w:rFonts w:hint="default"/>
      </w:rPr>
    </w:lvl>
    <w:lvl w:ilvl="8" w:tplc="FDDEC5C4">
      <w:numFmt w:val="bullet"/>
      <w:lvlText w:val="•"/>
      <w:lvlJc w:val="left"/>
      <w:pPr>
        <w:ind w:left="7337" w:hanging="360"/>
      </w:pPr>
      <w:rPr>
        <w:rFonts w:hint="default"/>
      </w:rPr>
    </w:lvl>
  </w:abstractNum>
  <w:abstractNum w:abstractNumId="7" w15:restartNumberingAfterBreak="0">
    <w:nsid w:val="0A7607B9"/>
    <w:multiLevelType w:val="hybridMultilevel"/>
    <w:tmpl w:val="F34410E2"/>
    <w:lvl w:ilvl="0" w:tplc="115C67F4">
      <w:numFmt w:val="bullet"/>
      <w:lvlText w:val=""/>
      <w:lvlJc w:val="left"/>
      <w:pPr>
        <w:ind w:left="470" w:hanging="360"/>
      </w:pPr>
      <w:rPr>
        <w:rFonts w:ascii="Symbol" w:eastAsia="Symbol" w:hAnsi="Symbol" w:cs="Symbol" w:hint="default"/>
        <w:w w:val="103"/>
        <w:sz w:val="19"/>
        <w:szCs w:val="19"/>
      </w:rPr>
    </w:lvl>
    <w:lvl w:ilvl="1" w:tplc="6D0A9C06">
      <w:numFmt w:val="bullet"/>
      <w:lvlText w:val="•"/>
      <w:lvlJc w:val="left"/>
      <w:pPr>
        <w:ind w:left="1384" w:hanging="360"/>
      </w:pPr>
      <w:rPr>
        <w:rFonts w:hint="default"/>
      </w:rPr>
    </w:lvl>
    <w:lvl w:ilvl="2" w:tplc="1A5807A4">
      <w:numFmt w:val="bullet"/>
      <w:lvlText w:val="•"/>
      <w:lvlJc w:val="left"/>
      <w:pPr>
        <w:ind w:left="2289" w:hanging="360"/>
      </w:pPr>
      <w:rPr>
        <w:rFonts w:hint="default"/>
      </w:rPr>
    </w:lvl>
    <w:lvl w:ilvl="3" w:tplc="9CA03EB8">
      <w:numFmt w:val="bullet"/>
      <w:lvlText w:val="•"/>
      <w:lvlJc w:val="left"/>
      <w:pPr>
        <w:ind w:left="3194" w:hanging="360"/>
      </w:pPr>
      <w:rPr>
        <w:rFonts w:hint="default"/>
      </w:rPr>
    </w:lvl>
    <w:lvl w:ilvl="4" w:tplc="8520BDD2">
      <w:numFmt w:val="bullet"/>
      <w:lvlText w:val="•"/>
      <w:lvlJc w:val="left"/>
      <w:pPr>
        <w:ind w:left="4098" w:hanging="360"/>
      </w:pPr>
      <w:rPr>
        <w:rFonts w:hint="default"/>
      </w:rPr>
    </w:lvl>
    <w:lvl w:ilvl="5" w:tplc="B19E7E50">
      <w:numFmt w:val="bullet"/>
      <w:lvlText w:val="•"/>
      <w:lvlJc w:val="left"/>
      <w:pPr>
        <w:ind w:left="5003" w:hanging="360"/>
      </w:pPr>
      <w:rPr>
        <w:rFonts w:hint="default"/>
      </w:rPr>
    </w:lvl>
    <w:lvl w:ilvl="6" w:tplc="39CC99A2">
      <w:numFmt w:val="bullet"/>
      <w:lvlText w:val="•"/>
      <w:lvlJc w:val="left"/>
      <w:pPr>
        <w:ind w:left="5908" w:hanging="360"/>
      </w:pPr>
      <w:rPr>
        <w:rFonts w:hint="default"/>
      </w:rPr>
    </w:lvl>
    <w:lvl w:ilvl="7" w:tplc="6398192C">
      <w:numFmt w:val="bullet"/>
      <w:lvlText w:val="•"/>
      <w:lvlJc w:val="left"/>
      <w:pPr>
        <w:ind w:left="6812" w:hanging="360"/>
      </w:pPr>
      <w:rPr>
        <w:rFonts w:hint="default"/>
      </w:rPr>
    </w:lvl>
    <w:lvl w:ilvl="8" w:tplc="ED44F204">
      <w:numFmt w:val="bullet"/>
      <w:lvlText w:val="•"/>
      <w:lvlJc w:val="left"/>
      <w:pPr>
        <w:ind w:left="7717" w:hanging="360"/>
      </w:pPr>
      <w:rPr>
        <w:rFonts w:hint="default"/>
      </w:rPr>
    </w:lvl>
  </w:abstractNum>
  <w:abstractNum w:abstractNumId="8" w15:restartNumberingAfterBreak="0">
    <w:nsid w:val="0C750C20"/>
    <w:multiLevelType w:val="hybridMultilevel"/>
    <w:tmpl w:val="BC5C84DC"/>
    <w:lvl w:ilvl="0" w:tplc="88D24418">
      <w:numFmt w:val="bullet"/>
      <w:lvlText w:val=""/>
      <w:lvlJc w:val="left"/>
      <w:pPr>
        <w:ind w:left="465" w:hanging="360"/>
      </w:pPr>
      <w:rPr>
        <w:rFonts w:ascii="Symbol" w:eastAsia="Symbol" w:hAnsi="Symbol" w:cs="Symbol" w:hint="default"/>
        <w:w w:val="103"/>
        <w:sz w:val="19"/>
        <w:szCs w:val="19"/>
      </w:rPr>
    </w:lvl>
    <w:lvl w:ilvl="1" w:tplc="A472253C">
      <w:numFmt w:val="bullet"/>
      <w:lvlText w:val="•"/>
      <w:lvlJc w:val="left"/>
      <w:pPr>
        <w:ind w:left="1418" w:hanging="360"/>
      </w:pPr>
      <w:rPr>
        <w:rFonts w:hint="default"/>
      </w:rPr>
    </w:lvl>
    <w:lvl w:ilvl="2" w:tplc="D3BC8820">
      <w:numFmt w:val="bullet"/>
      <w:lvlText w:val="•"/>
      <w:lvlJc w:val="left"/>
      <w:pPr>
        <w:ind w:left="2377" w:hanging="360"/>
      </w:pPr>
      <w:rPr>
        <w:rFonts w:hint="default"/>
      </w:rPr>
    </w:lvl>
    <w:lvl w:ilvl="3" w:tplc="D6AADA92">
      <w:numFmt w:val="bullet"/>
      <w:lvlText w:val="•"/>
      <w:lvlJc w:val="left"/>
      <w:pPr>
        <w:ind w:left="3335" w:hanging="360"/>
      </w:pPr>
      <w:rPr>
        <w:rFonts w:hint="default"/>
      </w:rPr>
    </w:lvl>
    <w:lvl w:ilvl="4" w:tplc="C6D8CA50">
      <w:numFmt w:val="bullet"/>
      <w:lvlText w:val="•"/>
      <w:lvlJc w:val="left"/>
      <w:pPr>
        <w:ind w:left="4294" w:hanging="360"/>
      </w:pPr>
      <w:rPr>
        <w:rFonts w:hint="default"/>
      </w:rPr>
    </w:lvl>
    <w:lvl w:ilvl="5" w:tplc="F3DE41AA">
      <w:numFmt w:val="bullet"/>
      <w:lvlText w:val="•"/>
      <w:lvlJc w:val="left"/>
      <w:pPr>
        <w:ind w:left="5253" w:hanging="360"/>
      </w:pPr>
      <w:rPr>
        <w:rFonts w:hint="default"/>
      </w:rPr>
    </w:lvl>
    <w:lvl w:ilvl="6" w:tplc="8DB029D4">
      <w:numFmt w:val="bullet"/>
      <w:lvlText w:val="•"/>
      <w:lvlJc w:val="left"/>
      <w:pPr>
        <w:ind w:left="6211" w:hanging="360"/>
      </w:pPr>
      <w:rPr>
        <w:rFonts w:hint="default"/>
      </w:rPr>
    </w:lvl>
    <w:lvl w:ilvl="7" w:tplc="07582F80">
      <w:numFmt w:val="bullet"/>
      <w:lvlText w:val="•"/>
      <w:lvlJc w:val="left"/>
      <w:pPr>
        <w:ind w:left="7170" w:hanging="360"/>
      </w:pPr>
      <w:rPr>
        <w:rFonts w:hint="default"/>
      </w:rPr>
    </w:lvl>
    <w:lvl w:ilvl="8" w:tplc="C33C5FE2">
      <w:numFmt w:val="bullet"/>
      <w:lvlText w:val="•"/>
      <w:lvlJc w:val="left"/>
      <w:pPr>
        <w:ind w:left="8128" w:hanging="360"/>
      </w:pPr>
      <w:rPr>
        <w:rFonts w:hint="default"/>
      </w:rPr>
    </w:lvl>
  </w:abstractNum>
  <w:abstractNum w:abstractNumId="9" w15:restartNumberingAfterBreak="0">
    <w:nsid w:val="0CB0010B"/>
    <w:multiLevelType w:val="hybridMultilevel"/>
    <w:tmpl w:val="4622FB76"/>
    <w:lvl w:ilvl="0" w:tplc="80A014D2">
      <w:numFmt w:val="bullet"/>
      <w:lvlText w:val=""/>
      <w:lvlJc w:val="left"/>
      <w:pPr>
        <w:ind w:left="470" w:hanging="360"/>
      </w:pPr>
      <w:rPr>
        <w:rFonts w:ascii="Symbol" w:eastAsia="Symbol" w:hAnsi="Symbol" w:cs="Symbol" w:hint="default"/>
        <w:w w:val="103"/>
        <w:sz w:val="19"/>
        <w:szCs w:val="19"/>
      </w:rPr>
    </w:lvl>
    <w:lvl w:ilvl="1" w:tplc="10ACF428">
      <w:numFmt w:val="bullet"/>
      <w:lvlText w:val="•"/>
      <w:lvlJc w:val="left"/>
      <w:pPr>
        <w:ind w:left="920" w:hanging="360"/>
      </w:pPr>
      <w:rPr>
        <w:rFonts w:hint="default"/>
      </w:rPr>
    </w:lvl>
    <w:lvl w:ilvl="2" w:tplc="699CDD28">
      <w:numFmt w:val="bullet"/>
      <w:lvlText w:val="•"/>
      <w:lvlJc w:val="left"/>
      <w:pPr>
        <w:ind w:left="1876" w:hanging="360"/>
      </w:pPr>
      <w:rPr>
        <w:rFonts w:hint="default"/>
      </w:rPr>
    </w:lvl>
    <w:lvl w:ilvl="3" w:tplc="EC3C3888">
      <w:numFmt w:val="bullet"/>
      <w:lvlText w:val="•"/>
      <w:lvlJc w:val="left"/>
      <w:pPr>
        <w:ind w:left="2832" w:hanging="360"/>
      </w:pPr>
      <w:rPr>
        <w:rFonts w:hint="default"/>
      </w:rPr>
    </w:lvl>
    <w:lvl w:ilvl="4" w:tplc="245AE154">
      <w:numFmt w:val="bullet"/>
      <w:lvlText w:val="•"/>
      <w:lvlJc w:val="left"/>
      <w:pPr>
        <w:ind w:left="3789" w:hanging="360"/>
      </w:pPr>
      <w:rPr>
        <w:rFonts w:hint="default"/>
      </w:rPr>
    </w:lvl>
    <w:lvl w:ilvl="5" w:tplc="F3C2F8AC">
      <w:numFmt w:val="bullet"/>
      <w:lvlText w:val="•"/>
      <w:lvlJc w:val="left"/>
      <w:pPr>
        <w:ind w:left="4745" w:hanging="360"/>
      </w:pPr>
      <w:rPr>
        <w:rFonts w:hint="default"/>
      </w:rPr>
    </w:lvl>
    <w:lvl w:ilvl="6" w:tplc="915E4370">
      <w:numFmt w:val="bullet"/>
      <w:lvlText w:val="•"/>
      <w:lvlJc w:val="left"/>
      <w:pPr>
        <w:ind w:left="5701" w:hanging="360"/>
      </w:pPr>
      <w:rPr>
        <w:rFonts w:hint="default"/>
      </w:rPr>
    </w:lvl>
    <w:lvl w:ilvl="7" w:tplc="A9F22574">
      <w:numFmt w:val="bullet"/>
      <w:lvlText w:val="•"/>
      <w:lvlJc w:val="left"/>
      <w:pPr>
        <w:ind w:left="6658" w:hanging="360"/>
      </w:pPr>
      <w:rPr>
        <w:rFonts w:hint="default"/>
      </w:rPr>
    </w:lvl>
    <w:lvl w:ilvl="8" w:tplc="2E34C6EA">
      <w:numFmt w:val="bullet"/>
      <w:lvlText w:val="•"/>
      <w:lvlJc w:val="left"/>
      <w:pPr>
        <w:ind w:left="7614" w:hanging="360"/>
      </w:pPr>
      <w:rPr>
        <w:rFonts w:hint="default"/>
      </w:rPr>
    </w:lvl>
  </w:abstractNum>
  <w:abstractNum w:abstractNumId="10" w15:restartNumberingAfterBreak="0">
    <w:nsid w:val="0E41033E"/>
    <w:multiLevelType w:val="hybridMultilevel"/>
    <w:tmpl w:val="040A390A"/>
    <w:lvl w:ilvl="0" w:tplc="A2D0A290">
      <w:numFmt w:val="bullet"/>
      <w:lvlText w:val=""/>
      <w:lvlJc w:val="left"/>
      <w:pPr>
        <w:ind w:left="470" w:hanging="360"/>
      </w:pPr>
      <w:rPr>
        <w:rFonts w:ascii="Symbol" w:eastAsia="Symbol" w:hAnsi="Symbol" w:cs="Symbol" w:hint="default"/>
        <w:w w:val="103"/>
        <w:sz w:val="19"/>
        <w:szCs w:val="19"/>
      </w:rPr>
    </w:lvl>
    <w:lvl w:ilvl="1" w:tplc="E1B43184">
      <w:numFmt w:val="bullet"/>
      <w:lvlText w:val="•"/>
      <w:lvlJc w:val="left"/>
      <w:pPr>
        <w:ind w:left="1384" w:hanging="360"/>
      </w:pPr>
      <w:rPr>
        <w:rFonts w:hint="default"/>
      </w:rPr>
    </w:lvl>
    <w:lvl w:ilvl="2" w:tplc="17EAB2A4">
      <w:numFmt w:val="bullet"/>
      <w:lvlText w:val="•"/>
      <w:lvlJc w:val="left"/>
      <w:pPr>
        <w:ind w:left="2289" w:hanging="360"/>
      </w:pPr>
      <w:rPr>
        <w:rFonts w:hint="default"/>
      </w:rPr>
    </w:lvl>
    <w:lvl w:ilvl="3" w:tplc="B8A41340">
      <w:numFmt w:val="bullet"/>
      <w:lvlText w:val="•"/>
      <w:lvlJc w:val="left"/>
      <w:pPr>
        <w:ind w:left="3194" w:hanging="360"/>
      </w:pPr>
      <w:rPr>
        <w:rFonts w:hint="default"/>
      </w:rPr>
    </w:lvl>
    <w:lvl w:ilvl="4" w:tplc="D6AADAF2">
      <w:numFmt w:val="bullet"/>
      <w:lvlText w:val="•"/>
      <w:lvlJc w:val="left"/>
      <w:pPr>
        <w:ind w:left="4098" w:hanging="360"/>
      </w:pPr>
      <w:rPr>
        <w:rFonts w:hint="default"/>
      </w:rPr>
    </w:lvl>
    <w:lvl w:ilvl="5" w:tplc="FF6EDE54">
      <w:numFmt w:val="bullet"/>
      <w:lvlText w:val="•"/>
      <w:lvlJc w:val="left"/>
      <w:pPr>
        <w:ind w:left="5003" w:hanging="360"/>
      </w:pPr>
      <w:rPr>
        <w:rFonts w:hint="default"/>
      </w:rPr>
    </w:lvl>
    <w:lvl w:ilvl="6" w:tplc="C4F222E2">
      <w:numFmt w:val="bullet"/>
      <w:lvlText w:val="•"/>
      <w:lvlJc w:val="left"/>
      <w:pPr>
        <w:ind w:left="5908" w:hanging="360"/>
      </w:pPr>
      <w:rPr>
        <w:rFonts w:hint="default"/>
      </w:rPr>
    </w:lvl>
    <w:lvl w:ilvl="7" w:tplc="90604382">
      <w:numFmt w:val="bullet"/>
      <w:lvlText w:val="•"/>
      <w:lvlJc w:val="left"/>
      <w:pPr>
        <w:ind w:left="6812" w:hanging="360"/>
      </w:pPr>
      <w:rPr>
        <w:rFonts w:hint="default"/>
      </w:rPr>
    </w:lvl>
    <w:lvl w:ilvl="8" w:tplc="6436EB86">
      <w:numFmt w:val="bullet"/>
      <w:lvlText w:val="•"/>
      <w:lvlJc w:val="left"/>
      <w:pPr>
        <w:ind w:left="7717" w:hanging="360"/>
      </w:pPr>
      <w:rPr>
        <w:rFonts w:hint="default"/>
      </w:rPr>
    </w:lvl>
  </w:abstractNum>
  <w:abstractNum w:abstractNumId="11" w15:restartNumberingAfterBreak="0">
    <w:nsid w:val="0F1E343D"/>
    <w:multiLevelType w:val="hybridMultilevel"/>
    <w:tmpl w:val="9D44A74A"/>
    <w:lvl w:ilvl="0" w:tplc="6746689A">
      <w:numFmt w:val="bullet"/>
      <w:lvlText w:val=""/>
      <w:lvlJc w:val="left"/>
      <w:pPr>
        <w:ind w:left="427" w:hanging="317"/>
      </w:pPr>
      <w:rPr>
        <w:rFonts w:ascii="Symbol" w:eastAsia="Symbol" w:hAnsi="Symbol" w:cs="Symbol" w:hint="default"/>
        <w:w w:val="103"/>
        <w:sz w:val="19"/>
        <w:szCs w:val="19"/>
      </w:rPr>
    </w:lvl>
    <w:lvl w:ilvl="1" w:tplc="69C0757C">
      <w:numFmt w:val="bullet"/>
      <w:lvlText w:val="•"/>
      <w:lvlJc w:val="left"/>
      <w:pPr>
        <w:ind w:left="1330" w:hanging="317"/>
      </w:pPr>
      <w:rPr>
        <w:rFonts w:hint="default"/>
      </w:rPr>
    </w:lvl>
    <w:lvl w:ilvl="2" w:tplc="BA468326">
      <w:numFmt w:val="bullet"/>
      <w:lvlText w:val="•"/>
      <w:lvlJc w:val="left"/>
      <w:pPr>
        <w:ind w:left="2241" w:hanging="317"/>
      </w:pPr>
      <w:rPr>
        <w:rFonts w:hint="default"/>
      </w:rPr>
    </w:lvl>
    <w:lvl w:ilvl="3" w:tplc="D30AA352">
      <w:numFmt w:val="bullet"/>
      <w:lvlText w:val="•"/>
      <w:lvlJc w:val="left"/>
      <w:pPr>
        <w:ind w:left="3152" w:hanging="317"/>
      </w:pPr>
      <w:rPr>
        <w:rFonts w:hint="default"/>
      </w:rPr>
    </w:lvl>
    <w:lvl w:ilvl="4" w:tplc="060417A8">
      <w:numFmt w:val="bullet"/>
      <w:lvlText w:val="•"/>
      <w:lvlJc w:val="left"/>
      <w:pPr>
        <w:ind w:left="4062" w:hanging="317"/>
      </w:pPr>
      <w:rPr>
        <w:rFonts w:hint="default"/>
      </w:rPr>
    </w:lvl>
    <w:lvl w:ilvl="5" w:tplc="C9428D54">
      <w:numFmt w:val="bullet"/>
      <w:lvlText w:val="•"/>
      <w:lvlJc w:val="left"/>
      <w:pPr>
        <w:ind w:left="4973" w:hanging="317"/>
      </w:pPr>
      <w:rPr>
        <w:rFonts w:hint="default"/>
      </w:rPr>
    </w:lvl>
    <w:lvl w:ilvl="6" w:tplc="5E3CA7AE">
      <w:numFmt w:val="bullet"/>
      <w:lvlText w:val="•"/>
      <w:lvlJc w:val="left"/>
      <w:pPr>
        <w:ind w:left="5884" w:hanging="317"/>
      </w:pPr>
      <w:rPr>
        <w:rFonts w:hint="default"/>
      </w:rPr>
    </w:lvl>
    <w:lvl w:ilvl="7" w:tplc="42CE6262">
      <w:numFmt w:val="bullet"/>
      <w:lvlText w:val="•"/>
      <w:lvlJc w:val="left"/>
      <w:pPr>
        <w:ind w:left="6794" w:hanging="317"/>
      </w:pPr>
      <w:rPr>
        <w:rFonts w:hint="default"/>
      </w:rPr>
    </w:lvl>
    <w:lvl w:ilvl="8" w:tplc="A8CC366C">
      <w:numFmt w:val="bullet"/>
      <w:lvlText w:val="•"/>
      <w:lvlJc w:val="left"/>
      <w:pPr>
        <w:ind w:left="7705" w:hanging="317"/>
      </w:pPr>
      <w:rPr>
        <w:rFonts w:hint="default"/>
      </w:rPr>
    </w:lvl>
  </w:abstractNum>
  <w:abstractNum w:abstractNumId="12" w15:restartNumberingAfterBreak="0">
    <w:nsid w:val="0FFA2A5F"/>
    <w:multiLevelType w:val="hybridMultilevel"/>
    <w:tmpl w:val="6940160A"/>
    <w:lvl w:ilvl="0" w:tplc="F60CB8A4">
      <w:numFmt w:val="bullet"/>
      <w:lvlText w:val=""/>
      <w:lvlJc w:val="left"/>
      <w:pPr>
        <w:ind w:left="460" w:hanging="357"/>
      </w:pPr>
      <w:rPr>
        <w:rFonts w:ascii="Symbol" w:eastAsia="Symbol" w:hAnsi="Symbol" w:cs="Symbol" w:hint="default"/>
        <w:w w:val="103"/>
        <w:sz w:val="19"/>
        <w:szCs w:val="19"/>
      </w:rPr>
    </w:lvl>
    <w:lvl w:ilvl="1" w:tplc="E54290D0">
      <w:numFmt w:val="bullet"/>
      <w:lvlText w:val="•"/>
      <w:lvlJc w:val="left"/>
      <w:pPr>
        <w:ind w:left="1319" w:hanging="357"/>
      </w:pPr>
      <w:rPr>
        <w:rFonts w:hint="default"/>
      </w:rPr>
    </w:lvl>
    <w:lvl w:ilvl="2" w:tplc="0C8A89E0">
      <w:numFmt w:val="bullet"/>
      <w:lvlText w:val="•"/>
      <w:lvlJc w:val="left"/>
      <w:pPr>
        <w:ind w:left="2178" w:hanging="357"/>
      </w:pPr>
      <w:rPr>
        <w:rFonts w:hint="default"/>
      </w:rPr>
    </w:lvl>
    <w:lvl w:ilvl="3" w:tplc="C08A0AA2">
      <w:numFmt w:val="bullet"/>
      <w:lvlText w:val="•"/>
      <w:lvlJc w:val="left"/>
      <w:pPr>
        <w:ind w:left="3037" w:hanging="357"/>
      </w:pPr>
      <w:rPr>
        <w:rFonts w:hint="default"/>
      </w:rPr>
    </w:lvl>
    <w:lvl w:ilvl="4" w:tplc="47587A9C">
      <w:numFmt w:val="bullet"/>
      <w:lvlText w:val="•"/>
      <w:lvlJc w:val="left"/>
      <w:pPr>
        <w:ind w:left="3897" w:hanging="357"/>
      </w:pPr>
      <w:rPr>
        <w:rFonts w:hint="default"/>
      </w:rPr>
    </w:lvl>
    <w:lvl w:ilvl="5" w:tplc="13F28548">
      <w:numFmt w:val="bullet"/>
      <w:lvlText w:val="•"/>
      <w:lvlJc w:val="left"/>
      <w:pPr>
        <w:ind w:left="4756" w:hanging="357"/>
      </w:pPr>
      <w:rPr>
        <w:rFonts w:hint="default"/>
      </w:rPr>
    </w:lvl>
    <w:lvl w:ilvl="6" w:tplc="86B8ADCA">
      <w:numFmt w:val="bullet"/>
      <w:lvlText w:val="•"/>
      <w:lvlJc w:val="left"/>
      <w:pPr>
        <w:ind w:left="5615" w:hanging="357"/>
      </w:pPr>
      <w:rPr>
        <w:rFonts w:hint="default"/>
      </w:rPr>
    </w:lvl>
    <w:lvl w:ilvl="7" w:tplc="99000186">
      <w:numFmt w:val="bullet"/>
      <w:lvlText w:val="•"/>
      <w:lvlJc w:val="left"/>
      <w:pPr>
        <w:ind w:left="6474" w:hanging="357"/>
      </w:pPr>
      <w:rPr>
        <w:rFonts w:hint="default"/>
      </w:rPr>
    </w:lvl>
    <w:lvl w:ilvl="8" w:tplc="DA62697E">
      <w:numFmt w:val="bullet"/>
      <w:lvlText w:val="•"/>
      <w:lvlJc w:val="left"/>
      <w:pPr>
        <w:ind w:left="7334" w:hanging="357"/>
      </w:pPr>
      <w:rPr>
        <w:rFonts w:hint="default"/>
      </w:rPr>
    </w:lvl>
  </w:abstractNum>
  <w:abstractNum w:abstractNumId="13" w15:restartNumberingAfterBreak="0">
    <w:nsid w:val="10AA7B64"/>
    <w:multiLevelType w:val="hybridMultilevel"/>
    <w:tmpl w:val="1F6CCB98"/>
    <w:lvl w:ilvl="0" w:tplc="05F6FAAA">
      <w:numFmt w:val="bullet"/>
      <w:lvlText w:val=""/>
      <w:lvlJc w:val="left"/>
      <w:pPr>
        <w:ind w:left="470" w:hanging="360"/>
      </w:pPr>
      <w:rPr>
        <w:rFonts w:ascii="Symbol" w:eastAsia="Symbol" w:hAnsi="Symbol" w:cs="Symbol" w:hint="default"/>
        <w:w w:val="103"/>
        <w:sz w:val="19"/>
        <w:szCs w:val="19"/>
      </w:rPr>
    </w:lvl>
    <w:lvl w:ilvl="1" w:tplc="E2429ED4">
      <w:numFmt w:val="bullet"/>
      <w:lvlText w:val="•"/>
      <w:lvlJc w:val="left"/>
      <w:pPr>
        <w:ind w:left="1366" w:hanging="360"/>
      </w:pPr>
      <w:rPr>
        <w:rFonts w:hint="default"/>
      </w:rPr>
    </w:lvl>
    <w:lvl w:ilvl="2" w:tplc="CA3E2F34">
      <w:numFmt w:val="bullet"/>
      <w:lvlText w:val="•"/>
      <w:lvlJc w:val="left"/>
      <w:pPr>
        <w:ind w:left="2273" w:hanging="360"/>
      </w:pPr>
      <w:rPr>
        <w:rFonts w:hint="default"/>
      </w:rPr>
    </w:lvl>
    <w:lvl w:ilvl="3" w:tplc="6BFE8944">
      <w:numFmt w:val="bullet"/>
      <w:lvlText w:val="•"/>
      <w:lvlJc w:val="left"/>
      <w:pPr>
        <w:ind w:left="3180" w:hanging="360"/>
      </w:pPr>
      <w:rPr>
        <w:rFonts w:hint="default"/>
      </w:rPr>
    </w:lvl>
    <w:lvl w:ilvl="4" w:tplc="65AE62A0">
      <w:numFmt w:val="bullet"/>
      <w:lvlText w:val="•"/>
      <w:lvlJc w:val="left"/>
      <w:pPr>
        <w:ind w:left="4086" w:hanging="360"/>
      </w:pPr>
      <w:rPr>
        <w:rFonts w:hint="default"/>
      </w:rPr>
    </w:lvl>
    <w:lvl w:ilvl="5" w:tplc="0AE652FE">
      <w:numFmt w:val="bullet"/>
      <w:lvlText w:val="•"/>
      <w:lvlJc w:val="left"/>
      <w:pPr>
        <w:ind w:left="4993" w:hanging="360"/>
      </w:pPr>
      <w:rPr>
        <w:rFonts w:hint="default"/>
      </w:rPr>
    </w:lvl>
    <w:lvl w:ilvl="6" w:tplc="70281160">
      <w:numFmt w:val="bullet"/>
      <w:lvlText w:val="•"/>
      <w:lvlJc w:val="left"/>
      <w:pPr>
        <w:ind w:left="5900" w:hanging="360"/>
      </w:pPr>
      <w:rPr>
        <w:rFonts w:hint="default"/>
      </w:rPr>
    </w:lvl>
    <w:lvl w:ilvl="7" w:tplc="D1C4F156">
      <w:numFmt w:val="bullet"/>
      <w:lvlText w:val="•"/>
      <w:lvlJc w:val="left"/>
      <w:pPr>
        <w:ind w:left="6806" w:hanging="360"/>
      </w:pPr>
      <w:rPr>
        <w:rFonts w:hint="default"/>
      </w:rPr>
    </w:lvl>
    <w:lvl w:ilvl="8" w:tplc="202EECCC">
      <w:numFmt w:val="bullet"/>
      <w:lvlText w:val="•"/>
      <w:lvlJc w:val="left"/>
      <w:pPr>
        <w:ind w:left="7713" w:hanging="360"/>
      </w:pPr>
      <w:rPr>
        <w:rFonts w:hint="default"/>
      </w:rPr>
    </w:lvl>
  </w:abstractNum>
  <w:abstractNum w:abstractNumId="14" w15:restartNumberingAfterBreak="0">
    <w:nsid w:val="10B35E2A"/>
    <w:multiLevelType w:val="hybridMultilevel"/>
    <w:tmpl w:val="6FE8B2EC"/>
    <w:lvl w:ilvl="0" w:tplc="A9D8537A">
      <w:start w:val="17"/>
      <w:numFmt w:val="decimal"/>
      <w:lvlText w:val="%1)"/>
      <w:lvlJc w:val="left"/>
      <w:pPr>
        <w:ind w:left="733" w:hanging="414"/>
      </w:pPr>
      <w:rPr>
        <w:rFonts w:ascii="Arial" w:eastAsia="Arial" w:hAnsi="Arial" w:cs="Arial" w:hint="default"/>
        <w:w w:val="100"/>
        <w:sz w:val="24"/>
        <w:szCs w:val="24"/>
      </w:rPr>
    </w:lvl>
    <w:lvl w:ilvl="1" w:tplc="F8463E36">
      <w:numFmt w:val="bullet"/>
      <w:lvlText w:val=""/>
      <w:lvlJc w:val="left"/>
      <w:pPr>
        <w:ind w:left="1515" w:hanging="357"/>
      </w:pPr>
      <w:rPr>
        <w:rFonts w:ascii="Symbol" w:eastAsia="Symbol" w:hAnsi="Symbol" w:cs="Symbol" w:hint="default"/>
        <w:w w:val="100"/>
        <w:sz w:val="24"/>
        <w:szCs w:val="24"/>
      </w:rPr>
    </w:lvl>
    <w:lvl w:ilvl="2" w:tplc="1EBA11F6">
      <w:numFmt w:val="bullet"/>
      <w:lvlText w:val="•"/>
      <w:lvlJc w:val="left"/>
      <w:pPr>
        <w:ind w:left="1520" w:hanging="357"/>
      </w:pPr>
      <w:rPr>
        <w:rFonts w:hint="default"/>
      </w:rPr>
    </w:lvl>
    <w:lvl w:ilvl="3" w:tplc="6CFEB9BA">
      <w:numFmt w:val="bullet"/>
      <w:lvlText w:val="•"/>
      <w:lvlJc w:val="left"/>
      <w:pPr>
        <w:ind w:left="2767" w:hanging="357"/>
      </w:pPr>
      <w:rPr>
        <w:rFonts w:hint="default"/>
      </w:rPr>
    </w:lvl>
    <w:lvl w:ilvl="4" w:tplc="B7A026BE">
      <w:numFmt w:val="bullet"/>
      <w:lvlText w:val="•"/>
      <w:lvlJc w:val="left"/>
      <w:pPr>
        <w:ind w:left="4015" w:hanging="357"/>
      </w:pPr>
      <w:rPr>
        <w:rFonts w:hint="default"/>
      </w:rPr>
    </w:lvl>
    <w:lvl w:ilvl="5" w:tplc="984049C2">
      <w:numFmt w:val="bullet"/>
      <w:lvlText w:val="•"/>
      <w:lvlJc w:val="left"/>
      <w:pPr>
        <w:ind w:left="5262" w:hanging="357"/>
      </w:pPr>
      <w:rPr>
        <w:rFonts w:hint="default"/>
      </w:rPr>
    </w:lvl>
    <w:lvl w:ilvl="6" w:tplc="EDA8FEA2">
      <w:numFmt w:val="bullet"/>
      <w:lvlText w:val="•"/>
      <w:lvlJc w:val="left"/>
      <w:pPr>
        <w:ind w:left="6510" w:hanging="357"/>
      </w:pPr>
      <w:rPr>
        <w:rFonts w:hint="default"/>
      </w:rPr>
    </w:lvl>
    <w:lvl w:ilvl="7" w:tplc="354AABE6">
      <w:numFmt w:val="bullet"/>
      <w:lvlText w:val="•"/>
      <w:lvlJc w:val="left"/>
      <w:pPr>
        <w:ind w:left="7757" w:hanging="357"/>
      </w:pPr>
      <w:rPr>
        <w:rFonts w:hint="default"/>
      </w:rPr>
    </w:lvl>
    <w:lvl w:ilvl="8" w:tplc="3FA06E8E">
      <w:numFmt w:val="bullet"/>
      <w:lvlText w:val="•"/>
      <w:lvlJc w:val="left"/>
      <w:pPr>
        <w:ind w:left="9005" w:hanging="357"/>
      </w:pPr>
      <w:rPr>
        <w:rFonts w:hint="default"/>
      </w:rPr>
    </w:lvl>
  </w:abstractNum>
  <w:abstractNum w:abstractNumId="15" w15:restartNumberingAfterBreak="0">
    <w:nsid w:val="114000EB"/>
    <w:multiLevelType w:val="hybridMultilevel"/>
    <w:tmpl w:val="C6C4FAE6"/>
    <w:lvl w:ilvl="0" w:tplc="EB1E66C4">
      <w:numFmt w:val="bullet"/>
      <w:lvlText w:val=""/>
      <w:lvlJc w:val="left"/>
      <w:pPr>
        <w:ind w:left="465" w:hanging="360"/>
      </w:pPr>
      <w:rPr>
        <w:rFonts w:ascii="Symbol" w:eastAsia="Symbol" w:hAnsi="Symbol" w:cs="Symbol" w:hint="default"/>
        <w:w w:val="103"/>
        <w:sz w:val="19"/>
        <w:szCs w:val="19"/>
      </w:rPr>
    </w:lvl>
    <w:lvl w:ilvl="1" w:tplc="F4A60DF0">
      <w:numFmt w:val="bullet"/>
      <w:lvlText w:val="•"/>
      <w:lvlJc w:val="left"/>
      <w:pPr>
        <w:ind w:left="639" w:hanging="360"/>
      </w:pPr>
      <w:rPr>
        <w:rFonts w:hint="default"/>
      </w:rPr>
    </w:lvl>
    <w:lvl w:ilvl="2" w:tplc="19BA6364">
      <w:numFmt w:val="bullet"/>
      <w:lvlText w:val="•"/>
      <w:lvlJc w:val="left"/>
      <w:pPr>
        <w:ind w:left="818" w:hanging="360"/>
      </w:pPr>
      <w:rPr>
        <w:rFonts w:hint="default"/>
      </w:rPr>
    </w:lvl>
    <w:lvl w:ilvl="3" w:tplc="6D3AA582">
      <w:numFmt w:val="bullet"/>
      <w:lvlText w:val="•"/>
      <w:lvlJc w:val="left"/>
      <w:pPr>
        <w:ind w:left="997" w:hanging="360"/>
      </w:pPr>
      <w:rPr>
        <w:rFonts w:hint="default"/>
      </w:rPr>
    </w:lvl>
    <w:lvl w:ilvl="4" w:tplc="E26CF380">
      <w:numFmt w:val="bullet"/>
      <w:lvlText w:val="•"/>
      <w:lvlJc w:val="left"/>
      <w:pPr>
        <w:ind w:left="1176" w:hanging="360"/>
      </w:pPr>
      <w:rPr>
        <w:rFonts w:hint="default"/>
      </w:rPr>
    </w:lvl>
    <w:lvl w:ilvl="5" w:tplc="3FF895C6">
      <w:numFmt w:val="bullet"/>
      <w:lvlText w:val="•"/>
      <w:lvlJc w:val="left"/>
      <w:pPr>
        <w:ind w:left="1355" w:hanging="360"/>
      </w:pPr>
      <w:rPr>
        <w:rFonts w:hint="default"/>
      </w:rPr>
    </w:lvl>
    <w:lvl w:ilvl="6" w:tplc="466CEC5E">
      <w:numFmt w:val="bullet"/>
      <w:lvlText w:val="•"/>
      <w:lvlJc w:val="left"/>
      <w:pPr>
        <w:ind w:left="1534" w:hanging="360"/>
      </w:pPr>
      <w:rPr>
        <w:rFonts w:hint="default"/>
      </w:rPr>
    </w:lvl>
    <w:lvl w:ilvl="7" w:tplc="674EA88C">
      <w:numFmt w:val="bullet"/>
      <w:lvlText w:val="•"/>
      <w:lvlJc w:val="left"/>
      <w:pPr>
        <w:ind w:left="1713" w:hanging="360"/>
      </w:pPr>
      <w:rPr>
        <w:rFonts w:hint="default"/>
      </w:rPr>
    </w:lvl>
    <w:lvl w:ilvl="8" w:tplc="79A64988">
      <w:numFmt w:val="bullet"/>
      <w:lvlText w:val="•"/>
      <w:lvlJc w:val="left"/>
      <w:pPr>
        <w:ind w:left="1892" w:hanging="360"/>
      </w:pPr>
      <w:rPr>
        <w:rFonts w:hint="default"/>
      </w:rPr>
    </w:lvl>
  </w:abstractNum>
  <w:abstractNum w:abstractNumId="16" w15:restartNumberingAfterBreak="0">
    <w:nsid w:val="118C6285"/>
    <w:multiLevelType w:val="hybridMultilevel"/>
    <w:tmpl w:val="AB263E84"/>
    <w:lvl w:ilvl="0" w:tplc="A2483442">
      <w:numFmt w:val="bullet"/>
      <w:lvlText w:val=""/>
      <w:lvlJc w:val="left"/>
      <w:pPr>
        <w:ind w:left="427" w:hanging="317"/>
      </w:pPr>
      <w:rPr>
        <w:rFonts w:ascii="Symbol" w:eastAsia="Symbol" w:hAnsi="Symbol" w:cs="Symbol" w:hint="default"/>
        <w:w w:val="103"/>
        <w:sz w:val="19"/>
        <w:szCs w:val="19"/>
      </w:rPr>
    </w:lvl>
    <w:lvl w:ilvl="1" w:tplc="34BA2348">
      <w:numFmt w:val="bullet"/>
      <w:lvlText w:val="•"/>
      <w:lvlJc w:val="left"/>
      <w:pPr>
        <w:ind w:left="1330" w:hanging="317"/>
      </w:pPr>
      <w:rPr>
        <w:rFonts w:hint="default"/>
      </w:rPr>
    </w:lvl>
    <w:lvl w:ilvl="2" w:tplc="0AD85996">
      <w:numFmt w:val="bullet"/>
      <w:lvlText w:val="•"/>
      <w:lvlJc w:val="left"/>
      <w:pPr>
        <w:ind w:left="2241" w:hanging="317"/>
      </w:pPr>
      <w:rPr>
        <w:rFonts w:hint="default"/>
      </w:rPr>
    </w:lvl>
    <w:lvl w:ilvl="3" w:tplc="4ABA5938">
      <w:numFmt w:val="bullet"/>
      <w:lvlText w:val="•"/>
      <w:lvlJc w:val="left"/>
      <w:pPr>
        <w:ind w:left="3152" w:hanging="317"/>
      </w:pPr>
      <w:rPr>
        <w:rFonts w:hint="default"/>
      </w:rPr>
    </w:lvl>
    <w:lvl w:ilvl="4" w:tplc="55EEE09E">
      <w:numFmt w:val="bullet"/>
      <w:lvlText w:val="•"/>
      <w:lvlJc w:val="left"/>
      <w:pPr>
        <w:ind w:left="4062" w:hanging="317"/>
      </w:pPr>
      <w:rPr>
        <w:rFonts w:hint="default"/>
      </w:rPr>
    </w:lvl>
    <w:lvl w:ilvl="5" w:tplc="A7D064E0">
      <w:numFmt w:val="bullet"/>
      <w:lvlText w:val="•"/>
      <w:lvlJc w:val="left"/>
      <w:pPr>
        <w:ind w:left="4973" w:hanging="317"/>
      </w:pPr>
      <w:rPr>
        <w:rFonts w:hint="default"/>
      </w:rPr>
    </w:lvl>
    <w:lvl w:ilvl="6" w:tplc="496C199A">
      <w:numFmt w:val="bullet"/>
      <w:lvlText w:val="•"/>
      <w:lvlJc w:val="left"/>
      <w:pPr>
        <w:ind w:left="5884" w:hanging="317"/>
      </w:pPr>
      <w:rPr>
        <w:rFonts w:hint="default"/>
      </w:rPr>
    </w:lvl>
    <w:lvl w:ilvl="7" w:tplc="9FF4CD54">
      <w:numFmt w:val="bullet"/>
      <w:lvlText w:val="•"/>
      <w:lvlJc w:val="left"/>
      <w:pPr>
        <w:ind w:left="6794" w:hanging="317"/>
      </w:pPr>
      <w:rPr>
        <w:rFonts w:hint="default"/>
      </w:rPr>
    </w:lvl>
    <w:lvl w:ilvl="8" w:tplc="9DB6C240">
      <w:numFmt w:val="bullet"/>
      <w:lvlText w:val="•"/>
      <w:lvlJc w:val="left"/>
      <w:pPr>
        <w:ind w:left="7705" w:hanging="317"/>
      </w:pPr>
      <w:rPr>
        <w:rFonts w:hint="default"/>
      </w:rPr>
    </w:lvl>
  </w:abstractNum>
  <w:abstractNum w:abstractNumId="17" w15:restartNumberingAfterBreak="0">
    <w:nsid w:val="125C7718"/>
    <w:multiLevelType w:val="hybridMultilevel"/>
    <w:tmpl w:val="410E2D96"/>
    <w:lvl w:ilvl="0" w:tplc="461278D2">
      <w:numFmt w:val="bullet"/>
      <w:lvlText w:val=""/>
      <w:lvlJc w:val="left"/>
      <w:pPr>
        <w:ind w:left="465" w:hanging="360"/>
      </w:pPr>
      <w:rPr>
        <w:rFonts w:ascii="Symbol" w:eastAsia="Symbol" w:hAnsi="Symbol" w:cs="Symbol" w:hint="default"/>
        <w:w w:val="103"/>
        <w:sz w:val="19"/>
        <w:szCs w:val="19"/>
      </w:rPr>
    </w:lvl>
    <w:lvl w:ilvl="1" w:tplc="961C26B6">
      <w:numFmt w:val="bullet"/>
      <w:lvlText w:val="•"/>
      <w:lvlJc w:val="left"/>
      <w:pPr>
        <w:ind w:left="1425" w:hanging="360"/>
      </w:pPr>
      <w:rPr>
        <w:rFonts w:hint="default"/>
      </w:rPr>
    </w:lvl>
    <w:lvl w:ilvl="2" w:tplc="958EE466">
      <w:numFmt w:val="bullet"/>
      <w:lvlText w:val="•"/>
      <w:lvlJc w:val="left"/>
      <w:pPr>
        <w:ind w:left="2390" w:hanging="360"/>
      </w:pPr>
      <w:rPr>
        <w:rFonts w:hint="default"/>
      </w:rPr>
    </w:lvl>
    <w:lvl w:ilvl="3" w:tplc="97F4DBF6">
      <w:numFmt w:val="bullet"/>
      <w:lvlText w:val="•"/>
      <w:lvlJc w:val="left"/>
      <w:pPr>
        <w:ind w:left="3355" w:hanging="360"/>
      </w:pPr>
      <w:rPr>
        <w:rFonts w:hint="default"/>
      </w:rPr>
    </w:lvl>
    <w:lvl w:ilvl="4" w:tplc="1A6854B8">
      <w:numFmt w:val="bullet"/>
      <w:lvlText w:val="•"/>
      <w:lvlJc w:val="left"/>
      <w:pPr>
        <w:ind w:left="4320" w:hanging="360"/>
      </w:pPr>
      <w:rPr>
        <w:rFonts w:hint="default"/>
      </w:rPr>
    </w:lvl>
    <w:lvl w:ilvl="5" w:tplc="8610A950">
      <w:numFmt w:val="bullet"/>
      <w:lvlText w:val="•"/>
      <w:lvlJc w:val="left"/>
      <w:pPr>
        <w:ind w:left="5286" w:hanging="360"/>
      </w:pPr>
      <w:rPr>
        <w:rFonts w:hint="default"/>
      </w:rPr>
    </w:lvl>
    <w:lvl w:ilvl="6" w:tplc="FEF4A02A">
      <w:numFmt w:val="bullet"/>
      <w:lvlText w:val="•"/>
      <w:lvlJc w:val="left"/>
      <w:pPr>
        <w:ind w:left="6251" w:hanging="360"/>
      </w:pPr>
      <w:rPr>
        <w:rFonts w:hint="default"/>
      </w:rPr>
    </w:lvl>
    <w:lvl w:ilvl="7" w:tplc="DAFA4186">
      <w:numFmt w:val="bullet"/>
      <w:lvlText w:val="•"/>
      <w:lvlJc w:val="left"/>
      <w:pPr>
        <w:ind w:left="7216" w:hanging="360"/>
      </w:pPr>
      <w:rPr>
        <w:rFonts w:hint="default"/>
      </w:rPr>
    </w:lvl>
    <w:lvl w:ilvl="8" w:tplc="4240E74A">
      <w:numFmt w:val="bullet"/>
      <w:lvlText w:val="•"/>
      <w:lvlJc w:val="left"/>
      <w:pPr>
        <w:ind w:left="8181" w:hanging="360"/>
      </w:pPr>
      <w:rPr>
        <w:rFonts w:hint="default"/>
      </w:rPr>
    </w:lvl>
  </w:abstractNum>
  <w:abstractNum w:abstractNumId="18" w15:restartNumberingAfterBreak="0">
    <w:nsid w:val="12E63F55"/>
    <w:multiLevelType w:val="hybridMultilevel"/>
    <w:tmpl w:val="E7789FC6"/>
    <w:lvl w:ilvl="0" w:tplc="20F24638">
      <w:numFmt w:val="bullet"/>
      <w:lvlText w:val=""/>
      <w:lvlJc w:val="left"/>
      <w:pPr>
        <w:ind w:left="427" w:hanging="317"/>
      </w:pPr>
      <w:rPr>
        <w:rFonts w:ascii="Symbol" w:eastAsia="Symbol" w:hAnsi="Symbol" w:cs="Symbol" w:hint="default"/>
        <w:w w:val="103"/>
        <w:sz w:val="19"/>
        <w:szCs w:val="19"/>
      </w:rPr>
    </w:lvl>
    <w:lvl w:ilvl="1" w:tplc="36FE0B70">
      <w:numFmt w:val="bullet"/>
      <w:lvlText w:val="•"/>
      <w:lvlJc w:val="left"/>
      <w:pPr>
        <w:ind w:left="1330" w:hanging="317"/>
      </w:pPr>
      <w:rPr>
        <w:rFonts w:hint="default"/>
      </w:rPr>
    </w:lvl>
    <w:lvl w:ilvl="2" w:tplc="4ACE5908">
      <w:numFmt w:val="bullet"/>
      <w:lvlText w:val="•"/>
      <w:lvlJc w:val="left"/>
      <w:pPr>
        <w:ind w:left="2241" w:hanging="317"/>
      </w:pPr>
      <w:rPr>
        <w:rFonts w:hint="default"/>
      </w:rPr>
    </w:lvl>
    <w:lvl w:ilvl="3" w:tplc="0E2031B0">
      <w:numFmt w:val="bullet"/>
      <w:lvlText w:val="•"/>
      <w:lvlJc w:val="left"/>
      <w:pPr>
        <w:ind w:left="3152" w:hanging="317"/>
      </w:pPr>
      <w:rPr>
        <w:rFonts w:hint="default"/>
      </w:rPr>
    </w:lvl>
    <w:lvl w:ilvl="4" w:tplc="7224383E">
      <w:numFmt w:val="bullet"/>
      <w:lvlText w:val="•"/>
      <w:lvlJc w:val="left"/>
      <w:pPr>
        <w:ind w:left="4062" w:hanging="317"/>
      </w:pPr>
      <w:rPr>
        <w:rFonts w:hint="default"/>
      </w:rPr>
    </w:lvl>
    <w:lvl w:ilvl="5" w:tplc="2E2EE0C0">
      <w:numFmt w:val="bullet"/>
      <w:lvlText w:val="•"/>
      <w:lvlJc w:val="left"/>
      <w:pPr>
        <w:ind w:left="4973" w:hanging="317"/>
      </w:pPr>
      <w:rPr>
        <w:rFonts w:hint="default"/>
      </w:rPr>
    </w:lvl>
    <w:lvl w:ilvl="6" w:tplc="D8DCFDE0">
      <w:numFmt w:val="bullet"/>
      <w:lvlText w:val="•"/>
      <w:lvlJc w:val="left"/>
      <w:pPr>
        <w:ind w:left="5884" w:hanging="317"/>
      </w:pPr>
      <w:rPr>
        <w:rFonts w:hint="default"/>
      </w:rPr>
    </w:lvl>
    <w:lvl w:ilvl="7" w:tplc="227650BE">
      <w:numFmt w:val="bullet"/>
      <w:lvlText w:val="•"/>
      <w:lvlJc w:val="left"/>
      <w:pPr>
        <w:ind w:left="6794" w:hanging="317"/>
      </w:pPr>
      <w:rPr>
        <w:rFonts w:hint="default"/>
      </w:rPr>
    </w:lvl>
    <w:lvl w:ilvl="8" w:tplc="E1005008">
      <w:numFmt w:val="bullet"/>
      <w:lvlText w:val="•"/>
      <w:lvlJc w:val="left"/>
      <w:pPr>
        <w:ind w:left="7705" w:hanging="317"/>
      </w:pPr>
      <w:rPr>
        <w:rFonts w:hint="default"/>
      </w:rPr>
    </w:lvl>
  </w:abstractNum>
  <w:abstractNum w:abstractNumId="19" w15:restartNumberingAfterBreak="0">
    <w:nsid w:val="12F03ACB"/>
    <w:multiLevelType w:val="hybridMultilevel"/>
    <w:tmpl w:val="7C3A4588"/>
    <w:lvl w:ilvl="0" w:tplc="C194DF50">
      <w:numFmt w:val="bullet"/>
      <w:lvlText w:val=""/>
      <w:lvlJc w:val="left"/>
      <w:pPr>
        <w:ind w:left="470" w:hanging="360"/>
      </w:pPr>
      <w:rPr>
        <w:rFonts w:ascii="Symbol" w:eastAsia="Symbol" w:hAnsi="Symbol" w:cs="Symbol" w:hint="default"/>
        <w:w w:val="103"/>
        <w:sz w:val="19"/>
        <w:szCs w:val="19"/>
      </w:rPr>
    </w:lvl>
    <w:lvl w:ilvl="1" w:tplc="AAB67C40">
      <w:numFmt w:val="bullet"/>
      <w:lvlText w:val="•"/>
      <w:lvlJc w:val="left"/>
      <w:pPr>
        <w:ind w:left="1408" w:hanging="360"/>
      </w:pPr>
      <w:rPr>
        <w:rFonts w:hint="default"/>
      </w:rPr>
    </w:lvl>
    <w:lvl w:ilvl="2" w:tplc="3E94316E">
      <w:numFmt w:val="bullet"/>
      <w:lvlText w:val="•"/>
      <w:lvlJc w:val="left"/>
      <w:pPr>
        <w:ind w:left="2336" w:hanging="360"/>
      </w:pPr>
      <w:rPr>
        <w:rFonts w:hint="default"/>
      </w:rPr>
    </w:lvl>
    <w:lvl w:ilvl="3" w:tplc="C49C4BBE">
      <w:numFmt w:val="bullet"/>
      <w:lvlText w:val="•"/>
      <w:lvlJc w:val="left"/>
      <w:pPr>
        <w:ind w:left="3264" w:hanging="360"/>
      </w:pPr>
      <w:rPr>
        <w:rFonts w:hint="default"/>
      </w:rPr>
    </w:lvl>
    <w:lvl w:ilvl="4" w:tplc="5008D380">
      <w:numFmt w:val="bullet"/>
      <w:lvlText w:val="•"/>
      <w:lvlJc w:val="left"/>
      <w:pPr>
        <w:ind w:left="4192" w:hanging="360"/>
      </w:pPr>
      <w:rPr>
        <w:rFonts w:hint="default"/>
      </w:rPr>
    </w:lvl>
    <w:lvl w:ilvl="5" w:tplc="80E2E282">
      <w:numFmt w:val="bullet"/>
      <w:lvlText w:val="•"/>
      <w:lvlJc w:val="left"/>
      <w:pPr>
        <w:ind w:left="5121" w:hanging="360"/>
      </w:pPr>
      <w:rPr>
        <w:rFonts w:hint="default"/>
      </w:rPr>
    </w:lvl>
    <w:lvl w:ilvl="6" w:tplc="1E88D120">
      <w:numFmt w:val="bullet"/>
      <w:lvlText w:val="•"/>
      <w:lvlJc w:val="left"/>
      <w:pPr>
        <w:ind w:left="6049" w:hanging="360"/>
      </w:pPr>
      <w:rPr>
        <w:rFonts w:hint="default"/>
      </w:rPr>
    </w:lvl>
    <w:lvl w:ilvl="7" w:tplc="625AA79E">
      <w:numFmt w:val="bullet"/>
      <w:lvlText w:val="•"/>
      <w:lvlJc w:val="left"/>
      <w:pPr>
        <w:ind w:left="6977" w:hanging="360"/>
      </w:pPr>
      <w:rPr>
        <w:rFonts w:hint="default"/>
      </w:rPr>
    </w:lvl>
    <w:lvl w:ilvl="8" w:tplc="D8748398">
      <w:numFmt w:val="bullet"/>
      <w:lvlText w:val="•"/>
      <w:lvlJc w:val="left"/>
      <w:pPr>
        <w:ind w:left="7905" w:hanging="360"/>
      </w:pPr>
      <w:rPr>
        <w:rFonts w:hint="default"/>
      </w:rPr>
    </w:lvl>
  </w:abstractNum>
  <w:abstractNum w:abstractNumId="20" w15:restartNumberingAfterBreak="0">
    <w:nsid w:val="14D85EA7"/>
    <w:multiLevelType w:val="hybridMultilevel"/>
    <w:tmpl w:val="105E64C2"/>
    <w:lvl w:ilvl="0" w:tplc="F356D90E">
      <w:numFmt w:val="bullet"/>
      <w:lvlText w:val=""/>
      <w:lvlJc w:val="left"/>
      <w:pPr>
        <w:ind w:left="470" w:hanging="360"/>
      </w:pPr>
      <w:rPr>
        <w:rFonts w:ascii="Symbol" w:eastAsia="Symbol" w:hAnsi="Symbol" w:cs="Symbol" w:hint="default"/>
        <w:w w:val="103"/>
        <w:sz w:val="19"/>
        <w:szCs w:val="19"/>
      </w:rPr>
    </w:lvl>
    <w:lvl w:ilvl="1" w:tplc="A816D07C">
      <w:numFmt w:val="bullet"/>
      <w:lvlText w:val="•"/>
      <w:lvlJc w:val="left"/>
      <w:pPr>
        <w:ind w:left="867" w:hanging="360"/>
      </w:pPr>
      <w:rPr>
        <w:rFonts w:hint="default"/>
      </w:rPr>
    </w:lvl>
    <w:lvl w:ilvl="2" w:tplc="D21AE96C">
      <w:numFmt w:val="bullet"/>
      <w:lvlText w:val="•"/>
      <w:lvlJc w:val="left"/>
      <w:pPr>
        <w:ind w:left="1255" w:hanging="360"/>
      </w:pPr>
      <w:rPr>
        <w:rFonts w:hint="default"/>
      </w:rPr>
    </w:lvl>
    <w:lvl w:ilvl="3" w:tplc="6B7E6074">
      <w:numFmt w:val="bullet"/>
      <w:lvlText w:val="•"/>
      <w:lvlJc w:val="left"/>
      <w:pPr>
        <w:ind w:left="1642" w:hanging="360"/>
      </w:pPr>
      <w:rPr>
        <w:rFonts w:hint="default"/>
      </w:rPr>
    </w:lvl>
    <w:lvl w:ilvl="4" w:tplc="CF50B6F8">
      <w:numFmt w:val="bullet"/>
      <w:lvlText w:val="•"/>
      <w:lvlJc w:val="left"/>
      <w:pPr>
        <w:ind w:left="2030" w:hanging="360"/>
      </w:pPr>
      <w:rPr>
        <w:rFonts w:hint="default"/>
      </w:rPr>
    </w:lvl>
    <w:lvl w:ilvl="5" w:tplc="00C87812">
      <w:numFmt w:val="bullet"/>
      <w:lvlText w:val="•"/>
      <w:lvlJc w:val="left"/>
      <w:pPr>
        <w:ind w:left="2418" w:hanging="360"/>
      </w:pPr>
      <w:rPr>
        <w:rFonts w:hint="default"/>
      </w:rPr>
    </w:lvl>
    <w:lvl w:ilvl="6" w:tplc="C0121790">
      <w:numFmt w:val="bullet"/>
      <w:lvlText w:val="•"/>
      <w:lvlJc w:val="left"/>
      <w:pPr>
        <w:ind w:left="2805" w:hanging="360"/>
      </w:pPr>
      <w:rPr>
        <w:rFonts w:hint="default"/>
      </w:rPr>
    </w:lvl>
    <w:lvl w:ilvl="7" w:tplc="4762F70E">
      <w:numFmt w:val="bullet"/>
      <w:lvlText w:val="•"/>
      <w:lvlJc w:val="left"/>
      <w:pPr>
        <w:ind w:left="3193" w:hanging="360"/>
      </w:pPr>
      <w:rPr>
        <w:rFonts w:hint="default"/>
      </w:rPr>
    </w:lvl>
    <w:lvl w:ilvl="8" w:tplc="928CAAC6">
      <w:numFmt w:val="bullet"/>
      <w:lvlText w:val="•"/>
      <w:lvlJc w:val="left"/>
      <w:pPr>
        <w:ind w:left="3580" w:hanging="360"/>
      </w:pPr>
      <w:rPr>
        <w:rFonts w:hint="default"/>
      </w:rPr>
    </w:lvl>
  </w:abstractNum>
  <w:abstractNum w:abstractNumId="21" w15:restartNumberingAfterBreak="0">
    <w:nsid w:val="16160970"/>
    <w:multiLevelType w:val="hybridMultilevel"/>
    <w:tmpl w:val="95E0501A"/>
    <w:lvl w:ilvl="0" w:tplc="60B0BE30">
      <w:numFmt w:val="bullet"/>
      <w:lvlText w:val=""/>
      <w:lvlJc w:val="left"/>
      <w:pPr>
        <w:ind w:left="465" w:hanging="360"/>
      </w:pPr>
      <w:rPr>
        <w:rFonts w:ascii="Symbol" w:eastAsia="Symbol" w:hAnsi="Symbol" w:cs="Symbol" w:hint="default"/>
        <w:w w:val="103"/>
        <w:sz w:val="19"/>
        <w:szCs w:val="19"/>
      </w:rPr>
    </w:lvl>
    <w:lvl w:ilvl="1" w:tplc="BBC290AE">
      <w:numFmt w:val="bullet"/>
      <w:lvlText w:val="•"/>
      <w:lvlJc w:val="left"/>
      <w:pPr>
        <w:ind w:left="1425" w:hanging="360"/>
      </w:pPr>
      <w:rPr>
        <w:rFonts w:hint="default"/>
      </w:rPr>
    </w:lvl>
    <w:lvl w:ilvl="2" w:tplc="E1AC36E6">
      <w:numFmt w:val="bullet"/>
      <w:lvlText w:val="•"/>
      <w:lvlJc w:val="left"/>
      <w:pPr>
        <w:ind w:left="2390" w:hanging="360"/>
      </w:pPr>
      <w:rPr>
        <w:rFonts w:hint="default"/>
      </w:rPr>
    </w:lvl>
    <w:lvl w:ilvl="3" w:tplc="6870304E">
      <w:numFmt w:val="bullet"/>
      <w:lvlText w:val="•"/>
      <w:lvlJc w:val="left"/>
      <w:pPr>
        <w:ind w:left="3355" w:hanging="360"/>
      </w:pPr>
      <w:rPr>
        <w:rFonts w:hint="default"/>
      </w:rPr>
    </w:lvl>
    <w:lvl w:ilvl="4" w:tplc="B060F60C">
      <w:numFmt w:val="bullet"/>
      <w:lvlText w:val="•"/>
      <w:lvlJc w:val="left"/>
      <w:pPr>
        <w:ind w:left="4320" w:hanging="360"/>
      </w:pPr>
      <w:rPr>
        <w:rFonts w:hint="default"/>
      </w:rPr>
    </w:lvl>
    <w:lvl w:ilvl="5" w:tplc="E6CA970E">
      <w:numFmt w:val="bullet"/>
      <w:lvlText w:val="•"/>
      <w:lvlJc w:val="left"/>
      <w:pPr>
        <w:ind w:left="5286" w:hanging="360"/>
      </w:pPr>
      <w:rPr>
        <w:rFonts w:hint="default"/>
      </w:rPr>
    </w:lvl>
    <w:lvl w:ilvl="6" w:tplc="5D32D9AA">
      <w:numFmt w:val="bullet"/>
      <w:lvlText w:val="•"/>
      <w:lvlJc w:val="left"/>
      <w:pPr>
        <w:ind w:left="6251" w:hanging="360"/>
      </w:pPr>
      <w:rPr>
        <w:rFonts w:hint="default"/>
      </w:rPr>
    </w:lvl>
    <w:lvl w:ilvl="7" w:tplc="F8C2C314">
      <w:numFmt w:val="bullet"/>
      <w:lvlText w:val="•"/>
      <w:lvlJc w:val="left"/>
      <w:pPr>
        <w:ind w:left="7216" w:hanging="360"/>
      </w:pPr>
      <w:rPr>
        <w:rFonts w:hint="default"/>
      </w:rPr>
    </w:lvl>
    <w:lvl w:ilvl="8" w:tplc="599ADAA0">
      <w:numFmt w:val="bullet"/>
      <w:lvlText w:val="•"/>
      <w:lvlJc w:val="left"/>
      <w:pPr>
        <w:ind w:left="8181" w:hanging="360"/>
      </w:pPr>
      <w:rPr>
        <w:rFonts w:hint="default"/>
      </w:rPr>
    </w:lvl>
  </w:abstractNum>
  <w:abstractNum w:abstractNumId="22" w15:restartNumberingAfterBreak="0">
    <w:nsid w:val="17C0453F"/>
    <w:multiLevelType w:val="hybridMultilevel"/>
    <w:tmpl w:val="7840CF0E"/>
    <w:lvl w:ilvl="0" w:tplc="FFDE8C84">
      <w:numFmt w:val="bullet"/>
      <w:lvlText w:val=""/>
      <w:lvlJc w:val="left"/>
      <w:pPr>
        <w:ind w:left="105" w:hanging="360"/>
      </w:pPr>
      <w:rPr>
        <w:rFonts w:ascii="Symbol" w:eastAsia="Symbol" w:hAnsi="Symbol" w:cs="Symbol" w:hint="default"/>
        <w:w w:val="103"/>
        <w:sz w:val="19"/>
        <w:szCs w:val="19"/>
      </w:rPr>
    </w:lvl>
    <w:lvl w:ilvl="1" w:tplc="4FC48F8E">
      <w:numFmt w:val="bullet"/>
      <w:lvlText w:val="•"/>
      <w:lvlJc w:val="left"/>
      <w:pPr>
        <w:ind w:left="1094" w:hanging="360"/>
      </w:pPr>
      <w:rPr>
        <w:rFonts w:hint="default"/>
      </w:rPr>
    </w:lvl>
    <w:lvl w:ilvl="2" w:tplc="DF0A3978">
      <w:numFmt w:val="bullet"/>
      <w:lvlText w:val="•"/>
      <w:lvlJc w:val="left"/>
      <w:pPr>
        <w:ind w:left="2089" w:hanging="360"/>
      </w:pPr>
      <w:rPr>
        <w:rFonts w:hint="default"/>
      </w:rPr>
    </w:lvl>
    <w:lvl w:ilvl="3" w:tplc="22C423E8">
      <w:numFmt w:val="bullet"/>
      <w:lvlText w:val="•"/>
      <w:lvlJc w:val="left"/>
      <w:pPr>
        <w:ind w:left="3083" w:hanging="360"/>
      </w:pPr>
      <w:rPr>
        <w:rFonts w:hint="default"/>
      </w:rPr>
    </w:lvl>
    <w:lvl w:ilvl="4" w:tplc="EB082CDA">
      <w:numFmt w:val="bullet"/>
      <w:lvlText w:val="•"/>
      <w:lvlJc w:val="left"/>
      <w:pPr>
        <w:ind w:left="4078" w:hanging="360"/>
      </w:pPr>
      <w:rPr>
        <w:rFonts w:hint="default"/>
      </w:rPr>
    </w:lvl>
    <w:lvl w:ilvl="5" w:tplc="01BA9A9E">
      <w:numFmt w:val="bullet"/>
      <w:lvlText w:val="•"/>
      <w:lvlJc w:val="left"/>
      <w:pPr>
        <w:ind w:left="5073" w:hanging="360"/>
      </w:pPr>
      <w:rPr>
        <w:rFonts w:hint="default"/>
      </w:rPr>
    </w:lvl>
    <w:lvl w:ilvl="6" w:tplc="40C07A14">
      <w:numFmt w:val="bullet"/>
      <w:lvlText w:val="•"/>
      <w:lvlJc w:val="left"/>
      <w:pPr>
        <w:ind w:left="6067" w:hanging="360"/>
      </w:pPr>
      <w:rPr>
        <w:rFonts w:hint="default"/>
      </w:rPr>
    </w:lvl>
    <w:lvl w:ilvl="7" w:tplc="B11AD1BE">
      <w:numFmt w:val="bullet"/>
      <w:lvlText w:val="•"/>
      <w:lvlJc w:val="left"/>
      <w:pPr>
        <w:ind w:left="7062" w:hanging="360"/>
      </w:pPr>
      <w:rPr>
        <w:rFonts w:hint="default"/>
      </w:rPr>
    </w:lvl>
    <w:lvl w:ilvl="8" w:tplc="DDAA747C">
      <w:numFmt w:val="bullet"/>
      <w:lvlText w:val="•"/>
      <w:lvlJc w:val="left"/>
      <w:pPr>
        <w:ind w:left="8056" w:hanging="360"/>
      </w:pPr>
      <w:rPr>
        <w:rFonts w:hint="default"/>
      </w:rPr>
    </w:lvl>
  </w:abstractNum>
  <w:abstractNum w:abstractNumId="23" w15:restartNumberingAfterBreak="0">
    <w:nsid w:val="1A4D35B3"/>
    <w:multiLevelType w:val="hybridMultilevel"/>
    <w:tmpl w:val="88C6A33E"/>
    <w:lvl w:ilvl="0" w:tplc="EB84E784">
      <w:numFmt w:val="bullet"/>
      <w:lvlText w:val=""/>
      <w:lvlJc w:val="left"/>
      <w:pPr>
        <w:ind w:left="427" w:hanging="317"/>
      </w:pPr>
      <w:rPr>
        <w:rFonts w:ascii="Symbol" w:eastAsia="Symbol" w:hAnsi="Symbol" w:cs="Symbol" w:hint="default"/>
        <w:w w:val="103"/>
        <w:sz w:val="19"/>
        <w:szCs w:val="19"/>
      </w:rPr>
    </w:lvl>
    <w:lvl w:ilvl="1" w:tplc="60E4A8AC">
      <w:numFmt w:val="bullet"/>
      <w:lvlText w:val="•"/>
      <w:lvlJc w:val="left"/>
      <w:pPr>
        <w:ind w:left="1330" w:hanging="317"/>
      </w:pPr>
      <w:rPr>
        <w:rFonts w:hint="default"/>
      </w:rPr>
    </w:lvl>
    <w:lvl w:ilvl="2" w:tplc="5052C314">
      <w:numFmt w:val="bullet"/>
      <w:lvlText w:val="•"/>
      <w:lvlJc w:val="left"/>
      <w:pPr>
        <w:ind w:left="2241" w:hanging="317"/>
      </w:pPr>
      <w:rPr>
        <w:rFonts w:hint="default"/>
      </w:rPr>
    </w:lvl>
    <w:lvl w:ilvl="3" w:tplc="82546594">
      <w:numFmt w:val="bullet"/>
      <w:lvlText w:val="•"/>
      <w:lvlJc w:val="left"/>
      <w:pPr>
        <w:ind w:left="3152" w:hanging="317"/>
      </w:pPr>
      <w:rPr>
        <w:rFonts w:hint="default"/>
      </w:rPr>
    </w:lvl>
    <w:lvl w:ilvl="4" w:tplc="7878FB7E">
      <w:numFmt w:val="bullet"/>
      <w:lvlText w:val="•"/>
      <w:lvlJc w:val="left"/>
      <w:pPr>
        <w:ind w:left="4062" w:hanging="317"/>
      </w:pPr>
      <w:rPr>
        <w:rFonts w:hint="default"/>
      </w:rPr>
    </w:lvl>
    <w:lvl w:ilvl="5" w:tplc="9F5AA600">
      <w:numFmt w:val="bullet"/>
      <w:lvlText w:val="•"/>
      <w:lvlJc w:val="left"/>
      <w:pPr>
        <w:ind w:left="4973" w:hanging="317"/>
      </w:pPr>
      <w:rPr>
        <w:rFonts w:hint="default"/>
      </w:rPr>
    </w:lvl>
    <w:lvl w:ilvl="6" w:tplc="BE2E6706">
      <w:numFmt w:val="bullet"/>
      <w:lvlText w:val="•"/>
      <w:lvlJc w:val="left"/>
      <w:pPr>
        <w:ind w:left="5884" w:hanging="317"/>
      </w:pPr>
      <w:rPr>
        <w:rFonts w:hint="default"/>
      </w:rPr>
    </w:lvl>
    <w:lvl w:ilvl="7" w:tplc="B6042A48">
      <w:numFmt w:val="bullet"/>
      <w:lvlText w:val="•"/>
      <w:lvlJc w:val="left"/>
      <w:pPr>
        <w:ind w:left="6794" w:hanging="317"/>
      </w:pPr>
      <w:rPr>
        <w:rFonts w:hint="default"/>
      </w:rPr>
    </w:lvl>
    <w:lvl w:ilvl="8" w:tplc="7952AB8E">
      <w:numFmt w:val="bullet"/>
      <w:lvlText w:val="•"/>
      <w:lvlJc w:val="left"/>
      <w:pPr>
        <w:ind w:left="7705" w:hanging="317"/>
      </w:pPr>
      <w:rPr>
        <w:rFonts w:hint="default"/>
      </w:rPr>
    </w:lvl>
  </w:abstractNum>
  <w:abstractNum w:abstractNumId="24" w15:restartNumberingAfterBreak="0">
    <w:nsid w:val="1B9D1A6E"/>
    <w:multiLevelType w:val="hybridMultilevel"/>
    <w:tmpl w:val="52F4D164"/>
    <w:lvl w:ilvl="0" w:tplc="78864C10">
      <w:start w:val="1"/>
      <w:numFmt w:val="decimal"/>
      <w:lvlText w:val="%1)"/>
      <w:lvlJc w:val="left"/>
      <w:pPr>
        <w:ind w:left="467" w:hanging="357"/>
      </w:pPr>
      <w:rPr>
        <w:rFonts w:ascii="Arial" w:eastAsia="Arial" w:hAnsi="Arial" w:cs="Arial" w:hint="default"/>
        <w:spacing w:val="0"/>
        <w:w w:val="103"/>
        <w:sz w:val="19"/>
        <w:szCs w:val="19"/>
      </w:rPr>
    </w:lvl>
    <w:lvl w:ilvl="1" w:tplc="5DCEFA84">
      <w:numFmt w:val="bullet"/>
      <w:lvlText w:val="o"/>
      <w:lvlJc w:val="left"/>
      <w:pPr>
        <w:ind w:left="921" w:hanging="357"/>
      </w:pPr>
      <w:rPr>
        <w:rFonts w:ascii="Courier New" w:eastAsia="Courier New" w:hAnsi="Courier New" w:cs="Courier New" w:hint="default"/>
        <w:w w:val="103"/>
        <w:sz w:val="19"/>
        <w:szCs w:val="19"/>
      </w:rPr>
    </w:lvl>
    <w:lvl w:ilvl="2" w:tplc="27B6E682">
      <w:numFmt w:val="bullet"/>
      <w:lvlText w:val="•"/>
      <w:lvlJc w:val="left"/>
      <w:pPr>
        <w:ind w:left="1346" w:hanging="357"/>
      </w:pPr>
      <w:rPr>
        <w:rFonts w:ascii="Arial" w:eastAsia="Arial" w:hAnsi="Arial" w:cs="Arial" w:hint="default"/>
        <w:w w:val="103"/>
        <w:sz w:val="19"/>
        <w:szCs w:val="19"/>
      </w:rPr>
    </w:lvl>
    <w:lvl w:ilvl="3" w:tplc="B414F54C">
      <w:numFmt w:val="bullet"/>
      <w:lvlText w:val="•"/>
      <w:lvlJc w:val="left"/>
      <w:pPr>
        <w:ind w:left="2091" w:hanging="357"/>
      </w:pPr>
      <w:rPr>
        <w:rFonts w:hint="default"/>
      </w:rPr>
    </w:lvl>
    <w:lvl w:ilvl="4" w:tplc="05D638C4">
      <w:numFmt w:val="bullet"/>
      <w:lvlText w:val="•"/>
      <w:lvlJc w:val="left"/>
      <w:pPr>
        <w:ind w:left="2843" w:hanging="357"/>
      </w:pPr>
      <w:rPr>
        <w:rFonts w:hint="default"/>
      </w:rPr>
    </w:lvl>
    <w:lvl w:ilvl="5" w:tplc="20E676B8">
      <w:numFmt w:val="bullet"/>
      <w:lvlText w:val="•"/>
      <w:lvlJc w:val="left"/>
      <w:pPr>
        <w:ind w:left="3594" w:hanging="357"/>
      </w:pPr>
      <w:rPr>
        <w:rFonts w:hint="default"/>
      </w:rPr>
    </w:lvl>
    <w:lvl w:ilvl="6" w:tplc="14B81B4C">
      <w:numFmt w:val="bullet"/>
      <w:lvlText w:val="•"/>
      <w:lvlJc w:val="left"/>
      <w:pPr>
        <w:ind w:left="4346" w:hanging="357"/>
      </w:pPr>
      <w:rPr>
        <w:rFonts w:hint="default"/>
      </w:rPr>
    </w:lvl>
    <w:lvl w:ilvl="7" w:tplc="82020AB8">
      <w:numFmt w:val="bullet"/>
      <w:lvlText w:val="•"/>
      <w:lvlJc w:val="left"/>
      <w:pPr>
        <w:ind w:left="5098" w:hanging="357"/>
      </w:pPr>
      <w:rPr>
        <w:rFonts w:hint="default"/>
      </w:rPr>
    </w:lvl>
    <w:lvl w:ilvl="8" w:tplc="AB36D5B8">
      <w:numFmt w:val="bullet"/>
      <w:lvlText w:val="•"/>
      <w:lvlJc w:val="left"/>
      <w:pPr>
        <w:ind w:left="5849" w:hanging="357"/>
      </w:pPr>
      <w:rPr>
        <w:rFonts w:hint="default"/>
      </w:rPr>
    </w:lvl>
  </w:abstractNum>
  <w:abstractNum w:abstractNumId="25" w15:restartNumberingAfterBreak="0">
    <w:nsid w:val="1D2970B5"/>
    <w:multiLevelType w:val="hybridMultilevel"/>
    <w:tmpl w:val="56F8F810"/>
    <w:lvl w:ilvl="0" w:tplc="0550369C">
      <w:numFmt w:val="bullet"/>
      <w:lvlText w:val=""/>
      <w:lvlJc w:val="left"/>
      <w:pPr>
        <w:ind w:left="427" w:hanging="317"/>
      </w:pPr>
      <w:rPr>
        <w:rFonts w:ascii="Symbol" w:eastAsia="Symbol" w:hAnsi="Symbol" w:cs="Symbol" w:hint="default"/>
        <w:w w:val="103"/>
        <w:sz w:val="19"/>
        <w:szCs w:val="19"/>
      </w:rPr>
    </w:lvl>
    <w:lvl w:ilvl="1" w:tplc="7E4C95F4">
      <w:numFmt w:val="bullet"/>
      <w:lvlText w:val="•"/>
      <w:lvlJc w:val="left"/>
      <w:pPr>
        <w:ind w:left="1330" w:hanging="317"/>
      </w:pPr>
      <w:rPr>
        <w:rFonts w:hint="default"/>
      </w:rPr>
    </w:lvl>
    <w:lvl w:ilvl="2" w:tplc="48D45A3A">
      <w:numFmt w:val="bullet"/>
      <w:lvlText w:val="•"/>
      <w:lvlJc w:val="left"/>
      <w:pPr>
        <w:ind w:left="2241" w:hanging="317"/>
      </w:pPr>
      <w:rPr>
        <w:rFonts w:hint="default"/>
      </w:rPr>
    </w:lvl>
    <w:lvl w:ilvl="3" w:tplc="BA1A1346">
      <w:numFmt w:val="bullet"/>
      <w:lvlText w:val="•"/>
      <w:lvlJc w:val="left"/>
      <w:pPr>
        <w:ind w:left="3152" w:hanging="317"/>
      </w:pPr>
      <w:rPr>
        <w:rFonts w:hint="default"/>
      </w:rPr>
    </w:lvl>
    <w:lvl w:ilvl="4" w:tplc="E790077E">
      <w:numFmt w:val="bullet"/>
      <w:lvlText w:val="•"/>
      <w:lvlJc w:val="left"/>
      <w:pPr>
        <w:ind w:left="4062" w:hanging="317"/>
      </w:pPr>
      <w:rPr>
        <w:rFonts w:hint="default"/>
      </w:rPr>
    </w:lvl>
    <w:lvl w:ilvl="5" w:tplc="EBF2622A">
      <w:numFmt w:val="bullet"/>
      <w:lvlText w:val="•"/>
      <w:lvlJc w:val="left"/>
      <w:pPr>
        <w:ind w:left="4973" w:hanging="317"/>
      </w:pPr>
      <w:rPr>
        <w:rFonts w:hint="default"/>
      </w:rPr>
    </w:lvl>
    <w:lvl w:ilvl="6" w:tplc="7E9482C0">
      <w:numFmt w:val="bullet"/>
      <w:lvlText w:val="•"/>
      <w:lvlJc w:val="left"/>
      <w:pPr>
        <w:ind w:left="5884" w:hanging="317"/>
      </w:pPr>
      <w:rPr>
        <w:rFonts w:hint="default"/>
      </w:rPr>
    </w:lvl>
    <w:lvl w:ilvl="7" w:tplc="807A6A9E">
      <w:numFmt w:val="bullet"/>
      <w:lvlText w:val="•"/>
      <w:lvlJc w:val="left"/>
      <w:pPr>
        <w:ind w:left="6794" w:hanging="317"/>
      </w:pPr>
      <w:rPr>
        <w:rFonts w:hint="default"/>
      </w:rPr>
    </w:lvl>
    <w:lvl w:ilvl="8" w:tplc="9CDC21A0">
      <w:numFmt w:val="bullet"/>
      <w:lvlText w:val="•"/>
      <w:lvlJc w:val="left"/>
      <w:pPr>
        <w:ind w:left="7705" w:hanging="317"/>
      </w:pPr>
      <w:rPr>
        <w:rFonts w:hint="default"/>
      </w:rPr>
    </w:lvl>
  </w:abstractNum>
  <w:abstractNum w:abstractNumId="26" w15:restartNumberingAfterBreak="0">
    <w:nsid w:val="21154AF1"/>
    <w:multiLevelType w:val="hybridMultilevel"/>
    <w:tmpl w:val="75A2607A"/>
    <w:lvl w:ilvl="0" w:tplc="B3D0A544">
      <w:numFmt w:val="bullet"/>
      <w:lvlText w:val=""/>
      <w:lvlJc w:val="left"/>
      <w:pPr>
        <w:ind w:left="465" w:hanging="360"/>
      </w:pPr>
      <w:rPr>
        <w:rFonts w:ascii="Symbol" w:eastAsia="Symbol" w:hAnsi="Symbol" w:cs="Symbol" w:hint="default"/>
        <w:w w:val="103"/>
        <w:sz w:val="19"/>
        <w:szCs w:val="19"/>
      </w:rPr>
    </w:lvl>
    <w:lvl w:ilvl="1" w:tplc="9A9A841E">
      <w:numFmt w:val="bullet"/>
      <w:lvlText w:val="•"/>
      <w:lvlJc w:val="left"/>
      <w:pPr>
        <w:ind w:left="1418" w:hanging="360"/>
      </w:pPr>
      <w:rPr>
        <w:rFonts w:hint="default"/>
      </w:rPr>
    </w:lvl>
    <w:lvl w:ilvl="2" w:tplc="077C6D96">
      <w:numFmt w:val="bullet"/>
      <w:lvlText w:val="•"/>
      <w:lvlJc w:val="left"/>
      <w:pPr>
        <w:ind w:left="2377" w:hanging="360"/>
      </w:pPr>
      <w:rPr>
        <w:rFonts w:hint="default"/>
      </w:rPr>
    </w:lvl>
    <w:lvl w:ilvl="3" w:tplc="A1ACEE3A">
      <w:numFmt w:val="bullet"/>
      <w:lvlText w:val="•"/>
      <w:lvlJc w:val="left"/>
      <w:pPr>
        <w:ind w:left="3335" w:hanging="360"/>
      </w:pPr>
      <w:rPr>
        <w:rFonts w:hint="default"/>
      </w:rPr>
    </w:lvl>
    <w:lvl w:ilvl="4" w:tplc="B2EA4D16">
      <w:numFmt w:val="bullet"/>
      <w:lvlText w:val="•"/>
      <w:lvlJc w:val="left"/>
      <w:pPr>
        <w:ind w:left="4294" w:hanging="360"/>
      </w:pPr>
      <w:rPr>
        <w:rFonts w:hint="default"/>
      </w:rPr>
    </w:lvl>
    <w:lvl w:ilvl="5" w:tplc="A11ADAE6">
      <w:numFmt w:val="bullet"/>
      <w:lvlText w:val="•"/>
      <w:lvlJc w:val="left"/>
      <w:pPr>
        <w:ind w:left="5253" w:hanging="360"/>
      </w:pPr>
      <w:rPr>
        <w:rFonts w:hint="default"/>
      </w:rPr>
    </w:lvl>
    <w:lvl w:ilvl="6" w:tplc="2E84FDBE">
      <w:numFmt w:val="bullet"/>
      <w:lvlText w:val="•"/>
      <w:lvlJc w:val="left"/>
      <w:pPr>
        <w:ind w:left="6211" w:hanging="360"/>
      </w:pPr>
      <w:rPr>
        <w:rFonts w:hint="default"/>
      </w:rPr>
    </w:lvl>
    <w:lvl w:ilvl="7" w:tplc="024EAAE6">
      <w:numFmt w:val="bullet"/>
      <w:lvlText w:val="•"/>
      <w:lvlJc w:val="left"/>
      <w:pPr>
        <w:ind w:left="7170" w:hanging="360"/>
      </w:pPr>
      <w:rPr>
        <w:rFonts w:hint="default"/>
      </w:rPr>
    </w:lvl>
    <w:lvl w:ilvl="8" w:tplc="E2C88EF8">
      <w:numFmt w:val="bullet"/>
      <w:lvlText w:val="•"/>
      <w:lvlJc w:val="left"/>
      <w:pPr>
        <w:ind w:left="8128" w:hanging="360"/>
      </w:pPr>
      <w:rPr>
        <w:rFonts w:hint="default"/>
      </w:rPr>
    </w:lvl>
  </w:abstractNum>
  <w:abstractNum w:abstractNumId="27" w15:restartNumberingAfterBreak="0">
    <w:nsid w:val="221123DE"/>
    <w:multiLevelType w:val="hybridMultilevel"/>
    <w:tmpl w:val="8A6CF240"/>
    <w:lvl w:ilvl="0" w:tplc="2340B942">
      <w:numFmt w:val="bullet"/>
      <w:lvlText w:val=""/>
      <w:lvlJc w:val="left"/>
      <w:pPr>
        <w:ind w:left="654" w:hanging="360"/>
      </w:pPr>
      <w:rPr>
        <w:rFonts w:ascii="Symbol" w:eastAsia="Symbol" w:hAnsi="Symbol" w:cs="Symbol" w:hint="default"/>
        <w:w w:val="103"/>
        <w:sz w:val="19"/>
        <w:szCs w:val="19"/>
      </w:rPr>
    </w:lvl>
    <w:lvl w:ilvl="1" w:tplc="A1A6D1EE">
      <w:numFmt w:val="bullet"/>
      <w:lvlText w:val="•"/>
      <w:lvlJc w:val="left"/>
      <w:pPr>
        <w:ind w:left="1134" w:hanging="360"/>
      </w:pPr>
      <w:rPr>
        <w:rFonts w:hint="default"/>
      </w:rPr>
    </w:lvl>
    <w:lvl w:ilvl="2" w:tplc="304896BC">
      <w:numFmt w:val="bullet"/>
      <w:lvlText w:val="•"/>
      <w:lvlJc w:val="left"/>
      <w:pPr>
        <w:ind w:left="1609" w:hanging="360"/>
      </w:pPr>
      <w:rPr>
        <w:rFonts w:hint="default"/>
      </w:rPr>
    </w:lvl>
    <w:lvl w:ilvl="3" w:tplc="28EE8B68">
      <w:numFmt w:val="bullet"/>
      <w:lvlText w:val="•"/>
      <w:lvlJc w:val="left"/>
      <w:pPr>
        <w:ind w:left="2084" w:hanging="360"/>
      </w:pPr>
      <w:rPr>
        <w:rFonts w:hint="default"/>
      </w:rPr>
    </w:lvl>
    <w:lvl w:ilvl="4" w:tplc="AFA4B572">
      <w:numFmt w:val="bullet"/>
      <w:lvlText w:val="•"/>
      <w:lvlJc w:val="left"/>
      <w:pPr>
        <w:ind w:left="2558" w:hanging="360"/>
      </w:pPr>
      <w:rPr>
        <w:rFonts w:hint="default"/>
      </w:rPr>
    </w:lvl>
    <w:lvl w:ilvl="5" w:tplc="4C247DF8">
      <w:numFmt w:val="bullet"/>
      <w:lvlText w:val="•"/>
      <w:lvlJc w:val="left"/>
      <w:pPr>
        <w:ind w:left="3033" w:hanging="360"/>
      </w:pPr>
      <w:rPr>
        <w:rFonts w:hint="default"/>
      </w:rPr>
    </w:lvl>
    <w:lvl w:ilvl="6" w:tplc="FA4013A2">
      <w:numFmt w:val="bullet"/>
      <w:lvlText w:val="•"/>
      <w:lvlJc w:val="left"/>
      <w:pPr>
        <w:ind w:left="3508" w:hanging="360"/>
      </w:pPr>
      <w:rPr>
        <w:rFonts w:hint="default"/>
      </w:rPr>
    </w:lvl>
    <w:lvl w:ilvl="7" w:tplc="7E9A73BA">
      <w:numFmt w:val="bullet"/>
      <w:lvlText w:val="•"/>
      <w:lvlJc w:val="left"/>
      <w:pPr>
        <w:ind w:left="3982" w:hanging="360"/>
      </w:pPr>
      <w:rPr>
        <w:rFonts w:hint="default"/>
      </w:rPr>
    </w:lvl>
    <w:lvl w:ilvl="8" w:tplc="0310F7F2">
      <w:numFmt w:val="bullet"/>
      <w:lvlText w:val="•"/>
      <w:lvlJc w:val="left"/>
      <w:pPr>
        <w:ind w:left="4457" w:hanging="360"/>
      </w:pPr>
      <w:rPr>
        <w:rFonts w:hint="default"/>
      </w:rPr>
    </w:lvl>
  </w:abstractNum>
  <w:abstractNum w:abstractNumId="28" w15:restartNumberingAfterBreak="0">
    <w:nsid w:val="22A70F9C"/>
    <w:multiLevelType w:val="hybridMultilevel"/>
    <w:tmpl w:val="0C8CC930"/>
    <w:lvl w:ilvl="0" w:tplc="AE4C2AAC">
      <w:numFmt w:val="bullet"/>
      <w:lvlText w:val=""/>
      <w:lvlJc w:val="left"/>
      <w:pPr>
        <w:ind w:left="470" w:hanging="360"/>
      </w:pPr>
      <w:rPr>
        <w:rFonts w:ascii="Symbol" w:eastAsia="Symbol" w:hAnsi="Symbol" w:cs="Symbol" w:hint="default"/>
        <w:w w:val="103"/>
        <w:sz w:val="19"/>
        <w:szCs w:val="19"/>
      </w:rPr>
    </w:lvl>
    <w:lvl w:ilvl="1" w:tplc="50ECEBB4">
      <w:numFmt w:val="bullet"/>
      <w:lvlText w:val="o"/>
      <w:lvlJc w:val="left"/>
      <w:pPr>
        <w:ind w:left="926" w:hanging="357"/>
      </w:pPr>
      <w:rPr>
        <w:rFonts w:ascii="Courier New" w:eastAsia="Courier New" w:hAnsi="Courier New" w:cs="Courier New" w:hint="default"/>
        <w:w w:val="103"/>
        <w:sz w:val="19"/>
        <w:szCs w:val="19"/>
      </w:rPr>
    </w:lvl>
    <w:lvl w:ilvl="2" w:tplc="EB5245F8">
      <w:numFmt w:val="bullet"/>
      <w:lvlText w:val="•"/>
      <w:lvlJc w:val="left"/>
      <w:pPr>
        <w:ind w:left="1876" w:hanging="357"/>
      </w:pPr>
      <w:rPr>
        <w:rFonts w:hint="default"/>
      </w:rPr>
    </w:lvl>
    <w:lvl w:ilvl="3" w:tplc="B5AC2096">
      <w:numFmt w:val="bullet"/>
      <w:lvlText w:val="•"/>
      <w:lvlJc w:val="left"/>
      <w:pPr>
        <w:ind w:left="2832" w:hanging="357"/>
      </w:pPr>
      <w:rPr>
        <w:rFonts w:hint="default"/>
      </w:rPr>
    </w:lvl>
    <w:lvl w:ilvl="4" w:tplc="79C623A8">
      <w:numFmt w:val="bullet"/>
      <w:lvlText w:val="•"/>
      <w:lvlJc w:val="left"/>
      <w:pPr>
        <w:ind w:left="3789" w:hanging="357"/>
      </w:pPr>
      <w:rPr>
        <w:rFonts w:hint="default"/>
      </w:rPr>
    </w:lvl>
    <w:lvl w:ilvl="5" w:tplc="3A2E893C">
      <w:numFmt w:val="bullet"/>
      <w:lvlText w:val="•"/>
      <w:lvlJc w:val="left"/>
      <w:pPr>
        <w:ind w:left="4745" w:hanging="357"/>
      </w:pPr>
      <w:rPr>
        <w:rFonts w:hint="default"/>
      </w:rPr>
    </w:lvl>
    <w:lvl w:ilvl="6" w:tplc="6C0A47E4">
      <w:numFmt w:val="bullet"/>
      <w:lvlText w:val="•"/>
      <w:lvlJc w:val="left"/>
      <w:pPr>
        <w:ind w:left="5701" w:hanging="357"/>
      </w:pPr>
      <w:rPr>
        <w:rFonts w:hint="default"/>
      </w:rPr>
    </w:lvl>
    <w:lvl w:ilvl="7" w:tplc="6212A880">
      <w:numFmt w:val="bullet"/>
      <w:lvlText w:val="•"/>
      <w:lvlJc w:val="left"/>
      <w:pPr>
        <w:ind w:left="6658" w:hanging="357"/>
      </w:pPr>
      <w:rPr>
        <w:rFonts w:hint="default"/>
      </w:rPr>
    </w:lvl>
    <w:lvl w:ilvl="8" w:tplc="C2061450">
      <w:numFmt w:val="bullet"/>
      <w:lvlText w:val="•"/>
      <w:lvlJc w:val="left"/>
      <w:pPr>
        <w:ind w:left="7614" w:hanging="357"/>
      </w:pPr>
      <w:rPr>
        <w:rFonts w:hint="default"/>
      </w:rPr>
    </w:lvl>
  </w:abstractNum>
  <w:abstractNum w:abstractNumId="29" w15:restartNumberingAfterBreak="0">
    <w:nsid w:val="240D4564"/>
    <w:multiLevelType w:val="hybridMultilevel"/>
    <w:tmpl w:val="C48EF564"/>
    <w:lvl w:ilvl="0" w:tplc="A770E572">
      <w:numFmt w:val="bullet"/>
      <w:lvlText w:val=""/>
      <w:lvlJc w:val="left"/>
      <w:pPr>
        <w:ind w:left="464" w:hanging="360"/>
      </w:pPr>
      <w:rPr>
        <w:rFonts w:ascii="Symbol" w:eastAsia="Symbol" w:hAnsi="Symbol" w:cs="Symbol" w:hint="default"/>
        <w:w w:val="103"/>
        <w:sz w:val="19"/>
        <w:szCs w:val="19"/>
      </w:rPr>
    </w:lvl>
    <w:lvl w:ilvl="1" w:tplc="09C65F68">
      <w:numFmt w:val="bullet"/>
      <w:lvlText w:val="•"/>
      <w:lvlJc w:val="left"/>
      <w:pPr>
        <w:ind w:left="993" w:hanging="360"/>
      </w:pPr>
      <w:rPr>
        <w:rFonts w:hint="default"/>
      </w:rPr>
    </w:lvl>
    <w:lvl w:ilvl="2" w:tplc="AEB02636">
      <w:numFmt w:val="bullet"/>
      <w:lvlText w:val="•"/>
      <w:lvlJc w:val="left"/>
      <w:pPr>
        <w:ind w:left="1526" w:hanging="360"/>
      </w:pPr>
      <w:rPr>
        <w:rFonts w:hint="default"/>
      </w:rPr>
    </w:lvl>
    <w:lvl w:ilvl="3" w:tplc="5B4CF502">
      <w:numFmt w:val="bullet"/>
      <w:lvlText w:val="•"/>
      <w:lvlJc w:val="left"/>
      <w:pPr>
        <w:ind w:left="2059" w:hanging="360"/>
      </w:pPr>
      <w:rPr>
        <w:rFonts w:hint="default"/>
      </w:rPr>
    </w:lvl>
    <w:lvl w:ilvl="4" w:tplc="003A2042">
      <w:numFmt w:val="bullet"/>
      <w:lvlText w:val="•"/>
      <w:lvlJc w:val="left"/>
      <w:pPr>
        <w:ind w:left="2593" w:hanging="360"/>
      </w:pPr>
      <w:rPr>
        <w:rFonts w:hint="default"/>
      </w:rPr>
    </w:lvl>
    <w:lvl w:ilvl="5" w:tplc="017C5AAE">
      <w:numFmt w:val="bullet"/>
      <w:lvlText w:val="•"/>
      <w:lvlJc w:val="left"/>
      <w:pPr>
        <w:ind w:left="3126" w:hanging="360"/>
      </w:pPr>
      <w:rPr>
        <w:rFonts w:hint="default"/>
      </w:rPr>
    </w:lvl>
    <w:lvl w:ilvl="6" w:tplc="4CA24538">
      <w:numFmt w:val="bullet"/>
      <w:lvlText w:val="•"/>
      <w:lvlJc w:val="left"/>
      <w:pPr>
        <w:ind w:left="3659" w:hanging="360"/>
      </w:pPr>
      <w:rPr>
        <w:rFonts w:hint="default"/>
      </w:rPr>
    </w:lvl>
    <w:lvl w:ilvl="7" w:tplc="E96A4BDC">
      <w:numFmt w:val="bullet"/>
      <w:lvlText w:val="•"/>
      <w:lvlJc w:val="left"/>
      <w:pPr>
        <w:ind w:left="4193" w:hanging="360"/>
      </w:pPr>
      <w:rPr>
        <w:rFonts w:hint="default"/>
      </w:rPr>
    </w:lvl>
    <w:lvl w:ilvl="8" w:tplc="BEF20422">
      <w:numFmt w:val="bullet"/>
      <w:lvlText w:val="•"/>
      <w:lvlJc w:val="left"/>
      <w:pPr>
        <w:ind w:left="4726" w:hanging="360"/>
      </w:pPr>
      <w:rPr>
        <w:rFonts w:hint="default"/>
      </w:rPr>
    </w:lvl>
  </w:abstractNum>
  <w:abstractNum w:abstractNumId="30" w15:restartNumberingAfterBreak="0">
    <w:nsid w:val="25DD4C6B"/>
    <w:multiLevelType w:val="hybridMultilevel"/>
    <w:tmpl w:val="D3305F62"/>
    <w:lvl w:ilvl="0" w:tplc="98BCFEB8">
      <w:numFmt w:val="bullet"/>
      <w:lvlText w:val=""/>
      <w:lvlJc w:val="left"/>
      <w:pPr>
        <w:ind w:left="467" w:hanging="357"/>
      </w:pPr>
      <w:rPr>
        <w:rFonts w:ascii="Symbol" w:eastAsia="Symbol" w:hAnsi="Symbol" w:cs="Symbol" w:hint="default"/>
        <w:w w:val="103"/>
        <w:sz w:val="19"/>
        <w:szCs w:val="19"/>
      </w:rPr>
    </w:lvl>
    <w:lvl w:ilvl="1" w:tplc="7D2C70CE">
      <w:numFmt w:val="bullet"/>
      <w:lvlText w:val="•"/>
      <w:lvlJc w:val="left"/>
      <w:pPr>
        <w:ind w:left="1319" w:hanging="357"/>
      </w:pPr>
      <w:rPr>
        <w:rFonts w:hint="default"/>
      </w:rPr>
    </w:lvl>
    <w:lvl w:ilvl="2" w:tplc="EB0AA2D4">
      <w:numFmt w:val="bullet"/>
      <w:lvlText w:val="•"/>
      <w:lvlJc w:val="left"/>
      <w:pPr>
        <w:ind w:left="2178" w:hanging="357"/>
      </w:pPr>
      <w:rPr>
        <w:rFonts w:hint="default"/>
      </w:rPr>
    </w:lvl>
    <w:lvl w:ilvl="3" w:tplc="2A707D78">
      <w:numFmt w:val="bullet"/>
      <w:lvlText w:val="•"/>
      <w:lvlJc w:val="left"/>
      <w:pPr>
        <w:ind w:left="3037" w:hanging="357"/>
      </w:pPr>
      <w:rPr>
        <w:rFonts w:hint="default"/>
      </w:rPr>
    </w:lvl>
    <w:lvl w:ilvl="4" w:tplc="CCC8AEE8">
      <w:numFmt w:val="bullet"/>
      <w:lvlText w:val="•"/>
      <w:lvlJc w:val="left"/>
      <w:pPr>
        <w:ind w:left="3896" w:hanging="357"/>
      </w:pPr>
      <w:rPr>
        <w:rFonts w:hint="default"/>
      </w:rPr>
    </w:lvl>
    <w:lvl w:ilvl="5" w:tplc="6A3874E2">
      <w:numFmt w:val="bullet"/>
      <w:lvlText w:val="•"/>
      <w:lvlJc w:val="left"/>
      <w:pPr>
        <w:ind w:left="4756" w:hanging="357"/>
      </w:pPr>
      <w:rPr>
        <w:rFonts w:hint="default"/>
      </w:rPr>
    </w:lvl>
    <w:lvl w:ilvl="6" w:tplc="64B4A788">
      <w:numFmt w:val="bullet"/>
      <w:lvlText w:val="•"/>
      <w:lvlJc w:val="left"/>
      <w:pPr>
        <w:ind w:left="5615" w:hanging="357"/>
      </w:pPr>
      <w:rPr>
        <w:rFonts w:hint="default"/>
      </w:rPr>
    </w:lvl>
    <w:lvl w:ilvl="7" w:tplc="7E8E99A8">
      <w:numFmt w:val="bullet"/>
      <w:lvlText w:val="•"/>
      <w:lvlJc w:val="left"/>
      <w:pPr>
        <w:ind w:left="6474" w:hanging="357"/>
      </w:pPr>
      <w:rPr>
        <w:rFonts w:hint="default"/>
      </w:rPr>
    </w:lvl>
    <w:lvl w:ilvl="8" w:tplc="2C38A6D6">
      <w:numFmt w:val="bullet"/>
      <w:lvlText w:val="•"/>
      <w:lvlJc w:val="left"/>
      <w:pPr>
        <w:ind w:left="7333" w:hanging="357"/>
      </w:pPr>
      <w:rPr>
        <w:rFonts w:hint="default"/>
      </w:rPr>
    </w:lvl>
  </w:abstractNum>
  <w:abstractNum w:abstractNumId="31" w15:restartNumberingAfterBreak="0">
    <w:nsid w:val="27540BA1"/>
    <w:multiLevelType w:val="hybridMultilevel"/>
    <w:tmpl w:val="8638A366"/>
    <w:lvl w:ilvl="0" w:tplc="0B2A8CDE">
      <w:numFmt w:val="bullet"/>
      <w:lvlText w:val=""/>
      <w:lvlJc w:val="left"/>
      <w:pPr>
        <w:ind w:left="470" w:hanging="360"/>
      </w:pPr>
      <w:rPr>
        <w:rFonts w:ascii="Symbol" w:eastAsia="Symbol" w:hAnsi="Symbol" w:cs="Symbol" w:hint="default"/>
        <w:w w:val="103"/>
        <w:sz w:val="19"/>
        <w:szCs w:val="19"/>
      </w:rPr>
    </w:lvl>
    <w:lvl w:ilvl="1" w:tplc="9BE64882">
      <w:numFmt w:val="bullet"/>
      <w:lvlText w:val="•"/>
      <w:lvlJc w:val="left"/>
      <w:pPr>
        <w:ind w:left="867" w:hanging="360"/>
      </w:pPr>
      <w:rPr>
        <w:rFonts w:hint="default"/>
      </w:rPr>
    </w:lvl>
    <w:lvl w:ilvl="2" w:tplc="25D0E24A">
      <w:numFmt w:val="bullet"/>
      <w:lvlText w:val="•"/>
      <w:lvlJc w:val="left"/>
      <w:pPr>
        <w:ind w:left="1255" w:hanging="360"/>
      </w:pPr>
      <w:rPr>
        <w:rFonts w:hint="default"/>
      </w:rPr>
    </w:lvl>
    <w:lvl w:ilvl="3" w:tplc="D1C86626">
      <w:numFmt w:val="bullet"/>
      <w:lvlText w:val="•"/>
      <w:lvlJc w:val="left"/>
      <w:pPr>
        <w:ind w:left="1642" w:hanging="360"/>
      </w:pPr>
      <w:rPr>
        <w:rFonts w:hint="default"/>
      </w:rPr>
    </w:lvl>
    <w:lvl w:ilvl="4" w:tplc="3F6EBDD4">
      <w:numFmt w:val="bullet"/>
      <w:lvlText w:val="•"/>
      <w:lvlJc w:val="left"/>
      <w:pPr>
        <w:ind w:left="2030" w:hanging="360"/>
      </w:pPr>
      <w:rPr>
        <w:rFonts w:hint="default"/>
      </w:rPr>
    </w:lvl>
    <w:lvl w:ilvl="5" w:tplc="1590BD48">
      <w:numFmt w:val="bullet"/>
      <w:lvlText w:val="•"/>
      <w:lvlJc w:val="left"/>
      <w:pPr>
        <w:ind w:left="2418" w:hanging="360"/>
      </w:pPr>
      <w:rPr>
        <w:rFonts w:hint="default"/>
      </w:rPr>
    </w:lvl>
    <w:lvl w:ilvl="6" w:tplc="19E492A2">
      <w:numFmt w:val="bullet"/>
      <w:lvlText w:val="•"/>
      <w:lvlJc w:val="left"/>
      <w:pPr>
        <w:ind w:left="2805" w:hanging="360"/>
      </w:pPr>
      <w:rPr>
        <w:rFonts w:hint="default"/>
      </w:rPr>
    </w:lvl>
    <w:lvl w:ilvl="7" w:tplc="CD585008">
      <w:numFmt w:val="bullet"/>
      <w:lvlText w:val="•"/>
      <w:lvlJc w:val="left"/>
      <w:pPr>
        <w:ind w:left="3193" w:hanging="360"/>
      </w:pPr>
      <w:rPr>
        <w:rFonts w:hint="default"/>
      </w:rPr>
    </w:lvl>
    <w:lvl w:ilvl="8" w:tplc="D7465A9C">
      <w:numFmt w:val="bullet"/>
      <w:lvlText w:val="•"/>
      <w:lvlJc w:val="left"/>
      <w:pPr>
        <w:ind w:left="3580" w:hanging="360"/>
      </w:pPr>
      <w:rPr>
        <w:rFonts w:hint="default"/>
      </w:rPr>
    </w:lvl>
  </w:abstractNum>
  <w:abstractNum w:abstractNumId="32" w15:restartNumberingAfterBreak="0">
    <w:nsid w:val="27D371DF"/>
    <w:multiLevelType w:val="hybridMultilevel"/>
    <w:tmpl w:val="6F1AA94E"/>
    <w:lvl w:ilvl="0" w:tplc="999C96AC">
      <w:numFmt w:val="bullet"/>
      <w:lvlText w:val=""/>
      <w:lvlJc w:val="left"/>
      <w:pPr>
        <w:ind w:left="470" w:hanging="360"/>
      </w:pPr>
      <w:rPr>
        <w:rFonts w:ascii="Symbol" w:eastAsia="Symbol" w:hAnsi="Symbol" w:cs="Symbol" w:hint="default"/>
        <w:w w:val="103"/>
        <w:sz w:val="19"/>
        <w:szCs w:val="19"/>
      </w:rPr>
    </w:lvl>
    <w:lvl w:ilvl="1" w:tplc="DC50751E">
      <w:numFmt w:val="bullet"/>
      <w:lvlText w:val="•"/>
      <w:lvlJc w:val="left"/>
      <w:pPr>
        <w:ind w:left="1366" w:hanging="360"/>
      </w:pPr>
      <w:rPr>
        <w:rFonts w:hint="default"/>
      </w:rPr>
    </w:lvl>
    <w:lvl w:ilvl="2" w:tplc="9BF0D600">
      <w:numFmt w:val="bullet"/>
      <w:lvlText w:val="•"/>
      <w:lvlJc w:val="left"/>
      <w:pPr>
        <w:ind w:left="2273" w:hanging="360"/>
      </w:pPr>
      <w:rPr>
        <w:rFonts w:hint="default"/>
      </w:rPr>
    </w:lvl>
    <w:lvl w:ilvl="3" w:tplc="6B9CAB1A">
      <w:numFmt w:val="bullet"/>
      <w:lvlText w:val="•"/>
      <w:lvlJc w:val="left"/>
      <w:pPr>
        <w:ind w:left="3180" w:hanging="360"/>
      </w:pPr>
      <w:rPr>
        <w:rFonts w:hint="default"/>
      </w:rPr>
    </w:lvl>
    <w:lvl w:ilvl="4" w:tplc="A31C1B4A">
      <w:numFmt w:val="bullet"/>
      <w:lvlText w:val="•"/>
      <w:lvlJc w:val="left"/>
      <w:pPr>
        <w:ind w:left="4086" w:hanging="360"/>
      </w:pPr>
      <w:rPr>
        <w:rFonts w:hint="default"/>
      </w:rPr>
    </w:lvl>
    <w:lvl w:ilvl="5" w:tplc="53BCBBF4">
      <w:numFmt w:val="bullet"/>
      <w:lvlText w:val="•"/>
      <w:lvlJc w:val="left"/>
      <w:pPr>
        <w:ind w:left="4993" w:hanging="360"/>
      </w:pPr>
      <w:rPr>
        <w:rFonts w:hint="default"/>
      </w:rPr>
    </w:lvl>
    <w:lvl w:ilvl="6" w:tplc="0DD02B3C">
      <w:numFmt w:val="bullet"/>
      <w:lvlText w:val="•"/>
      <w:lvlJc w:val="left"/>
      <w:pPr>
        <w:ind w:left="5900" w:hanging="360"/>
      </w:pPr>
      <w:rPr>
        <w:rFonts w:hint="default"/>
      </w:rPr>
    </w:lvl>
    <w:lvl w:ilvl="7" w:tplc="E3C23DF6">
      <w:numFmt w:val="bullet"/>
      <w:lvlText w:val="•"/>
      <w:lvlJc w:val="left"/>
      <w:pPr>
        <w:ind w:left="6806" w:hanging="360"/>
      </w:pPr>
      <w:rPr>
        <w:rFonts w:hint="default"/>
      </w:rPr>
    </w:lvl>
    <w:lvl w:ilvl="8" w:tplc="851CE3AC">
      <w:numFmt w:val="bullet"/>
      <w:lvlText w:val="•"/>
      <w:lvlJc w:val="left"/>
      <w:pPr>
        <w:ind w:left="7713" w:hanging="360"/>
      </w:pPr>
      <w:rPr>
        <w:rFonts w:hint="default"/>
      </w:rPr>
    </w:lvl>
  </w:abstractNum>
  <w:abstractNum w:abstractNumId="33" w15:restartNumberingAfterBreak="0">
    <w:nsid w:val="291A1077"/>
    <w:multiLevelType w:val="hybridMultilevel"/>
    <w:tmpl w:val="CF3CEEA4"/>
    <w:lvl w:ilvl="0" w:tplc="C8B8BC9E">
      <w:numFmt w:val="bullet"/>
      <w:lvlText w:val=""/>
      <w:lvlJc w:val="left"/>
      <w:pPr>
        <w:ind w:left="470" w:hanging="360"/>
      </w:pPr>
      <w:rPr>
        <w:rFonts w:ascii="Symbol" w:eastAsia="Symbol" w:hAnsi="Symbol" w:cs="Symbol" w:hint="default"/>
        <w:w w:val="103"/>
        <w:sz w:val="19"/>
        <w:szCs w:val="19"/>
      </w:rPr>
    </w:lvl>
    <w:lvl w:ilvl="1" w:tplc="7A72F882">
      <w:numFmt w:val="bullet"/>
      <w:lvlText w:val="•"/>
      <w:lvlJc w:val="left"/>
      <w:pPr>
        <w:ind w:left="1366" w:hanging="360"/>
      </w:pPr>
      <w:rPr>
        <w:rFonts w:hint="default"/>
      </w:rPr>
    </w:lvl>
    <w:lvl w:ilvl="2" w:tplc="604A5722">
      <w:numFmt w:val="bullet"/>
      <w:lvlText w:val="•"/>
      <w:lvlJc w:val="left"/>
      <w:pPr>
        <w:ind w:left="2273" w:hanging="360"/>
      </w:pPr>
      <w:rPr>
        <w:rFonts w:hint="default"/>
      </w:rPr>
    </w:lvl>
    <w:lvl w:ilvl="3" w:tplc="2D2C67E2">
      <w:numFmt w:val="bullet"/>
      <w:lvlText w:val="•"/>
      <w:lvlJc w:val="left"/>
      <w:pPr>
        <w:ind w:left="3180" w:hanging="360"/>
      </w:pPr>
      <w:rPr>
        <w:rFonts w:hint="default"/>
      </w:rPr>
    </w:lvl>
    <w:lvl w:ilvl="4" w:tplc="E6FA9116">
      <w:numFmt w:val="bullet"/>
      <w:lvlText w:val="•"/>
      <w:lvlJc w:val="left"/>
      <w:pPr>
        <w:ind w:left="4086" w:hanging="360"/>
      </w:pPr>
      <w:rPr>
        <w:rFonts w:hint="default"/>
      </w:rPr>
    </w:lvl>
    <w:lvl w:ilvl="5" w:tplc="879A8496">
      <w:numFmt w:val="bullet"/>
      <w:lvlText w:val="•"/>
      <w:lvlJc w:val="left"/>
      <w:pPr>
        <w:ind w:left="4993" w:hanging="360"/>
      </w:pPr>
      <w:rPr>
        <w:rFonts w:hint="default"/>
      </w:rPr>
    </w:lvl>
    <w:lvl w:ilvl="6" w:tplc="03E8575C">
      <w:numFmt w:val="bullet"/>
      <w:lvlText w:val="•"/>
      <w:lvlJc w:val="left"/>
      <w:pPr>
        <w:ind w:left="5900" w:hanging="360"/>
      </w:pPr>
      <w:rPr>
        <w:rFonts w:hint="default"/>
      </w:rPr>
    </w:lvl>
    <w:lvl w:ilvl="7" w:tplc="F26A8A70">
      <w:numFmt w:val="bullet"/>
      <w:lvlText w:val="•"/>
      <w:lvlJc w:val="left"/>
      <w:pPr>
        <w:ind w:left="6806" w:hanging="360"/>
      </w:pPr>
      <w:rPr>
        <w:rFonts w:hint="default"/>
      </w:rPr>
    </w:lvl>
    <w:lvl w:ilvl="8" w:tplc="7CD684C8">
      <w:numFmt w:val="bullet"/>
      <w:lvlText w:val="•"/>
      <w:lvlJc w:val="left"/>
      <w:pPr>
        <w:ind w:left="7713" w:hanging="360"/>
      </w:pPr>
      <w:rPr>
        <w:rFonts w:hint="default"/>
      </w:rPr>
    </w:lvl>
  </w:abstractNum>
  <w:abstractNum w:abstractNumId="34" w15:restartNumberingAfterBreak="0">
    <w:nsid w:val="2A4D0D7A"/>
    <w:multiLevelType w:val="hybridMultilevel"/>
    <w:tmpl w:val="7CAAFFE6"/>
    <w:lvl w:ilvl="0" w:tplc="BC5C84D0">
      <w:numFmt w:val="bullet"/>
      <w:lvlText w:val=""/>
      <w:lvlJc w:val="left"/>
      <w:pPr>
        <w:ind w:left="464" w:hanging="360"/>
      </w:pPr>
      <w:rPr>
        <w:rFonts w:ascii="Symbol" w:eastAsia="Symbol" w:hAnsi="Symbol" w:cs="Symbol" w:hint="default"/>
        <w:w w:val="103"/>
        <w:sz w:val="19"/>
        <w:szCs w:val="19"/>
      </w:rPr>
    </w:lvl>
    <w:lvl w:ilvl="1" w:tplc="85D0F07E">
      <w:numFmt w:val="bullet"/>
      <w:lvlText w:val="•"/>
      <w:lvlJc w:val="left"/>
      <w:pPr>
        <w:ind w:left="993" w:hanging="360"/>
      </w:pPr>
      <w:rPr>
        <w:rFonts w:hint="default"/>
      </w:rPr>
    </w:lvl>
    <w:lvl w:ilvl="2" w:tplc="BDD89840">
      <w:numFmt w:val="bullet"/>
      <w:lvlText w:val="•"/>
      <w:lvlJc w:val="left"/>
      <w:pPr>
        <w:ind w:left="1526" w:hanging="360"/>
      </w:pPr>
      <w:rPr>
        <w:rFonts w:hint="default"/>
      </w:rPr>
    </w:lvl>
    <w:lvl w:ilvl="3" w:tplc="722ED45E">
      <w:numFmt w:val="bullet"/>
      <w:lvlText w:val="•"/>
      <w:lvlJc w:val="left"/>
      <w:pPr>
        <w:ind w:left="2059" w:hanging="360"/>
      </w:pPr>
      <w:rPr>
        <w:rFonts w:hint="default"/>
      </w:rPr>
    </w:lvl>
    <w:lvl w:ilvl="4" w:tplc="9030E6A6">
      <w:numFmt w:val="bullet"/>
      <w:lvlText w:val="•"/>
      <w:lvlJc w:val="left"/>
      <w:pPr>
        <w:ind w:left="2593" w:hanging="360"/>
      </w:pPr>
      <w:rPr>
        <w:rFonts w:hint="default"/>
      </w:rPr>
    </w:lvl>
    <w:lvl w:ilvl="5" w:tplc="34D074A8">
      <w:numFmt w:val="bullet"/>
      <w:lvlText w:val="•"/>
      <w:lvlJc w:val="left"/>
      <w:pPr>
        <w:ind w:left="3126" w:hanging="360"/>
      </w:pPr>
      <w:rPr>
        <w:rFonts w:hint="default"/>
      </w:rPr>
    </w:lvl>
    <w:lvl w:ilvl="6" w:tplc="CAEEC6F4">
      <w:numFmt w:val="bullet"/>
      <w:lvlText w:val="•"/>
      <w:lvlJc w:val="left"/>
      <w:pPr>
        <w:ind w:left="3659" w:hanging="360"/>
      </w:pPr>
      <w:rPr>
        <w:rFonts w:hint="default"/>
      </w:rPr>
    </w:lvl>
    <w:lvl w:ilvl="7" w:tplc="2D5C79BA">
      <w:numFmt w:val="bullet"/>
      <w:lvlText w:val="•"/>
      <w:lvlJc w:val="left"/>
      <w:pPr>
        <w:ind w:left="4193" w:hanging="360"/>
      </w:pPr>
      <w:rPr>
        <w:rFonts w:hint="default"/>
      </w:rPr>
    </w:lvl>
    <w:lvl w:ilvl="8" w:tplc="5EFECB2E">
      <w:numFmt w:val="bullet"/>
      <w:lvlText w:val="•"/>
      <w:lvlJc w:val="left"/>
      <w:pPr>
        <w:ind w:left="4726" w:hanging="360"/>
      </w:pPr>
      <w:rPr>
        <w:rFonts w:hint="default"/>
      </w:rPr>
    </w:lvl>
  </w:abstractNum>
  <w:abstractNum w:abstractNumId="35" w15:restartNumberingAfterBreak="0">
    <w:nsid w:val="2ADA31FF"/>
    <w:multiLevelType w:val="hybridMultilevel"/>
    <w:tmpl w:val="A47E00AA"/>
    <w:lvl w:ilvl="0" w:tplc="BCC43554">
      <w:numFmt w:val="bullet"/>
      <w:lvlText w:val=""/>
      <w:lvlJc w:val="left"/>
      <w:pPr>
        <w:ind w:left="470" w:hanging="360"/>
      </w:pPr>
      <w:rPr>
        <w:rFonts w:ascii="Symbol" w:eastAsia="Symbol" w:hAnsi="Symbol" w:cs="Symbol" w:hint="default"/>
        <w:w w:val="103"/>
        <w:sz w:val="19"/>
        <w:szCs w:val="19"/>
      </w:rPr>
    </w:lvl>
    <w:lvl w:ilvl="1" w:tplc="5A98DDF0">
      <w:numFmt w:val="bullet"/>
      <w:lvlText w:val="•"/>
      <w:lvlJc w:val="left"/>
      <w:pPr>
        <w:ind w:left="1384" w:hanging="360"/>
      </w:pPr>
      <w:rPr>
        <w:rFonts w:hint="default"/>
      </w:rPr>
    </w:lvl>
    <w:lvl w:ilvl="2" w:tplc="F942E77E">
      <w:numFmt w:val="bullet"/>
      <w:lvlText w:val="•"/>
      <w:lvlJc w:val="left"/>
      <w:pPr>
        <w:ind w:left="2289" w:hanging="360"/>
      </w:pPr>
      <w:rPr>
        <w:rFonts w:hint="default"/>
      </w:rPr>
    </w:lvl>
    <w:lvl w:ilvl="3" w:tplc="5C2C619E">
      <w:numFmt w:val="bullet"/>
      <w:lvlText w:val="•"/>
      <w:lvlJc w:val="left"/>
      <w:pPr>
        <w:ind w:left="3194" w:hanging="360"/>
      </w:pPr>
      <w:rPr>
        <w:rFonts w:hint="default"/>
      </w:rPr>
    </w:lvl>
    <w:lvl w:ilvl="4" w:tplc="74AEC80C">
      <w:numFmt w:val="bullet"/>
      <w:lvlText w:val="•"/>
      <w:lvlJc w:val="left"/>
      <w:pPr>
        <w:ind w:left="4098" w:hanging="360"/>
      </w:pPr>
      <w:rPr>
        <w:rFonts w:hint="default"/>
      </w:rPr>
    </w:lvl>
    <w:lvl w:ilvl="5" w:tplc="24FC5276">
      <w:numFmt w:val="bullet"/>
      <w:lvlText w:val="•"/>
      <w:lvlJc w:val="left"/>
      <w:pPr>
        <w:ind w:left="5003" w:hanging="360"/>
      </w:pPr>
      <w:rPr>
        <w:rFonts w:hint="default"/>
      </w:rPr>
    </w:lvl>
    <w:lvl w:ilvl="6" w:tplc="E13C5D78">
      <w:numFmt w:val="bullet"/>
      <w:lvlText w:val="•"/>
      <w:lvlJc w:val="left"/>
      <w:pPr>
        <w:ind w:left="5908" w:hanging="360"/>
      </w:pPr>
      <w:rPr>
        <w:rFonts w:hint="default"/>
      </w:rPr>
    </w:lvl>
    <w:lvl w:ilvl="7" w:tplc="59F2FA3E">
      <w:numFmt w:val="bullet"/>
      <w:lvlText w:val="•"/>
      <w:lvlJc w:val="left"/>
      <w:pPr>
        <w:ind w:left="6812" w:hanging="360"/>
      </w:pPr>
      <w:rPr>
        <w:rFonts w:hint="default"/>
      </w:rPr>
    </w:lvl>
    <w:lvl w:ilvl="8" w:tplc="A3989302">
      <w:numFmt w:val="bullet"/>
      <w:lvlText w:val="•"/>
      <w:lvlJc w:val="left"/>
      <w:pPr>
        <w:ind w:left="7717" w:hanging="360"/>
      </w:pPr>
      <w:rPr>
        <w:rFonts w:hint="default"/>
      </w:rPr>
    </w:lvl>
  </w:abstractNum>
  <w:abstractNum w:abstractNumId="36" w15:restartNumberingAfterBreak="0">
    <w:nsid w:val="2B964CBF"/>
    <w:multiLevelType w:val="hybridMultilevel"/>
    <w:tmpl w:val="2428983A"/>
    <w:lvl w:ilvl="0" w:tplc="5E86B3B4">
      <w:numFmt w:val="bullet"/>
      <w:lvlText w:val=""/>
      <w:lvlJc w:val="left"/>
      <w:pPr>
        <w:ind w:left="470" w:hanging="360"/>
      </w:pPr>
      <w:rPr>
        <w:rFonts w:ascii="Symbol" w:eastAsia="Symbol" w:hAnsi="Symbol" w:cs="Symbol" w:hint="default"/>
        <w:w w:val="103"/>
        <w:sz w:val="19"/>
        <w:szCs w:val="19"/>
      </w:rPr>
    </w:lvl>
    <w:lvl w:ilvl="1" w:tplc="97401676">
      <w:numFmt w:val="bullet"/>
      <w:lvlText w:val="•"/>
      <w:lvlJc w:val="left"/>
      <w:pPr>
        <w:ind w:left="1167" w:hanging="360"/>
      </w:pPr>
      <w:rPr>
        <w:rFonts w:hint="default"/>
      </w:rPr>
    </w:lvl>
    <w:lvl w:ilvl="2" w:tplc="176E508C">
      <w:numFmt w:val="bullet"/>
      <w:lvlText w:val="•"/>
      <w:lvlJc w:val="left"/>
      <w:pPr>
        <w:ind w:left="1854" w:hanging="360"/>
      </w:pPr>
      <w:rPr>
        <w:rFonts w:hint="default"/>
      </w:rPr>
    </w:lvl>
    <w:lvl w:ilvl="3" w:tplc="7D4441A0">
      <w:numFmt w:val="bullet"/>
      <w:lvlText w:val="•"/>
      <w:lvlJc w:val="left"/>
      <w:pPr>
        <w:ind w:left="2541" w:hanging="360"/>
      </w:pPr>
      <w:rPr>
        <w:rFonts w:hint="default"/>
      </w:rPr>
    </w:lvl>
    <w:lvl w:ilvl="4" w:tplc="FAD44E7A">
      <w:numFmt w:val="bullet"/>
      <w:lvlText w:val="•"/>
      <w:lvlJc w:val="left"/>
      <w:pPr>
        <w:ind w:left="3229" w:hanging="360"/>
      </w:pPr>
      <w:rPr>
        <w:rFonts w:hint="default"/>
      </w:rPr>
    </w:lvl>
    <w:lvl w:ilvl="5" w:tplc="ECD2FCCC">
      <w:numFmt w:val="bullet"/>
      <w:lvlText w:val="•"/>
      <w:lvlJc w:val="left"/>
      <w:pPr>
        <w:ind w:left="3916" w:hanging="360"/>
      </w:pPr>
      <w:rPr>
        <w:rFonts w:hint="default"/>
      </w:rPr>
    </w:lvl>
    <w:lvl w:ilvl="6" w:tplc="A3AEE3EC">
      <w:numFmt w:val="bullet"/>
      <w:lvlText w:val="•"/>
      <w:lvlJc w:val="left"/>
      <w:pPr>
        <w:ind w:left="4603" w:hanging="360"/>
      </w:pPr>
      <w:rPr>
        <w:rFonts w:hint="default"/>
      </w:rPr>
    </w:lvl>
    <w:lvl w:ilvl="7" w:tplc="5B3C5ED2">
      <w:numFmt w:val="bullet"/>
      <w:lvlText w:val="•"/>
      <w:lvlJc w:val="left"/>
      <w:pPr>
        <w:ind w:left="5291" w:hanging="360"/>
      </w:pPr>
      <w:rPr>
        <w:rFonts w:hint="default"/>
      </w:rPr>
    </w:lvl>
    <w:lvl w:ilvl="8" w:tplc="F27E8676">
      <w:numFmt w:val="bullet"/>
      <w:lvlText w:val="•"/>
      <w:lvlJc w:val="left"/>
      <w:pPr>
        <w:ind w:left="5978" w:hanging="360"/>
      </w:pPr>
      <w:rPr>
        <w:rFonts w:hint="default"/>
      </w:rPr>
    </w:lvl>
  </w:abstractNum>
  <w:abstractNum w:abstractNumId="37" w15:restartNumberingAfterBreak="0">
    <w:nsid w:val="2CF01E89"/>
    <w:multiLevelType w:val="hybridMultilevel"/>
    <w:tmpl w:val="480C7062"/>
    <w:lvl w:ilvl="0" w:tplc="CC0EACEE">
      <w:numFmt w:val="bullet"/>
      <w:lvlText w:val=""/>
      <w:lvlJc w:val="left"/>
      <w:pPr>
        <w:ind w:left="470" w:hanging="360"/>
      </w:pPr>
      <w:rPr>
        <w:rFonts w:ascii="Symbol" w:eastAsia="Symbol" w:hAnsi="Symbol" w:cs="Symbol" w:hint="default"/>
        <w:w w:val="103"/>
        <w:sz w:val="19"/>
        <w:szCs w:val="19"/>
      </w:rPr>
    </w:lvl>
    <w:lvl w:ilvl="1" w:tplc="D9F2BBB0">
      <w:numFmt w:val="bullet"/>
      <w:lvlText w:val="•"/>
      <w:lvlJc w:val="left"/>
      <w:pPr>
        <w:ind w:left="1167" w:hanging="360"/>
      </w:pPr>
      <w:rPr>
        <w:rFonts w:hint="default"/>
      </w:rPr>
    </w:lvl>
    <w:lvl w:ilvl="2" w:tplc="051A2710">
      <w:numFmt w:val="bullet"/>
      <w:lvlText w:val="•"/>
      <w:lvlJc w:val="left"/>
      <w:pPr>
        <w:ind w:left="1854" w:hanging="360"/>
      </w:pPr>
      <w:rPr>
        <w:rFonts w:hint="default"/>
      </w:rPr>
    </w:lvl>
    <w:lvl w:ilvl="3" w:tplc="DC7C2DE0">
      <w:numFmt w:val="bullet"/>
      <w:lvlText w:val="•"/>
      <w:lvlJc w:val="left"/>
      <w:pPr>
        <w:ind w:left="2541" w:hanging="360"/>
      </w:pPr>
      <w:rPr>
        <w:rFonts w:hint="default"/>
      </w:rPr>
    </w:lvl>
    <w:lvl w:ilvl="4" w:tplc="5E86AB94">
      <w:numFmt w:val="bullet"/>
      <w:lvlText w:val="•"/>
      <w:lvlJc w:val="left"/>
      <w:pPr>
        <w:ind w:left="3229" w:hanging="360"/>
      </w:pPr>
      <w:rPr>
        <w:rFonts w:hint="default"/>
      </w:rPr>
    </w:lvl>
    <w:lvl w:ilvl="5" w:tplc="F0F82382">
      <w:numFmt w:val="bullet"/>
      <w:lvlText w:val="•"/>
      <w:lvlJc w:val="left"/>
      <w:pPr>
        <w:ind w:left="3916" w:hanging="360"/>
      </w:pPr>
      <w:rPr>
        <w:rFonts w:hint="default"/>
      </w:rPr>
    </w:lvl>
    <w:lvl w:ilvl="6" w:tplc="9620ACFA">
      <w:numFmt w:val="bullet"/>
      <w:lvlText w:val="•"/>
      <w:lvlJc w:val="left"/>
      <w:pPr>
        <w:ind w:left="4603" w:hanging="360"/>
      </w:pPr>
      <w:rPr>
        <w:rFonts w:hint="default"/>
      </w:rPr>
    </w:lvl>
    <w:lvl w:ilvl="7" w:tplc="8D70ABC2">
      <w:numFmt w:val="bullet"/>
      <w:lvlText w:val="•"/>
      <w:lvlJc w:val="left"/>
      <w:pPr>
        <w:ind w:left="5291" w:hanging="360"/>
      </w:pPr>
      <w:rPr>
        <w:rFonts w:hint="default"/>
      </w:rPr>
    </w:lvl>
    <w:lvl w:ilvl="8" w:tplc="E230D27C">
      <w:numFmt w:val="bullet"/>
      <w:lvlText w:val="•"/>
      <w:lvlJc w:val="left"/>
      <w:pPr>
        <w:ind w:left="5978" w:hanging="360"/>
      </w:pPr>
      <w:rPr>
        <w:rFonts w:hint="default"/>
      </w:rPr>
    </w:lvl>
  </w:abstractNum>
  <w:abstractNum w:abstractNumId="38" w15:restartNumberingAfterBreak="0">
    <w:nsid w:val="2D9A1981"/>
    <w:multiLevelType w:val="hybridMultilevel"/>
    <w:tmpl w:val="5DA63ACA"/>
    <w:lvl w:ilvl="0" w:tplc="CEF2B396">
      <w:numFmt w:val="bullet"/>
      <w:lvlText w:val=""/>
      <w:lvlJc w:val="left"/>
      <w:pPr>
        <w:ind w:left="427" w:hanging="317"/>
      </w:pPr>
      <w:rPr>
        <w:rFonts w:ascii="Symbol" w:eastAsia="Symbol" w:hAnsi="Symbol" w:cs="Symbol" w:hint="default"/>
        <w:w w:val="103"/>
        <w:sz w:val="19"/>
        <w:szCs w:val="19"/>
      </w:rPr>
    </w:lvl>
    <w:lvl w:ilvl="1" w:tplc="2B4A3E72">
      <w:numFmt w:val="bullet"/>
      <w:lvlText w:val="•"/>
      <w:lvlJc w:val="left"/>
      <w:pPr>
        <w:ind w:left="1330" w:hanging="317"/>
      </w:pPr>
      <w:rPr>
        <w:rFonts w:hint="default"/>
      </w:rPr>
    </w:lvl>
    <w:lvl w:ilvl="2" w:tplc="F758949E">
      <w:numFmt w:val="bullet"/>
      <w:lvlText w:val="•"/>
      <w:lvlJc w:val="left"/>
      <w:pPr>
        <w:ind w:left="2241" w:hanging="317"/>
      </w:pPr>
      <w:rPr>
        <w:rFonts w:hint="default"/>
      </w:rPr>
    </w:lvl>
    <w:lvl w:ilvl="3" w:tplc="1A20BBB8">
      <w:numFmt w:val="bullet"/>
      <w:lvlText w:val="•"/>
      <w:lvlJc w:val="left"/>
      <w:pPr>
        <w:ind w:left="3152" w:hanging="317"/>
      </w:pPr>
      <w:rPr>
        <w:rFonts w:hint="default"/>
      </w:rPr>
    </w:lvl>
    <w:lvl w:ilvl="4" w:tplc="3998EDBA">
      <w:numFmt w:val="bullet"/>
      <w:lvlText w:val="•"/>
      <w:lvlJc w:val="left"/>
      <w:pPr>
        <w:ind w:left="4062" w:hanging="317"/>
      </w:pPr>
      <w:rPr>
        <w:rFonts w:hint="default"/>
      </w:rPr>
    </w:lvl>
    <w:lvl w:ilvl="5" w:tplc="AC084104">
      <w:numFmt w:val="bullet"/>
      <w:lvlText w:val="•"/>
      <w:lvlJc w:val="left"/>
      <w:pPr>
        <w:ind w:left="4973" w:hanging="317"/>
      </w:pPr>
      <w:rPr>
        <w:rFonts w:hint="default"/>
      </w:rPr>
    </w:lvl>
    <w:lvl w:ilvl="6" w:tplc="CA56C4B4">
      <w:numFmt w:val="bullet"/>
      <w:lvlText w:val="•"/>
      <w:lvlJc w:val="left"/>
      <w:pPr>
        <w:ind w:left="5884" w:hanging="317"/>
      </w:pPr>
      <w:rPr>
        <w:rFonts w:hint="default"/>
      </w:rPr>
    </w:lvl>
    <w:lvl w:ilvl="7" w:tplc="C298F42A">
      <w:numFmt w:val="bullet"/>
      <w:lvlText w:val="•"/>
      <w:lvlJc w:val="left"/>
      <w:pPr>
        <w:ind w:left="6794" w:hanging="317"/>
      </w:pPr>
      <w:rPr>
        <w:rFonts w:hint="default"/>
      </w:rPr>
    </w:lvl>
    <w:lvl w:ilvl="8" w:tplc="7CB00168">
      <w:numFmt w:val="bullet"/>
      <w:lvlText w:val="•"/>
      <w:lvlJc w:val="left"/>
      <w:pPr>
        <w:ind w:left="7705" w:hanging="317"/>
      </w:pPr>
      <w:rPr>
        <w:rFonts w:hint="default"/>
      </w:rPr>
    </w:lvl>
  </w:abstractNum>
  <w:abstractNum w:abstractNumId="39" w15:restartNumberingAfterBreak="0">
    <w:nsid w:val="2E8308F4"/>
    <w:multiLevelType w:val="hybridMultilevel"/>
    <w:tmpl w:val="6BA2A43C"/>
    <w:lvl w:ilvl="0" w:tplc="19BC9342">
      <w:numFmt w:val="bullet"/>
      <w:lvlText w:val=""/>
      <w:lvlJc w:val="left"/>
      <w:pPr>
        <w:ind w:left="427" w:hanging="317"/>
      </w:pPr>
      <w:rPr>
        <w:rFonts w:ascii="Symbol" w:eastAsia="Symbol" w:hAnsi="Symbol" w:cs="Symbol" w:hint="default"/>
        <w:w w:val="103"/>
        <w:sz w:val="19"/>
        <w:szCs w:val="19"/>
      </w:rPr>
    </w:lvl>
    <w:lvl w:ilvl="1" w:tplc="E594177E">
      <w:numFmt w:val="bullet"/>
      <w:lvlText w:val="•"/>
      <w:lvlJc w:val="left"/>
      <w:pPr>
        <w:ind w:left="1330" w:hanging="317"/>
      </w:pPr>
      <w:rPr>
        <w:rFonts w:hint="default"/>
      </w:rPr>
    </w:lvl>
    <w:lvl w:ilvl="2" w:tplc="8D628830">
      <w:numFmt w:val="bullet"/>
      <w:lvlText w:val="•"/>
      <w:lvlJc w:val="left"/>
      <w:pPr>
        <w:ind w:left="2241" w:hanging="317"/>
      </w:pPr>
      <w:rPr>
        <w:rFonts w:hint="default"/>
      </w:rPr>
    </w:lvl>
    <w:lvl w:ilvl="3" w:tplc="3DD6B36C">
      <w:numFmt w:val="bullet"/>
      <w:lvlText w:val="•"/>
      <w:lvlJc w:val="left"/>
      <w:pPr>
        <w:ind w:left="3152" w:hanging="317"/>
      </w:pPr>
      <w:rPr>
        <w:rFonts w:hint="default"/>
      </w:rPr>
    </w:lvl>
    <w:lvl w:ilvl="4" w:tplc="A6E2C13A">
      <w:numFmt w:val="bullet"/>
      <w:lvlText w:val="•"/>
      <w:lvlJc w:val="left"/>
      <w:pPr>
        <w:ind w:left="4062" w:hanging="317"/>
      </w:pPr>
      <w:rPr>
        <w:rFonts w:hint="default"/>
      </w:rPr>
    </w:lvl>
    <w:lvl w:ilvl="5" w:tplc="46A20E60">
      <w:numFmt w:val="bullet"/>
      <w:lvlText w:val="•"/>
      <w:lvlJc w:val="left"/>
      <w:pPr>
        <w:ind w:left="4973" w:hanging="317"/>
      </w:pPr>
      <w:rPr>
        <w:rFonts w:hint="default"/>
      </w:rPr>
    </w:lvl>
    <w:lvl w:ilvl="6" w:tplc="D728BCA8">
      <w:numFmt w:val="bullet"/>
      <w:lvlText w:val="•"/>
      <w:lvlJc w:val="left"/>
      <w:pPr>
        <w:ind w:left="5884" w:hanging="317"/>
      </w:pPr>
      <w:rPr>
        <w:rFonts w:hint="default"/>
      </w:rPr>
    </w:lvl>
    <w:lvl w:ilvl="7" w:tplc="F198D566">
      <w:numFmt w:val="bullet"/>
      <w:lvlText w:val="•"/>
      <w:lvlJc w:val="left"/>
      <w:pPr>
        <w:ind w:left="6794" w:hanging="317"/>
      </w:pPr>
      <w:rPr>
        <w:rFonts w:hint="default"/>
      </w:rPr>
    </w:lvl>
    <w:lvl w:ilvl="8" w:tplc="23CCC464">
      <w:numFmt w:val="bullet"/>
      <w:lvlText w:val="•"/>
      <w:lvlJc w:val="left"/>
      <w:pPr>
        <w:ind w:left="7705" w:hanging="317"/>
      </w:pPr>
      <w:rPr>
        <w:rFonts w:hint="default"/>
      </w:rPr>
    </w:lvl>
  </w:abstractNum>
  <w:abstractNum w:abstractNumId="40" w15:restartNumberingAfterBreak="0">
    <w:nsid w:val="2EC50AB8"/>
    <w:multiLevelType w:val="hybridMultilevel"/>
    <w:tmpl w:val="C4EE672A"/>
    <w:lvl w:ilvl="0" w:tplc="4280B31A">
      <w:numFmt w:val="bullet"/>
      <w:lvlText w:val=""/>
      <w:lvlJc w:val="left"/>
      <w:pPr>
        <w:ind w:left="427" w:hanging="317"/>
      </w:pPr>
      <w:rPr>
        <w:rFonts w:ascii="Symbol" w:eastAsia="Symbol" w:hAnsi="Symbol" w:cs="Symbol" w:hint="default"/>
        <w:w w:val="103"/>
        <w:sz w:val="19"/>
        <w:szCs w:val="19"/>
      </w:rPr>
    </w:lvl>
    <w:lvl w:ilvl="1" w:tplc="8CFE6D66">
      <w:numFmt w:val="bullet"/>
      <w:lvlText w:val="•"/>
      <w:lvlJc w:val="left"/>
      <w:pPr>
        <w:ind w:left="1330" w:hanging="317"/>
      </w:pPr>
      <w:rPr>
        <w:rFonts w:hint="default"/>
      </w:rPr>
    </w:lvl>
    <w:lvl w:ilvl="2" w:tplc="3DAA1EC0">
      <w:numFmt w:val="bullet"/>
      <w:lvlText w:val="•"/>
      <w:lvlJc w:val="left"/>
      <w:pPr>
        <w:ind w:left="2241" w:hanging="317"/>
      </w:pPr>
      <w:rPr>
        <w:rFonts w:hint="default"/>
      </w:rPr>
    </w:lvl>
    <w:lvl w:ilvl="3" w:tplc="0B0E78E8">
      <w:numFmt w:val="bullet"/>
      <w:lvlText w:val="•"/>
      <w:lvlJc w:val="left"/>
      <w:pPr>
        <w:ind w:left="3152" w:hanging="317"/>
      </w:pPr>
      <w:rPr>
        <w:rFonts w:hint="default"/>
      </w:rPr>
    </w:lvl>
    <w:lvl w:ilvl="4" w:tplc="B8EE224C">
      <w:numFmt w:val="bullet"/>
      <w:lvlText w:val="•"/>
      <w:lvlJc w:val="left"/>
      <w:pPr>
        <w:ind w:left="4062" w:hanging="317"/>
      </w:pPr>
      <w:rPr>
        <w:rFonts w:hint="default"/>
      </w:rPr>
    </w:lvl>
    <w:lvl w:ilvl="5" w:tplc="275EC086">
      <w:numFmt w:val="bullet"/>
      <w:lvlText w:val="•"/>
      <w:lvlJc w:val="left"/>
      <w:pPr>
        <w:ind w:left="4973" w:hanging="317"/>
      </w:pPr>
      <w:rPr>
        <w:rFonts w:hint="default"/>
      </w:rPr>
    </w:lvl>
    <w:lvl w:ilvl="6" w:tplc="52643742">
      <w:numFmt w:val="bullet"/>
      <w:lvlText w:val="•"/>
      <w:lvlJc w:val="left"/>
      <w:pPr>
        <w:ind w:left="5884" w:hanging="317"/>
      </w:pPr>
      <w:rPr>
        <w:rFonts w:hint="default"/>
      </w:rPr>
    </w:lvl>
    <w:lvl w:ilvl="7" w:tplc="53B4A9AC">
      <w:numFmt w:val="bullet"/>
      <w:lvlText w:val="•"/>
      <w:lvlJc w:val="left"/>
      <w:pPr>
        <w:ind w:left="6794" w:hanging="317"/>
      </w:pPr>
      <w:rPr>
        <w:rFonts w:hint="default"/>
      </w:rPr>
    </w:lvl>
    <w:lvl w:ilvl="8" w:tplc="A7A4AD6E">
      <w:numFmt w:val="bullet"/>
      <w:lvlText w:val="•"/>
      <w:lvlJc w:val="left"/>
      <w:pPr>
        <w:ind w:left="7705" w:hanging="317"/>
      </w:pPr>
      <w:rPr>
        <w:rFonts w:hint="default"/>
      </w:rPr>
    </w:lvl>
  </w:abstractNum>
  <w:abstractNum w:abstractNumId="41" w15:restartNumberingAfterBreak="0">
    <w:nsid w:val="2F286017"/>
    <w:multiLevelType w:val="hybridMultilevel"/>
    <w:tmpl w:val="2FDC9570"/>
    <w:lvl w:ilvl="0" w:tplc="6EB8EBA8">
      <w:start w:val="1"/>
      <w:numFmt w:val="decimal"/>
      <w:lvlText w:val="%1)"/>
      <w:lvlJc w:val="left"/>
      <w:pPr>
        <w:ind w:left="467" w:hanging="357"/>
      </w:pPr>
      <w:rPr>
        <w:rFonts w:ascii="Arial" w:eastAsia="Arial" w:hAnsi="Arial" w:cs="Arial" w:hint="default"/>
        <w:spacing w:val="0"/>
        <w:w w:val="103"/>
        <w:sz w:val="19"/>
        <w:szCs w:val="19"/>
      </w:rPr>
    </w:lvl>
    <w:lvl w:ilvl="1" w:tplc="188ACFDA">
      <w:numFmt w:val="bullet"/>
      <w:lvlText w:val="o"/>
      <w:lvlJc w:val="left"/>
      <w:pPr>
        <w:ind w:left="921" w:hanging="357"/>
      </w:pPr>
      <w:rPr>
        <w:rFonts w:ascii="Courier New" w:eastAsia="Courier New" w:hAnsi="Courier New" w:cs="Courier New" w:hint="default"/>
        <w:w w:val="103"/>
        <w:sz w:val="19"/>
        <w:szCs w:val="19"/>
      </w:rPr>
    </w:lvl>
    <w:lvl w:ilvl="2" w:tplc="5CB28EAC">
      <w:numFmt w:val="bullet"/>
      <w:lvlText w:val="•"/>
      <w:lvlJc w:val="left"/>
      <w:pPr>
        <w:ind w:left="1634" w:hanging="357"/>
      </w:pPr>
      <w:rPr>
        <w:rFonts w:hint="default"/>
      </w:rPr>
    </w:lvl>
    <w:lvl w:ilvl="3" w:tplc="05C83012">
      <w:numFmt w:val="bullet"/>
      <w:lvlText w:val="•"/>
      <w:lvlJc w:val="left"/>
      <w:pPr>
        <w:ind w:left="2349" w:hanging="357"/>
      </w:pPr>
      <w:rPr>
        <w:rFonts w:hint="default"/>
      </w:rPr>
    </w:lvl>
    <w:lvl w:ilvl="4" w:tplc="86ACF902">
      <w:numFmt w:val="bullet"/>
      <w:lvlText w:val="•"/>
      <w:lvlJc w:val="left"/>
      <w:pPr>
        <w:ind w:left="3064" w:hanging="357"/>
      </w:pPr>
      <w:rPr>
        <w:rFonts w:hint="default"/>
      </w:rPr>
    </w:lvl>
    <w:lvl w:ilvl="5" w:tplc="447A69DA">
      <w:numFmt w:val="bullet"/>
      <w:lvlText w:val="•"/>
      <w:lvlJc w:val="left"/>
      <w:pPr>
        <w:ind w:left="3779" w:hanging="357"/>
      </w:pPr>
      <w:rPr>
        <w:rFonts w:hint="default"/>
      </w:rPr>
    </w:lvl>
    <w:lvl w:ilvl="6" w:tplc="5CB03A3E">
      <w:numFmt w:val="bullet"/>
      <w:lvlText w:val="•"/>
      <w:lvlJc w:val="left"/>
      <w:pPr>
        <w:ind w:left="4493" w:hanging="357"/>
      </w:pPr>
      <w:rPr>
        <w:rFonts w:hint="default"/>
      </w:rPr>
    </w:lvl>
    <w:lvl w:ilvl="7" w:tplc="D8FE08C2">
      <w:numFmt w:val="bullet"/>
      <w:lvlText w:val="•"/>
      <w:lvlJc w:val="left"/>
      <w:pPr>
        <w:ind w:left="5208" w:hanging="357"/>
      </w:pPr>
      <w:rPr>
        <w:rFonts w:hint="default"/>
      </w:rPr>
    </w:lvl>
    <w:lvl w:ilvl="8" w:tplc="45A895B2">
      <w:numFmt w:val="bullet"/>
      <w:lvlText w:val="•"/>
      <w:lvlJc w:val="left"/>
      <w:pPr>
        <w:ind w:left="5923" w:hanging="357"/>
      </w:pPr>
      <w:rPr>
        <w:rFonts w:hint="default"/>
      </w:rPr>
    </w:lvl>
  </w:abstractNum>
  <w:abstractNum w:abstractNumId="42" w15:restartNumberingAfterBreak="0">
    <w:nsid w:val="2FD129C7"/>
    <w:multiLevelType w:val="hybridMultilevel"/>
    <w:tmpl w:val="00A289E2"/>
    <w:lvl w:ilvl="0" w:tplc="35E268D2">
      <w:numFmt w:val="bullet"/>
      <w:lvlText w:val=""/>
      <w:lvlJc w:val="left"/>
      <w:pPr>
        <w:ind w:left="427" w:hanging="317"/>
      </w:pPr>
      <w:rPr>
        <w:rFonts w:ascii="Symbol" w:eastAsia="Symbol" w:hAnsi="Symbol" w:cs="Symbol" w:hint="default"/>
        <w:w w:val="103"/>
        <w:sz w:val="19"/>
        <w:szCs w:val="19"/>
      </w:rPr>
    </w:lvl>
    <w:lvl w:ilvl="1" w:tplc="A5F8C980">
      <w:numFmt w:val="bullet"/>
      <w:lvlText w:val="•"/>
      <w:lvlJc w:val="left"/>
      <w:pPr>
        <w:ind w:left="1330" w:hanging="317"/>
      </w:pPr>
      <w:rPr>
        <w:rFonts w:hint="default"/>
      </w:rPr>
    </w:lvl>
    <w:lvl w:ilvl="2" w:tplc="C730318E">
      <w:numFmt w:val="bullet"/>
      <w:lvlText w:val="•"/>
      <w:lvlJc w:val="left"/>
      <w:pPr>
        <w:ind w:left="2241" w:hanging="317"/>
      </w:pPr>
      <w:rPr>
        <w:rFonts w:hint="default"/>
      </w:rPr>
    </w:lvl>
    <w:lvl w:ilvl="3" w:tplc="6BE0FD7E">
      <w:numFmt w:val="bullet"/>
      <w:lvlText w:val="•"/>
      <w:lvlJc w:val="left"/>
      <w:pPr>
        <w:ind w:left="3152" w:hanging="317"/>
      </w:pPr>
      <w:rPr>
        <w:rFonts w:hint="default"/>
      </w:rPr>
    </w:lvl>
    <w:lvl w:ilvl="4" w:tplc="874CDAA4">
      <w:numFmt w:val="bullet"/>
      <w:lvlText w:val="•"/>
      <w:lvlJc w:val="left"/>
      <w:pPr>
        <w:ind w:left="4062" w:hanging="317"/>
      </w:pPr>
      <w:rPr>
        <w:rFonts w:hint="default"/>
      </w:rPr>
    </w:lvl>
    <w:lvl w:ilvl="5" w:tplc="85B4CA4E">
      <w:numFmt w:val="bullet"/>
      <w:lvlText w:val="•"/>
      <w:lvlJc w:val="left"/>
      <w:pPr>
        <w:ind w:left="4973" w:hanging="317"/>
      </w:pPr>
      <w:rPr>
        <w:rFonts w:hint="default"/>
      </w:rPr>
    </w:lvl>
    <w:lvl w:ilvl="6" w:tplc="B54497E0">
      <w:numFmt w:val="bullet"/>
      <w:lvlText w:val="•"/>
      <w:lvlJc w:val="left"/>
      <w:pPr>
        <w:ind w:left="5884" w:hanging="317"/>
      </w:pPr>
      <w:rPr>
        <w:rFonts w:hint="default"/>
      </w:rPr>
    </w:lvl>
    <w:lvl w:ilvl="7" w:tplc="F702B560">
      <w:numFmt w:val="bullet"/>
      <w:lvlText w:val="•"/>
      <w:lvlJc w:val="left"/>
      <w:pPr>
        <w:ind w:left="6794" w:hanging="317"/>
      </w:pPr>
      <w:rPr>
        <w:rFonts w:hint="default"/>
      </w:rPr>
    </w:lvl>
    <w:lvl w:ilvl="8" w:tplc="CF48BCE0">
      <w:numFmt w:val="bullet"/>
      <w:lvlText w:val="•"/>
      <w:lvlJc w:val="left"/>
      <w:pPr>
        <w:ind w:left="7705" w:hanging="317"/>
      </w:pPr>
      <w:rPr>
        <w:rFonts w:hint="default"/>
      </w:rPr>
    </w:lvl>
  </w:abstractNum>
  <w:abstractNum w:abstractNumId="43" w15:restartNumberingAfterBreak="0">
    <w:nsid w:val="301E2079"/>
    <w:multiLevelType w:val="hybridMultilevel"/>
    <w:tmpl w:val="F20ECA08"/>
    <w:lvl w:ilvl="0" w:tplc="4128EE8A">
      <w:numFmt w:val="bullet"/>
      <w:lvlText w:val="o"/>
      <w:lvlJc w:val="left"/>
      <w:pPr>
        <w:ind w:left="926" w:hanging="357"/>
      </w:pPr>
      <w:rPr>
        <w:rFonts w:ascii="Courier New" w:eastAsia="Courier New" w:hAnsi="Courier New" w:cs="Courier New" w:hint="default"/>
        <w:w w:val="103"/>
        <w:sz w:val="19"/>
        <w:szCs w:val="19"/>
      </w:rPr>
    </w:lvl>
    <w:lvl w:ilvl="1" w:tplc="B900D84A">
      <w:numFmt w:val="bullet"/>
      <w:lvlText w:val="•"/>
      <w:lvlJc w:val="left"/>
      <w:pPr>
        <w:ind w:left="1780" w:hanging="357"/>
      </w:pPr>
      <w:rPr>
        <w:rFonts w:hint="default"/>
      </w:rPr>
    </w:lvl>
    <w:lvl w:ilvl="2" w:tplc="181EB858">
      <w:numFmt w:val="bullet"/>
      <w:lvlText w:val="•"/>
      <w:lvlJc w:val="left"/>
      <w:pPr>
        <w:ind w:left="2641" w:hanging="357"/>
      </w:pPr>
      <w:rPr>
        <w:rFonts w:hint="default"/>
      </w:rPr>
    </w:lvl>
    <w:lvl w:ilvl="3" w:tplc="89004252">
      <w:numFmt w:val="bullet"/>
      <w:lvlText w:val="•"/>
      <w:lvlJc w:val="left"/>
      <w:pPr>
        <w:ind w:left="3502" w:hanging="357"/>
      </w:pPr>
      <w:rPr>
        <w:rFonts w:hint="default"/>
      </w:rPr>
    </w:lvl>
    <w:lvl w:ilvl="4" w:tplc="CF64ECEA">
      <w:numFmt w:val="bullet"/>
      <w:lvlText w:val="•"/>
      <w:lvlJc w:val="left"/>
      <w:pPr>
        <w:ind w:left="4362" w:hanging="357"/>
      </w:pPr>
      <w:rPr>
        <w:rFonts w:hint="default"/>
      </w:rPr>
    </w:lvl>
    <w:lvl w:ilvl="5" w:tplc="5B20311C">
      <w:numFmt w:val="bullet"/>
      <w:lvlText w:val="•"/>
      <w:lvlJc w:val="left"/>
      <w:pPr>
        <w:ind w:left="5223" w:hanging="357"/>
      </w:pPr>
      <w:rPr>
        <w:rFonts w:hint="default"/>
      </w:rPr>
    </w:lvl>
    <w:lvl w:ilvl="6" w:tplc="578AD2F4">
      <w:numFmt w:val="bullet"/>
      <w:lvlText w:val="•"/>
      <w:lvlJc w:val="left"/>
      <w:pPr>
        <w:ind w:left="6084" w:hanging="357"/>
      </w:pPr>
      <w:rPr>
        <w:rFonts w:hint="default"/>
      </w:rPr>
    </w:lvl>
    <w:lvl w:ilvl="7" w:tplc="8E7A75BC">
      <w:numFmt w:val="bullet"/>
      <w:lvlText w:val="•"/>
      <w:lvlJc w:val="left"/>
      <w:pPr>
        <w:ind w:left="6944" w:hanging="357"/>
      </w:pPr>
      <w:rPr>
        <w:rFonts w:hint="default"/>
      </w:rPr>
    </w:lvl>
    <w:lvl w:ilvl="8" w:tplc="3A1813D4">
      <w:numFmt w:val="bullet"/>
      <w:lvlText w:val="•"/>
      <w:lvlJc w:val="left"/>
      <w:pPr>
        <w:ind w:left="7805" w:hanging="357"/>
      </w:pPr>
      <w:rPr>
        <w:rFonts w:hint="default"/>
      </w:rPr>
    </w:lvl>
  </w:abstractNum>
  <w:abstractNum w:abstractNumId="44" w15:restartNumberingAfterBreak="0">
    <w:nsid w:val="30C10E98"/>
    <w:multiLevelType w:val="hybridMultilevel"/>
    <w:tmpl w:val="221843EA"/>
    <w:lvl w:ilvl="0" w:tplc="C59EC8AC">
      <w:numFmt w:val="bullet"/>
      <w:lvlText w:val=""/>
      <w:lvlJc w:val="left"/>
      <w:pPr>
        <w:ind w:left="461" w:hanging="357"/>
      </w:pPr>
      <w:rPr>
        <w:rFonts w:ascii="Symbol" w:eastAsia="Symbol" w:hAnsi="Symbol" w:cs="Symbol" w:hint="default"/>
        <w:w w:val="103"/>
        <w:sz w:val="19"/>
        <w:szCs w:val="19"/>
      </w:rPr>
    </w:lvl>
    <w:lvl w:ilvl="1" w:tplc="202CAE12">
      <w:numFmt w:val="bullet"/>
      <w:lvlText w:val="•"/>
      <w:lvlJc w:val="left"/>
      <w:pPr>
        <w:ind w:left="993" w:hanging="357"/>
      </w:pPr>
      <w:rPr>
        <w:rFonts w:hint="default"/>
      </w:rPr>
    </w:lvl>
    <w:lvl w:ilvl="2" w:tplc="9D7C45E6">
      <w:numFmt w:val="bullet"/>
      <w:lvlText w:val="•"/>
      <w:lvlJc w:val="left"/>
      <w:pPr>
        <w:ind w:left="1526" w:hanging="357"/>
      </w:pPr>
      <w:rPr>
        <w:rFonts w:hint="default"/>
      </w:rPr>
    </w:lvl>
    <w:lvl w:ilvl="3" w:tplc="E862A52C">
      <w:numFmt w:val="bullet"/>
      <w:lvlText w:val="•"/>
      <w:lvlJc w:val="left"/>
      <w:pPr>
        <w:ind w:left="2059" w:hanging="357"/>
      </w:pPr>
      <w:rPr>
        <w:rFonts w:hint="default"/>
      </w:rPr>
    </w:lvl>
    <w:lvl w:ilvl="4" w:tplc="02EEB0F2">
      <w:numFmt w:val="bullet"/>
      <w:lvlText w:val="•"/>
      <w:lvlJc w:val="left"/>
      <w:pPr>
        <w:ind w:left="2593" w:hanging="357"/>
      </w:pPr>
      <w:rPr>
        <w:rFonts w:hint="default"/>
      </w:rPr>
    </w:lvl>
    <w:lvl w:ilvl="5" w:tplc="E2242CC6">
      <w:numFmt w:val="bullet"/>
      <w:lvlText w:val="•"/>
      <w:lvlJc w:val="left"/>
      <w:pPr>
        <w:ind w:left="3126" w:hanging="357"/>
      </w:pPr>
      <w:rPr>
        <w:rFonts w:hint="default"/>
      </w:rPr>
    </w:lvl>
    <w:lvl w:ilvl="6" w:tplc="1C6CD82A">
      <w:numFmt w:val="bullet"/>
      <w:lvlText w:val="•"/>
      <w:lvlJc w:val="left"/>
      <w:pPr>
        <w:ind w:left="3659" w:hanging="357"/>
      </w:pPr>
      <w:rPr>
        <w:rFonts w:hint="default"/>
      </w:rPr>
    </w:lvl>
    <w:lvl w:ilvl="7" w:tplc="43D80D3A">
      <w:numFmt w:val="bullet"/>
      <w:lvlText w:val="•"/>
      <w:lvlJc w:val="left"/>
      <w:pPr>
        <w:ind w:left="4193" w:hanging="357"/>
      </w:pPr>
      <w:rPr>
        <w:rFonts w:hint="default"/>
      </w:rPr>
    </w:lvl>
    <w:lvl w:ilvl="8" w:tplc="D7243F60">
      <w:numFmt w:val="bullet"/>
      <w:lvlText w:val="•"/>
      <w:lvlJc w:val="left"/>
      <w:pPr>
        <w:ind w:left="4726" w:hanging="357"/>
      </w:pPr>
      <w:rPr>
        <w:rFonts w:hint="default"/>
      </w:rPr>
    </w:lvl>
  </w:abstractNum>
  <w:abstractNum w:abstractNumId="45" w15:restartNumberingAfterBreak="0">
    <w:nsid w:val="31AA0721"/>
    <w:multiLevelType w:val="hybridMultilevel"/>
    <w:tmpl w:val="36966FBE"/>
    <w:lvl w:ilvl="0" w:tplc="6AB0509E">
      <w:numFmt w:val="bullet"/>
      <w:lvlText w:val=""/>
      <w:lvlJc w:val="left"/>
      <w:pPr>
        <w:ind w:left="467" w:hanging="357"/>
      </w:pPr>
      <w:rPr>
        <w:rFonts w:ascii="Symbol" w:eastAsia="Symbol" w:hAnsi="Symbol" w:cs="Symbol" w:hint="default"/>
        <w:w w:val="103"/>
        <w:sz w:val="19"/>
        <w:szCs w:val="19"/>
      </w:rPr>
    </w:lvl>
    <w:lvl w:ilvl="1" w:tplc="22F8E176">
      <w:numFmt w:val="bullet"/>
      <w:lvlText w:val="•"/>
      <w:lvlJc w:val="left"/>
      <w:pPr>
        <w:ind w:left="1319" w:hanging="357"/>
      </w:pPr>
      <w:rPr>
        <w:rFonts w:hint="default"/>
      </w:rPr>
    </w:lvl>
    <w:lvl w:ilvl="2" w:tplc="0826101A">
      <w:numFmt w:val="bullet"/>
      <w:lvlText w:val="•"/>
      <w:lvlJc w:val="left"/>
      <w:pPr>
        <w:ind w:left="2178" w:hanging="357"/>
      </w:pPr>
      <w:rPr>
        <w:rFonts w:hint="default"/>
      </w:rPr>
    </w:lvl>
    <w:lvl w:ilvl="3" w:tplc="086A23E4">
      <w:numFmt w:val="bullet"/>
      <w:lvlText w:val="•"/>
      <w:lvlJc w:val="left"/>
      <w:pPr>
        <w:ind w:left="3037" w:hanging="357"/>
      </w:pPr>
      <w:rPr>
        <w:rFonts w:hint="default"/>
      </w:rPr>
    </w:lvl>
    <w:lvl w:ilvl="4" w:tplc="5C50FD7E">
      <w:numFmt w:val="bullet"/>
      <w:lvlText w:val="•"/>
      <w:lvlJc w:val="left"/>
      <w:pPr>
        <w:ind w:left="3896" w:hanging="357"/>
      </w:pPr>
      <w:rPr>
        <w:rFonts w:hint="default"/>
      </w:rPr>
    </w:lvl>
    <w:lvl w:ilvl="5" w:tplc="5F2483D0">
      <w:numFmt w:val="bullet"/>
      <w:lvlText w:val="•"/>
      <w:lvlJc w:val="left"/>
      <w:pPr>
        <w:ind w:left="4756" w:hanging="357"/>
      </w:pPr>
      <w:rPr>
        <w:rFonts w:hint="default"/>
      </w:rPr>
    </w:lvl>
    <w:lvl w:ilvl="6" w:tplc="2620256C">
      <w:numFmt w:val="bullet"/>
      <w:lvlText w:val="•"/>
      <w:lvlJc w:val="left"/>
      <w:pPr>
        <w:ind w:left="5615" w:hanging="357"/>
      </w:pPr>
      <w:rPr>
        <w:rFonts w:hint="default"/>
      </w:rPr>
    </w:lvl>
    <w:lvl w:ilvl="7" w:tplc="0F5CA36C">
      <w:numFmt w:val="bullet"/>
      <w:lvlText w:val="•"/>
      <w:lvlJc w:val="left"/>
      <w:pPr>
        <w:ind w:left="6474" w:hanging="357"/>
      </w:pPr>
      <w:rPr>
        <w:rFonts w:hint="default"/>
      </w:rPr>
    </w:lvl>
    <w:lvl w:ilvl="8" w:tplc="DD62ACE2">
      <w:numFmt w:val="bullet"/>
      <w:lvlText w:val="•"/>
      <w:lvlJc w:val="left"/>
      <w:pPr>
        <w:ind w:left="7333" w:hanging="357"/>
      </w:pPr>
      <w:rPr>
        <w:rFonts w:hint="default"/>
      </w:rPr>
    </w:lvl>
  </w:abstractNum>
  <w:abstractNum w:abstractNumId="46" w15:restartNumberingAfterBreak="0">
    <w:nsid w:val="31C164F8"/>
    <w:multiLevelType w:val="hybridMultilevel"/>
    <w:tmpl w:val="AEDA4D4C"/>
    <w:lvl w:ilvl="0" w:tplc="AFC46230">
      <w:numFmt w:val="bullet"/>
      <w:lvlText w:val=""/>
      <w:lvlJc w:val="left"/>
      <w:pPr>
        <w:ind w:left="470" w:hanging="360"/>
      </w:pPr>
      <w:rPr>
        <w:rFonts w:ascii="Symbol" w:eastAsia="Symbol" w:hAnsi="Symbol" w:cs="Symbol" w:hint="default"/>
        <w:w w:val="103"/>
        <w:sz w:val="19"/>
        <w:szCs w:val="19"/>
      </w:rPr>
    </w:lvl>
    <w:lvl w:ilvl="1" w:tplc="67E2CEB2">
      <w:numFmt w:val="bullet"/>
      <w:lvlText w:val="•"/>
      <w:lvlJc w:val="left"/>
      <w:pPr>
        <w:ind w:left="1167" w:hanging="360"/>
      </w:pPr>
      <w:rPr>
        <w:rFonts w:hint="default"/>
      </w:rPr>
    </w:lvl>
    <w:lvl w:ilvl="2" w:tplc="083E77C8">
      <w:numFmt w:val="bullet"/>
      <w:lvlText w:val="•"/>
      <w:lvlJc w:val="left"/>
      <w:pPr>
        <w:ind w:left="1854" w:hanging="360"/>
      </w:pPr>
      <w:rPr>
        <w:rFonts w:hint="default"/>
      </w:rPr>
    </w:lvl>
    <w:lvl w:ilvl="3" w:tplc="C7768BF2">
      <w:numFmt w:val="bullet"/>
      <w:lvlText w:val="•"/>
      <w:lvlJc w:val="left"/>
      <w:pPr>
        <w:ind w:left="2541" w:hanging="360"/>
      </w:pPr>
      <w:rPr>
        <w:rFonts w:hint="default"/>
      </w:rPr>
    </w:lvl>
    <w:lvl w:ilvl="4" w:tplc="55868CBE">
      <w:numFmt w:val="bullet"/>
      <w:lvlText w:val="•"/>
      <w:lvlJc w:val="left"/>
      <w:pPr>
        <w:ind w:left="3229" w:hanging="360"/>
      </w:pPr>
      <w:rPr>
        <w:rFonts w:hint="default"/>
      </w:rPr>
    </w:lvl>
    <w:lvl w:ilvl="5" w:tplc="D1C8810E">
      <w:numFmt w:val="bullet"/>
      <w:lvlText w:val="•"/>
      <w:lvlJc w:val="left"/>
      <w:pPr>
        <w:ind w:left="3916" w:hanging="360"/>
      </w:pPr>
      <w:rPr>
        <w:rFonts w:hint="default"/>
      </w:rPr>
    </w:lvl>
    <w:lvl w:ilvl="6" w:tplc="86E690BC">
      <w:numFmt w:val="bullet"/>
      <w:lvlText w:val="•"/>
      <w:lvlJc w:val="left"/>
      <w:pPr>
        <w:ind w:left="4603" w:hanging="360"/>
      </w:pPr>
      <w:rPr>
        <w:rFonts w:hint="default"/>
      </w:rPr>
    </w:lvl>
    <w:lvl w:ilvl="7" w:tplc="1CD0D524">
      <w:numFmt w:val="bullet"/>
      <w:lvlText w:val="•"/>
      <w:lvlJc w:val="left"/>
      <w:pPr>
        <w:ind w:left="5291" w:hanging="360"/>
      </w:pPr>
      <w:rPr>
        <w:rFonts w:hint="default"/>
      </w:rPr>
    </w:lvl>
    <w:lvl w:ilvl="8" w:tplc="6D280C2C">
      <w:numFmt w:val="bullet"/>
      <w:lvlText w:val="•"/>
      <w:lvlJc w:val="left"/>
      <w:pPr>
        <w:ind w:left="5978" w:hanging="360"/>
      </w:pPr>
      <w:rPr>
        <w:rFonts w:hint="default"/>
      </w:rPr>
    </w:lvl>
  </w:abstractNum>
  <w:abstractNum w:abstractNumId="47" w15:restartNumberingAfterBreak="0">
    <w:nsid w:val="321A3BF5"/>
    <w:multiLevelType w:val="hybridMultilevel"/>
    <w:tmpl w:val="DD92B874"/>
    <w:lvl w:ilvl="0" w:tplc="C39497E4">
      <w:numFmt w:val="bullet"/>
      <w:lvlText w:val=""/>
      <w:lvlJc w:val="left"/>
      <w:pPr>
        <w:ind w:left="470" w:hanging="360"/>
      </w:pPr>
      <w:rPr>
        <w:rFonts w:ascii="Symbol" w:eastAsia="Symbol" w:hAnsi="Symbol" w:cs="Symbol" w:hint="default"/>
        <w:w w:val="103"/>
        <w:sz w:val="19"/>
        <w:szCs w:val="19"/>
      </w:rPr>
    </w:lvl>
    <w:lvl w:ilvl="1" w:tplc="A1D0533E">
      <w:numFmt w:val="bullet"/>
      <w:lvlText w:val="o"/>
      <w:lvlJc w:val="left"/>
      <w:pPr>
        <w:ind w:left="830" w:hanging="360"/>
      </w:pPr>
      <w:rPr>
        <w:rFonts w:ascii="Courier New" w:eastAsia="Courier New" w:hAnsi="Courier New" w:cs="Courier New" w:hint="default"/>
        <w:w w:val="103"/>
        <w:sz w:val="19"/>
        <w:szCs w:val="19"/>
      </w:rPr>
    </w:lvl>
    <w:lvl w:ilvl="2" w:tplc="F70C4F26">
      <w:numFmt w:val="bullet"/>
      <w:lvlText w:val="•"/>
      <w:lvlJc w:val="left"/>
      <w:pPr>
        <w:ind w:left="1805" w:hanging="360"/>
      </w:pPr>
      <w:rPr>
        <w:rFonts w:hint="default"/>
      </w:rPr>
    </w:lvl>
    <w:lvl w:ilvl="3" w:tplc="B7129CBA">
      <w:numFmt w:val="bullet"/>
      <w:lvlText w:val="•"/>
      <w:lvlJc w:val="left"/>
      <w:pPr>
        <w:ind w:left="2770" w:hanging="360"/>
      </w:pPr>
      <w:rPr>
        <w:rFonts w:hint="default"/>
      </w:rPr>
    </w:lvl>
    <w:lvl w:ilvl="4" w:tplc="17404C04">
      <w:numFmt w:val="bullet"/>
      <w:lvlText w:val="•"/>
      <w:lvlJc w:val="left"/>
      <w:pPr>
        <w:ind w:left="3735" w:hanging="360"/>
      </w:pPr>
      <w:rPr>
        <w:rFonts w:hint="default"/>
      </w:rPr>
    </w:lvl>
    <w:lvl w:ilvl="5" w:tplc="B8DEA59A">
      <w:numFmt w:val="bullet"/>
      <w:lvlText w:val="•"/>
      <w:lvlJc w:val="left"/>
      <w:pPr>
        <w:ind w:left="4700" w:hanging="360"/>
      </w:pPr>
      <w:rPr>
        <w:rFonts w:hint="default"/>
      </w:rPr>
    </w:lvl>
    <w:lvl w:ilvl="6" w:tplc="785E3EA0">
      <w:numFmt w:val="bullet"/>
      <w:lvlText w:val="•"/>
      <w:lvlJc w:val="left"/>
      <w:pPr>
        <w:ind w:left="5666" w:hanging="360"/>
      </w:pPr>
      <w:rPr>
        <w:rFonts w:hint="default"/>
      </w:rPr>
    </w:lvl>
    <w:lvl w:ilvl="7" w:tplc="DC02D466">
      <w:numFmt w:val="bullet"/>
      <w:lvlText w:val="•"/>
      <w:lvlJc w:val="left"/>
      <w:pPr>
        <w:ind w:left="6631" w:hanging="360"/>
      </w:pPr>
      <w:rPr>
        <w:rFonts w:hint="default"/>
      </w:rPr>
    </w:lvl>
    <w:lvl w:ilvl="8" w:tplc="EFAC2670">
      <w:numFmt w:val="bullet"/>
      <w:lvlText w:val="•"/>
      <w:lvlJc w:val="left"/>
      <w:pPr>
        <w:ind w:left="7596" w:hanging="360"/>
      </w:pPr>
      <w:rPr>
        <w:rFonts w:hint="default"/>
      </w:rPr>
    </w:lvl>
  </w:abstractNum>
  <w:abstractNum w:abstractNumId="48" w15:restartNumberingAfterBreak="0">
    <w:nsid w:val="322F7FB0"/>
    <w:multiLevelType w:val="hybridMultilevel"/>
    <w:tmpl w:val="D466FD20"/>
    <w:lvl w:ilvl="0" w:tplc="80605316">
      <w:numFmt w:val="bullet"/>
      <w:lvlText w:val=""/>
      <w:lvlJc w:val="left"/>
      <w:pPr>
        <w:ind w:left="465" w:hanging="360"/>
      </w:pPr>
      <w:rPr>
        <w:rFonts w:ascii="Symbol" w:eastAsia="Symbol" w:hAnsi="Symbol" w:cs="Symbol" w:hint="default"/>
        <w:w w:val="103"/>
        <w:sz w:val="19"/>
        <w:szCs w:val="19"/>
      </w:rPr>
    </w:lvl>
    <w:lvl w:ilvl="1" w:tplc="083EB6D0">
      <w:numFmt w:val="bullet"/>
      <w:lvlText w:val="•"/>
      <w:lvlJc w:val="left"/>
      <w:pPr>
        <w:ind w:left="1418" w:hanging="360"/>
      </w:pPr>
      <w:rPr>
        <w:rFonts w:hint="default"/>
      </w:rPr>
    </w:lvl>
    <w:lvl w:ilvl="2" w:tplc="D2AA5892">
      <w:numFmt w:val="bullet"/>
      <w:lvlText w:val="•"/>
      <w:lvlJc w:val="left"/>
      <w:pPr>
        <w:ind w:left="2377" w:hanging="360"/>
      </w:pPr>
      <w:rPr>
        <w:rFonts w:hint="default"/>
      </w:rPr>
    </w:lvl>
    <w:lvl w:ilvl="3" w:tplc="2C867D4C">
      <w:numFmt w:val="bullet"/>
      <w:lvlText w:val="•"/>
      <w:lvlJc w:val="left"/>
      <w:pPr>
        <w:ind w:left="3335" w:hanging="360"/>
      </w:pPr>
      <w:rPr>
        <w:rFonts w:hint="default"/>
      </w:rPr>
    </w:lvl>
    <w:lvl w:ilvl="4" w:tplc="2C60B5FA">
      <w:numFmt w:val="bullet"/>
      <w:lvlText w:val="•"/>
      <w:lvlJc w:val="left"/>
      <w:pPr>
        <w:ind w:left="4294" w:hanging="360"/>
      </w:pPr>
      <w:rPr>
        <w:rFonts w:hint="default"/>
      </w:rPr>
    </w:lvl>
    <w:lvl w:ilvl="5" w:tplc="E1F27BF2">
      <w:numFmt w:val="bullet"/>
      <w:lvlText w:val="•"/>
      <w:lvlJc w:val="left"/>
      <w:pPr>
        <w:ind w:left="5253" w:hanging="360"/>
      </w:pPr>
      <w:rPr>
        <w:rFonts w:hint="default"/>
      </w:rPr>
    </w:lvl>
    <w:lvl w:ilvl="6" w:tplc="96C6A7F0">
      <w:numFmt w:val="bullet"/>
      <w:lvlText w:val="•"/>
      <w:lvlJc w:val="left"/>
      <w:pPr>
        <w:ind w:left="6211" w:hanging="360"/>
      </w:pPr>
      <w:rPr>
        <w:rFonts w:hint="default"/>
      </w:rPr>
    </w:lvl>
    <w:lvl w:ilvl="7" w:tplc="37309F4E">
      <w:numFmt w:val="bullet"/>
      <w:lvlText w:val="•"/>
      <w:lvlJc w:val="left"/>
      <w:pPr>
        <w:ind w:left="7170" w:hanging="360"/>
      </w:pPr>
      <w:rPr>
        <w:rFonts w:hint="default"/>
      </w:rPr>
    </w:lvl>
    <w:lvl w:ilvl="8" w:tplc="FC584504">
      <w:numFmt w:val="bullet"/>
      <w:lvlText w:val="•"/>
      <w:lvlJc w:val="left"/>
      <w:pPr>
        <w:ind w:left="8128" w:hanging="360"/>
      </w:pPr>
      <w:rPr>
        <w:rFonts w:hint="default"/>
      </w:rPr>
    </w:lvl>
  </w:abstractNum>
  <w:abstractNum w:abstractNumId="49" w15:restartNumberingAfterBreak="0">
    <w:nsid w:val="32912018"/>
    <w:multiLevelType w:val="hybridMultilevel"/>
    <w:tmpl w:val="F00C9688"/>
    <w:lvl w:ilvl="0" w:tplc="4C1AF4CA">
      <w:numFmt w:val="bullet"/>
      <w:lvlText w:val=""/>
      <w:lvlJc w:val="left"/>
      <w:pPr>
        <w:ind w:left="470" w:hanging="360"/>
      </w:pPr>
      <w:rPr>
        <w:rFonts w:ascii="Symbol" w:eastAsia="Symbol" w:hAnsi="Symbol" w:cs="Symbol" w:hint="default"/>
        <w:w w:val="103"/>
        <w:sz w:val="19"/>
        <w:szCs w:val="19"/>
      </w:rPr>
    </w:lvl>
    <w:lvl w:ilvl="1" w:tplc="6AA80926">
      <w:numFmt w:val="bullet"/>
      <w:lvlText w:val="•"/>
      <w:lvlJc w:val="left"/>
      <w:pPr>
        <w:ind w:left="1408" w:hanging="360"/>
      </w:pPr>
      <w:rPr>
        <w:rFonts w:hint="default"/>
      </w:rPr>
    </w:lvl>
    <w:lvl w:ilvl="2" w:tplc="7B9CA5F6">
      <w:numFmt w:val="bullet"/>
      <w:lvlText w:val="•"/>
      <w:lvlJc w:val="left"/>
      <w:pPr>
        <w:ind w:left="2336" w:hanging="360"/>
      </w:pPr>
      <w:rPr>
        <w:rFonts w:hint="default"/>
      </w:rPr>
    </w:lvl>
    <w:lvl w:ilvl="3" w:tplc="82D49A12">
      <w:numFmt w:val="bullet"/>
      <w:lvlText w:val="•"/>
      <w:lvlJc w:val="left"/>
      <w:pPr>
        <w:ind w:left="3264" w:hanging="360"/>
      </w:pPr>
      <w:rPr>
        <w:rFonts w:hint="default"/>
      </w:rPr>
    </w:lvl>
    <w:lvl w:ilvl="4" w:tplc="11C4008A">
      <w:numFmt w:val="bullet"/>
      <w:lvlText w:val="•"/>
      <w:lvlJc w:val="left"/>
      <w:pPr>
        <w:ind w:left="4192" w:hanging="360"/>
      </w:pPr>
      <w:rPr>
        <w:rFonts w:hint="default"/>
      </w:rPr>
    </w:lvl>
    <w:lvl w:ilvl="5" w:tplc="2E40DD08">
      <w:numFmt w:val="bullet"/>
      <w:lvlText w:val="•"/>
      <w:lvlJc w:val="left"/>
      <w:pPr>
        <w:ind w:left="5121" w:hanging="360"/>
      </w:pPr>
      <w:rPr>
        <w:rFonts w:hint="default"/>
      </w:rPr>
    </w:lvl>
    <w:lvl w:ilvl="6" w:tplc="2FE244E6">
      <w:numFmt w:val="bullet"/>
      <w:lvlText w:val="•"/>
      <w:lvlJc w:val="left"/>
      <w:pPr>
        <w:ind w:left="6049" w:hanging="360"/>
      </w:pPr>
      <w:rPr>
        <w:rFonts w:hint="default"/>
      </w:rPr>
    </w:lvl>
    <w:lvl w:ilvl="7" w:tplc="A400329A">
      <w:numFmt w:val="bullet"/>
      <w:lvlText w:val="•"/>
      <w:lvlJc w:val="left"/>
      <w:pPr>
        <w:ind w:left="6977" w:hanging="360"/>
      </w:pPr>
      <w:rPr>
        <w:rFonts w:hint="default"/>
      </w:rPr>
    </w:lvl>
    <w:lvl w:ilvl="8" w:tplc="993C3174">
      <w:numFmt w:val="bullet"/>
      <w:lvlText w:val="•"/>
      <w:lvlJc w:val="left"/>
      <w:pPr>
        <w:ind w:left="7905" w:hanging="360"/>
      </w:pPr>
      <w:rPr>
        <w:rFonts w:hint="default"/>
      </w:rPr>
    </w:lvl>
  </w:abstractNum>
  <w:abstractNum w:abstractNumId="50" w15:restartNumberingAfterBreak="0">
    <w:nsid w:val="344C1832"/>
    <w:multiLevelType w:val="hybridMultilevel"/>
    <w:tmpl w:val="E56863B4"/>
    <w:lvl w:ilvl="0" w:tplc="70ACEF54">
      <w:numFmt w:val="bullet"/>
      <w:lvlText w:val=""/>
      <w:lvlJc w:val="left"/>
      <w:pPr>
        <w:ind w:left="470" w:hanging="360"/>
      </w:pPr>
      <w:rPr>
        <w:rFonts w:ascii="Symbol" w:eastAsia="Symbol" w:hAnsi="Symbol" w:cs="Symbol" w:hint="default"/>
        <w:w w:val="103"/>
        <w:sz w:val="19"/>
        <w:szCs w:val="19"/>
      </w:rPr>
    </w:lvl>
    <w:lvl w:ilvl="1" w:tplc="EF147D26">
      <w:numFmt w:val="bullet"/>
      <w:lvlText w:val="•"/>
      <w:lvlJc w:val="left"/>
      <w:pPr>
        <w:ind w:left="867" w:hanging="360"/>
      </w:pPr>
      <w:rPr>
        <w:rFonts w:hint="default"/>
      </w:rPr>
    </w:lvl>
    <w:lvl w:ilvl="2" w:tplc="9500C2C0">
      <w:numFmt w:val="bullet"/>
      <w:lvlText w:val="•"/>
      <w:lvlJc w:val="left"/>
      <w:pPr>
        <w:ind w:left="1255" w:hanging="360"/>
      </w:pPr>
      <w:rPr>
        <w:rFonts w:hint="default"/>
      </w:rPr>
    </w:lvl>
    <w:lvl w:ilvl="3" w:tplc="E27AFC82">
      <w:numFmt w:val="bullet"/>
      <w:lvlText w:val="•"/>
      <w:lvlJc w:val="left"/>
      <w:pPr>
        <w:ind w:left="1642" w:hanging="360"/>
      </w:pPr>
      <w:rPr>
        <w:rFonts w:hint="default"/>
      </w:rPr>
    </w:lvl>
    <w:lvl w:ilvl="4" w:tplc="CCF8CB40">
      <w:numFmt w:val="bullet"/>
      <w:lvlText w:val="•"/>
      <w:lvlJc w:val="left"/>
      <w:pPr>
        <w:ind w:left="2030" w:hanging="360"/>
      </w:pPr>
      <w:rPr>
        <w:rFonts w:hint="default"/>
      </w:rPr>
    </w:lvl>
    <w:lvl w:ilvl="5" w:tplc="E73EC956">
      <w:numFmt w:val="bullet"/>
      <w:lvlText w:val="•"/>
      <w:lvlJc w:val="left"/>
      <w:pPr>
        <w:ind w:left="2418" w:hanging="360"/>
      </w:pPr>
      <w:rPr>
        <w:rFonts w:hint="default"/>
      </w:rPr>
    </w:lvl>
    <w:lvl w:ilvl="6" w:tplc="6368E8E8">
      <w:numFmt w:val="bullet"/>
      <w:lvlText w:val="•"/>
      <w:lvlJc w:val="left"/>
      <w:pPr>
        <w:ind w:left="2805" w:hanging="360"/>
      </w:pPr>
      <w:rPr>
        <w:rFonts w:hint="default"/>
      </w:rPr>
    </w:lvl>
    <w:lvl w:ilvl="7" w:tplc="9F1EC35E">
      <w:numFmt w:val="bullet"/>
      <w:lvlText w:val="•"/>
      <w:lvlJc w:val="left"/>
      <w:pPr>
        <w:ind w:left="3193" w:hanging="360"/>
      </w:pPr>
      <w:rPr>
        <w:rFonts w:hint="default"/>
      </w:rPr>
    </w:lvl>
    <w:lvl w:ilvl="8" w:tplc="8B106F5A">
      <w:numFmt w:val="bullet"/>
      <w:lvlText w:val="•"/>
      <w:lvlJc w:val="left"/>
      <w:pPr>
        <w:ind w:left="3580" w:hanging="360"/>
      </w:pPr>
      <w:rPr>
        <w:rFonts w:hint="default"/>
      </w:rPr>
    </w:lvl>
  </w:abstractNum>
  <w:abstractNum w:abstractNumId="51" w15:restartNumberingAfterBreak="0">
    <w:nsid w:val="347C339F"/>
    <w:multiLevelType w:val="hybridMultilevel"/>
    <w:tmpl w:val="24E251D4"/>
    <w:lvl w:ilvl="0" w:tplc="8D128F3A">
      <w:numFmt w:val="bullet"/>
      <w:lvlText w:val=""/>
      <w:lvlJc w:val="left"/>
      <w:pPr>
        <w:ind w:left="470" w:hanging="360"/>
      </w:pPr>
      <w:rPr>
        <w:rFonts w:ascii="Symbol" w:eastAsia="Symbol" w:hAnsi="Symbol" w:cs="Symbol" w:hint="default"/>
        <w:w w:val="103"/>
        <w:sz w:val="19"/>
        <w:szCs w:val="19"/>
      </w:rPr>
    </w:lvl>
    <w:lvl w:ilvl="1" w:tplc="058063C4">
      <w:numFmt w:val="bullet"/>
      <w:lvlText w:val="•"/>
      <w:lvlJc w:val="left"/>
      <w:pPr>
        <w:ind w:left="1384" w:hanging="360"/>
      </w:pPr>
      <w:rPr>
        <w:rFonts w:hint="default"/>
      </w:rPr>
    </w:lvl>
    <w:lvl w:ilvl="2" w:tplc="F2461D14">
      <w:numFmt w:val="bullet"/>
      <w:lvlText w:val="•"/>
      <w:lvlJc w:val="left"/>
      <w:pPr>
        <w:ind w:left="2289" w:hanging="360"/>
      </w:pPr>
      <w:rPr>
        <w:rFonts w:hint="default"/>
      </w:rPr>
    </w:lvl>
    <w:lvl w:ilvl="3" w:tplc="0C6E51CA">
      <w:numFmt w:val="bullet"/>
      <w:lvlText w:val="•"/>
      <w:lvlJc w:val="left"/>
      <w:pPr>
        <w:ind w:left="3194" w:hanging="360"/>
      </w:pPr>
      <w:rPr>
        <w:rFonts w:hint="default"/>
      </w:rPr>
    </w:lvl>
    <w:lvl w:ilvl="4" w:tplc="0A8E3816">
      <w:numFmt w:val="bullet"/>
      <w:lvlText w:val="•"/>
      <w:lvlJc w:val="left"/>
      <w:pPr>
        <w:ind w:left="4098" w:hanging="360"/>
      </w:pPr>
      <w:rPr>
        <w:rFonts w:hint="default"/>
      </w:rPr>
    </w:lvl>
    <w:lvl w:ilvl="5" w:tplc="ED243C6C">
      <w:numFmt w:val="bullet"/>
      <w:lvlText w:val="•"/>
      <w:lvlJc w:val="left"/>
      <w:pPr>
        <w:ind w:left="5003" w:hanging="360"/>
      </w:pPr>
      <w:rPr>
        <w:rFonts w:hint="default"/>
      </w:rPr>
    </w:lvl>
    <w:lvl w:ilvl="6" w:tplc="5D2CC6A4">
      <w:numFmt w:val="bullet"/>
      <w:lvlText w:val="•"/>
      <w:lvlJc w:val="left"/>
      <w:pPr>
        <w:ind w:left="5908" w:hanging="360"/>
      </w:pPr>
      <w:rPr>
        <w:rFonts w:hint="default"/>
      </w:rPr>
    </w:lvl>
    <w:lvl w:ilvl="7" w:tplc="297866D4">
      <w:numFmt w:val="bullet"/>
      <w:lvlText w:val="•"/>
      <w:lvlJc w:val="left"/>
      <w:pPr>
        <w:ind w:left="6812" w:hanging="360"/>
      </w:pPr>
      <w:rPr>
        <w:rFonts w:hint="default"/>
      </w:rPr>
    </w:lvl>
    <w:lvl w:ilvl="8" w:tplc="511CEEEC">
      <w:numFmt w:val="bullet"/>
      <w:lvlText w:val="•"/>
      <w:lvlJc w:val="left"/>
      <w:pPr>
        <w:ind w:left="7717" w:hanging="360"/>
      </w:pPr>
      <w:rPr>
        <w:rFonts w:hint="default"/>
      </w:rPr>
    </w:lvl>
  </w:abstractNum>
  <w:abstractNum w:abstractNumId="52" w15:restartNumberingAfterBreak="0">
    <w:nsid w:val="36D66115"/>
    <w:multiLevelType w:val="hybridMultilevel"/>
    <w:tmpl w:val="3DF68622"/>
    <w:lvl w:ilvl="0" w:tplc="63AE8D78">
      <w:numFmt w:val="bullet"/>
      <w:lvlText w:val=""/>
      <w:lvlJc w:val="left"/>
      <w:pPr>
        <w:ind w:left="470" w:hanging="360"/>
      </w:pPr>
      <w:rPr>
        <w:rFonts w:ascii="Symbol" w:eastAsia="Symbol" w:hAnsi="Symbol" w:cs="Symbol" w:hint="default"/>
        <w:w w:val="103"/>
        <w:sz w:val="19"/>
        <w:szCs w:val="19"/>
      </w:rPr>
    </w:lvl>
    <w:lvl w:ilvl="1" w:tplc="E1AC49EE">
      <w:numFmt w:val="bullet"/>
      <w:lvlText w:val="•"/>
      <w:lvlJc w:val="left"/>
      <w:pPr>
        <w:ind w:left="1384" w:hanging="360"/>
      </w:pPr>
      <w:rPr>
        <w:rFonts w:hint="default"/>
      </w:rPr>
    </w:lvl>
    <w:lvl w:ilvl="2" w:tplc="C0507626">
      <w:numFmt w:val="bullet"/>
      <w:lvlText w:val="•"/>
      <w:lvlJc w:val="left"/>
      <w:pPr>
        <w:ind w:left="2289" w:hanging="360"/>
      </w:pPr>
      <w:rPr>
        <w:rFonts w:hint="default"/>
      </w:rPr>
    </w:lvl>
    <w:lvl w:ilvl="3" w:tplc="12FA8112">
      <w:numFmt w:val="bullet"/>
      <w:lvlText w:val="•"/>
      <w:lvlJc w:val="left"/>
      <w:pPr>
        <w:ind w:left="3194" w:hanging="360"/>
      </w:pPr>
      <w:rPr>
        <w:rFonts w:hint="default"/>
      </w:rPr>
    </w:lvl>
    <w:lvl w:ilvl="4" w:tplc="259C4D62">
      <w:numFmt w:val="bullet"/>
      <w:lvlText w:val="•"/>
      <w:lvlJc w:val="left"/>
      <w:pPr>
        <w:ind w:left="4098" w:hanging="360"/>
      </w:pPr>
      <w:rPr>
        <w:rFonts w:hint="default"/>
      </w:rPr>
    </w:lvl>
    <w:lvl w:ilvl="5" w:tplc="2550F344">
      <w:numFmt w:val="bullet"/>
      <w:lvlText w:val="•"/>
      <w:lvlJc w:val="left"/>
      <w:pPr>
        <w:ind w:left="5003" w:hanging="360"/>
      </w:pPr>
      <w:rPr>
        <w:rFonts w:hint="default"/>
      </w:rPr>
    </w:lvl>
    <w:lvl w:ilvl="6" w:tplc="FD68278A">
      <w:numFmt w:val="bullet"/>
      <w:lvlText w:val="•"/>
      <w:lvlJc w:val="left"/>
      <w:pPr>
        <w:ind w:left="5908" w:hanging="360"/>
      </w:pPr>
      <w:rPr>
        <w:rFonts w:hint="default"/>
      </w:rPr>
    </w:lvl>
    <w:lvl w:ilvl="7" w:tplc="2B70B29C">
      <w:numFmt w:val="bullet"/>
      <w:lvlText w:val="•"/>
      <w:lvlJc w:val="left"/>
      <w:pPr>
        <w:ind w:left="6812" w:hanging="360"/>
      </w:pPr>
      <w:rPr>
        <w:rFonts w:hint="default"/>
      </w:rPr>
    </w:lvl>
    <w:lvl w:ilvl="8" w:tplc="7E40BFA4">
      <w:numFmt w:val="bullet"/>
      <w:lvlText w:val="•"/>
      <w:lvlJc w:val="left"/>
      <w:pPr>
        <w:ind w:left="7717" w:hanging="360"/>
      </w:pPr>
      <w:rPr>
        <w:rFonts w:hint="default"/>
      </w:rPr>
    </w:lvl>
  </w:abstractNum>
  <w:abstractNum w:abstractNumId="53" w15:restartNumberingAfterBreak="0">
    <w:nsid w:val="37A16896"/>
    <w:multiLevelType w:val="hybridMultilevel"/>
    <w:tmpl w:val="3F10A440"/>
    <w:lvl w:ilvl="0" w:tplc="C3DA1774">
      <w:numFmt w:val="bullet"/>
      <w:lvlText w:val=""/>
      <w:lvlJc w:val="left"/>
      <w:pPr>
        <w:ind w:left="427" w:hanging="317"/>
      </w:pPr>
      <w:rPr>
        <w:rFonts w:ascii="Symbol" w:eastAsia="Symbol" w:hAnsi="Symbol" w:cs="Symbol" w:hint="default"/>
        <w:w w:val="103"/>
        <w:sz w:val="19"/>
        <w:szCs w:val="19"/>
      </w:rPr>
    </w:lvl>
    <w:lvl w:ilvl="1" w:tplc="230E55EA">
      <w:numFmt w:val="bullet"/>
      <w:lvlText w:val="•"/>
      <w:lvlJc w:val="left"/>
      <w:pPr>
        <w:ind w:left="1330" w:hanging="317"/>
      </w:pPr>
      <w:rPr>
        <w:rFonts w:hint="default"/>
      </w:rPr>
    </w:lvl>
    <w:lvl w:ilvl="2" w:tplc="7322638A">
      <w:numFmt w:val="bullet"/>
      <w:lvlText w:val="•"/>
      <w:lvlJc w:val="left"/>
      <w:pPr>
        <w:ind w:left="2241" w:hanging="317"/>
      </w:pPr>
      <w:rPr>
        <w:rFonts w:hint="default"/>
      </w:rPr>
    </w:lvl>
    <w:lvl w:ilvl="3" w:tplc="3166970E">
      <w:numFmt w:val="bullet"/>
      <w:lvlText w:val="•"/>
      <w:lvlJc w:val="left"/>
      <w:pPr>
        <w:ind w:left="3152" w:hanging="317"/>
      </w:pPr>
      <w:rPr>
        <w:rFonts w:hint="default"/>
      </w:rPr>
    </w:lvl>
    <w:lvl w:ilvl="4" w:tplc="5E042BA0">
      <w:numFmt w:val="bullet"/>
      <w:lvlText w:val="•"/>
      <w:lvlJc w:val="left"/>
      <w:pPr>
        <w:ind w:left="4062" w:hanging="317"/>
      </w:pPr>
      <w:rPr>
        <w:rFonts w:hint="default"/>
      </w:rPr>
    </w:lvl>
    <w:lvl w:ilvl="5" w:tplc="009A4B16">
      <w:numFmt w:val="bullet"/>
      <w:lvlText w:val="•"/>
      <w:lvlJc w:val="left"/>
      <w:pPr>
        <w:ind w:left="4973" w:hanging="317"/>
      </w:pPr>
      <w:rPr>
        <w:rFonts w:hint="default"/>
      </w:rPr>
    </w:lvl>
    <w:lvl w:ilvl="6" w:tplc="EB36F820">
      <w:numFmt w:val="bullet"/>
      <w:lvlText w:val="•"/>
      <w:lvlJc w:val="left"/>
      <w:pPr>
        <w:ind w:left="5884" w:hanging="317"/>
      </w:pPr>
      <w:rPr>
        <w:rFonts w:hint="default"/>
      </w:rPr>
    </w:lvl>
    <w:lvl w:ilvl="7" w:tplc="7090C574">
      <w:numFmt w:val="bullet"/>
      <w:lvlText w:val="•"/>
      <w:lvlJc w:val="left"/>
      <w:pPr>
        <w:ind w:left="6794" w:hanging="317"/>
      </w:pPr>
      <w:rPr>
        <w:rFonts w:hint="default"/>
      </w:rPr>
    </w:lvl>
    <w:lvl w:ilvl="8" w:tplc="74F8BBC2">
      <w:numFmt w:val="bullet"/>
      <w:lvlText w:val="•"/>
      <w:lvlJc w:val="left"/>
      <w:pPr>
        <w:ind w:left="7705" w:hanging="317"/>
      </w:pPr>
      <w:rPr>
        <w:rFonts w:hint="default"/>
      </w:rPr>
    </w:lvl>
  </w:abstractNum>
  <w:abstractNum w:abstractNumId="54" w15:restartNumberingAfterBreak="0">
    <w:nsid w:val="37AA404B"/>
    <w:multiLevelType w:val="hybridMultilevel"/>
    <w:tmpl w:val="8928683A"/>
    <w:lvl w:ilvl="0" w:tplc="0E74F3A4">
      <w:numFmt w:val="bullet"/>
      <w:lvlText w:val=""/>
      <w:lvlJc w:val="left"/>
      <w:pPr>
        <w:ind w:left="427" w:hanging="317"/>
      </w:pPr>
      <w:rPr>
        <w:rFonts w:ascii="Symbol" w:eastAsia="Symbol" w:hAnsi="Symbol" w:cs="Symbol" w:hint="default"/>
        <w:w w:val="103"/>
        <w:sz w:val="19"/>
        <w:szCs w:val="19"/>
      </w:rPr>
    </w:lvl>
    <w:lvl w:ilvl="1" w:tplc="88909430">
      <w:numFmt w:val="bullet"/>
      <w:lvlText w:val="•"/>
      <w:lvlJc w:val="left"/>
      <w:pPr>
        <w:ind w:left="1330" w:hanging="317"/>
      </w:pPr>
      <w:rPr>
        <w:rFonts w:hint="default"/>
      </w:rPr>
    </w:lvl>
    <w:lvl w:ilvl="2" w:tplc="9FCCE4AA">
      <w:numFmt w:val="bullet"/>
      <w:lvlText w:val="•"/>
      <w:lvlJc w:val="left"/>
      <w:pPr>
        <w:ind w:left="2241" w:hanging="317"/>
      </w:pPr>
      <w:rPr>
        <w:rFonts w:hint="default"/>
      </w:rPr>
    </w:lvl>
    <w:lvl w:ilvl="3" w:tplc="057259FE">
      <w:numFmt w:val="bullet"/>
      <w:lvlText w:val="•"/>
      <w:lvlJc w:val="left"/>
      <w:pPr>
        <w:ind w:left="3152" w:hanging="317"/>
      </w:pPr>
      <w:rPr>
        <w:rFonts w:hint="default"/>
      </w:rPr>
    </w:lvl>
    <w:lvl w:ilvl="4" w:tplc="C34E2592">
      <w:numFmt w:val="bullet"/>
      <w:lvlText w:val="•"/>
      <w:lvlJc w:val="left"/>
      <w:pPr>
        <w:ind w:left="4062" w:hanging="317"/>
      </w:pPr>
      <w:rPr>
        <w:rFonts w:hint="default"/>
      </w:rPr>
    </w:lvl>
    <w:lvl w:ilvl="5" w:tplc="CEF4F160">
      <w:numFmt w:val="bullet"/>
      <w:lvlText w:val="•"/>
      <w:lvlJc w:val="left"/>
      <w:pPr>
        <w:ind w:left="4973" w:hanging="317"/>
      </w:pPr>
      <w:rPr>
        <w:rFonts w:hint="default"/>
      </w:rPr>
    </w:lvl>
    <w:lvl w:ilvl="6" w:tplc="88BC2ED0">
      <w:numFmt w:val="bullet"/>
      <w:lvlText w:val="•"/>
      <w:lvlJc w:val="left"/>
      <w:pPr>
        <w:ind w:left="5884" w:hanging="317"/>
      </w:pPr>
      <w:rPr>
        <w:rFonts w:hint="default"/>
      </w:rPr>
    </w:lvl>
    <w:lvl w:ilvl="7" w:tplc="54D62D30">
      <w:numFmt w:val="bullet"/>
      <w:lvlText w:val="•"/>
      <w:lvlJc w:val="left"/>
      <w:pPr>
        <w:ind w:left="6794" w:hanging="317"/>
      </w:pPr>
      <w:rPr>
        <w:rFonts w:hint="default"/>
      </w:rPr>
    </w:lvl>
    <w:lvl w:ilvl="8" w:tplc="FA6EF024">
      <w:numFmt w:val="bullet"/>
      <w:lvlText w:val="•"/>
      <w:lvlJc w:val="left"/>
      <w:pPr>
        <w:ind w:left="7705" w:hanging="317"/>
      </w:pPr>
      <w:rPr>
        <w:rFonts w:hint="default"/>
      </w:rPr>
    </w:lvl>
  </w:abstractNum>
  <w:abstractNum w:abstractNumId="55" w15:restartNumberingAfterBreak="0">
    <w:nsid w:val="380309CA"/>
    <w:multiLevelType w:val="hybridMultilevel"/>
    <w:tmpl w:val="992A6664"/>
    <w:lvl w:ilvl="0" w:tplc="7154165C">
      <w:numFmt w:val="bullet"/>
      <w:lvlText w:val="•"/>
      <w:lvlJc w:val="left"/>
      <w:pPr>
        <w:ind w:left="462" w:hanging="357"/>
      </w:pPr>
      <w:rPr>
        <w:rFonts w:ascii="Arial" w:eastAsia="Arial" w:hAnsi="Arial" w:cs="Arial" w:hint="default"/>
        <w:b/>
        <w:bCs/>
        <w:w w:val="103"/>
        <w:sz w:val="19"/>
        <w:szCs w:val="19"/>
      </w:rPr>
    </w:lvl>
    <w:lvl w:ilvl="1" w:tplc="366C441A">
      <w:numFmt w:val="bullet"/>
      <w:lvlText w:val="•"/>
      <w:lvlJc w:val="left"/>
      <w:pPr>
        <w:ind w:left="1425" w:hanging="357"/>
      </w:pPr>
      <w:rPr>
        <w:rFonts w:hint="default"/>
      </w:rPr>
    </w:lvl>
    <w:lvl w:ilvl="2" w:tplc="1AE29C98">
      <w:numFmt w:val="bullet"/>
      <w:lvlText w:val="•"/>
      <w:lvlJc w:val="left"/>
      <w:pPr>
        <w:ind w:left="2390" w:hanging="357"/>
      </w:pPr>
      <w:rPr>
        <w:rFonts w:hint="default"/>
      </w:rPr>
    </w:lvl>
    <w:lvl w:ilvl="3" w:tplc="0FD6CC6A">
      <w:numFmt w:val="bullet"/>
      <w:lvlText w:val="•"/>
      <w:lvlJc w:val="left"/>
      <w:pPr>
        <w:ind w:left="3355" w:hanging="357"/>
      </w:pPr>
      <w:rPr>
        <w:rFonts w:hint="default"/>
      </w:rPr>
    </w:lvl>
    <w:lvl w:ilvl="4" w:tplc="A462B02A">
      <w:numFmt w:val="bullet"/>
      <w:lvlText w:val="•"/>
      <w:lvlJc w:val="left"/>
      <w:pPr>
        <w:ind w:left="4320" w:hanging="357"/>
      </w:pPr>
      <w:rPr>
        <w:rFonts w:hint="default"/>
      </w:rPr>
    </w:lvl>
    <w:lvl w:ilvl="5" w:tplc="C3A63814">
      <w:numFmt w:val="bullet"/>
      <w:lvlText w:val="•"/>
      <w:lvlJc w:val="left"/>
      <w:pPr>
        <w:ind w:left="5286" w:hanging="357"/>
      </w:pPr>
      <w:rPr>
        <w:rFonts w:hint="default"/>
      </w:rPr>
    </w:lvl>
    <w:lvl w:ilvl="6" w:tplc="A26A3B92">
      <w:numFmt w:val="bullet"/>
      <w:lvlText w:val="•"/>
      <w:lvlJc w:val="left"/>
      <w:pPr>
        <w:ind w:left="6251" w:hanging="357"/>
      </w:pPr>
      <w:rPr>
        <w:rFonts w:hint="default"/>
      </w:rPr>
    </w:lvl>
    <w:lvl w:ilvl="7" w:tplc="DD9AEF1A">
      <w:numFmt w:val="bullet"/>
      <w:lvlText w:val="•"/>
      <w:lvlJc w:val="left"/>
      <w:pPr>
        <w:ind w:left="7216" w:hanging="357"/>
      </w:pPr>
      <w:rPr>
        <w:rFonts w:hint="default"/>
      </w:rPr>
    </w:lvl>
    <w:lvl w:ilvl="8" w:tplc="76AC02B2">
      <w:numFmt w:val="bullet"/>
      <w:lvlText w:val="•"/>
      <w:lvlJc w:val="left"/>
      <w:pPr>
        <w:ind w:left="8181" w:hanging="357"/>
      </w:pPr>
      <w:rPr>
        <w:rFonts w:hint="default"/>
      </w:rPr>
    </w:lvl>
  </w:abstractNum>
  <w:abstractNum w:abstractNumId="56" w15:restartNumberingAfterBreak="0">
    <w:nsid w:val="38694FDA"/>
    <w:multiLevelType w:val="hybridMultilevel"/>
    <w:tmpl w:val="452033F4"/>
    <w:lvl w:ilvl="0" w:tplc="7EAE3DA4">
      <w:numFmt w:val="bullet"/>
      <w:lvlText w:val=""/>
      <w:lvlJc w:val="left"/>
      <w:pPr>
        <w:ind w:left="465" w:hanging="360"/>
      </w:pPr>
      <w:rPr>
        <w:rFonts w:ascii="Symbol" w:eastAsia="Symbol" w:hAnsi="Symbol" w:cs="Symbol" w:hint="default"/>
        <w:w w:val="103"/>
        <w:sz w:val="19"/>
        <w:szCs w:val="19"/>
      </w:rPr>
    </w:lvl>
    <w:lvl w:ilvl="1" w:tplc="0A8AA6C0">
      <w:numFmt w:val="bullet"/>
      <w:lvlText w:val="•"/>
      <w:lvlJc w:val="left"/>
      <w:pPr>
        <w:ind w:left="639" w:hanging="360"/>
      </w:pPr>
      <w:rPr>
        <w:rFonts w:hint="default"/>
      </w:rPr>
    </w:lvl>
    <w:lvl w:ilvl="2" w:tplc="88800EA8">
      <w:numFmt w:val="bullet"/>
      <w:lvlText w:val="•"/>
      <w:lvlJc w:val="left"/>
      <w:pPr>
        <w:ind w:left="818" w:hanging="360"/>
      </w:pPr>
      <w:rPr>
        <w:rFonts w:hint="default"/>
      </w:rPr>
    </w:lvl>
    <w:lvl w:ilvl="3" w:tplc="8BF6D76C">
      <w:numFmt w:val="bullet"/>
      <w:lvlText w:val="•"/>
      <w:lvlJc w:val="left"/>
      <w:pPr>
        <w:ind w:left="997" w:hanging="360"/>
      </w:pPr>
      <w:rPr>
        <w:rFonts w:hint="default"/>
      </w:rPr>
    </w:lvl>
    <w:lvl w:ilvl="4" w:tplc="CFF68E58">
      <w:numFmt w:val="bullet"/>
      <w:lvlText w:val="•"/>
      <w:lvlJc w:val="left"/>
      <w:pPr>
        <w:ind w:left="1176" w:hanging="360"/>
      </w:pPr>
      <w:rPr>
        <w:rFonts w:hint="default"/>
      </w:rPr>
    </w:lvl>
    <w:lvl w:ilvl="5" w:tplc="4AD437F6">
      <w:numFmt w:val="bullet"/>
      <w:lvlText w:val="•"/>
      <w:lvlJc w:val="left"/>
      <w:pPr>
        <w:ind w:left="1355" w:hanging="360"/>
      </w:pPr>
      <w:rPr>
        <w:rFonts w:hint="default"/>
      </w:rPr>
    </w:lvl>
    <w:lvl w:ilvl="6" w:tplc="563C8EA8">
      <w:numFmt w:val="bullet"/>
      <w:lvlText w:val="•"/>
      <w:lvlJc w:val="left"/>
      <w:pPr>
        <w:ind w:left="1534" w:hanging="360"/>
      </w:pPr>
      <w:rPr>
        <w:rFonts w:hint="default"/>
      </w:rPr>
    </w:lvl>
    <w:lvl w:ilvl="7" w:tplc="3A2E672C">
      <w:numFmt w:val="bullet"/>
      <w:lvlText w:val="•"/>
      <w:lvlJc w:val="left"/>
      <w:pPr>
        <w:ind w:left="1713" w:hanging="360"/>
      </w:pPr>
      <w:rPr>
        <w:rFonts w:hint="default"/>
      </w:rPr>
    </w:lvl>
    <w:lvl w:ilvl="8" w:tplc="9BE4F932">
      <w:numFmt w:val="bullet"/>
      <w:lvlText w:val="•"/>
      <w:lvlJc w:val="left"/>
      <w:pPr>
        <w:ind w:left="1892" w:hanging="360"/>
      </w:pPr>
      <w:rPr>
        <w:rFonts w:hint="default"/>
      </w:rPr>
    </w:lvl>
  </w:abstractNum>
  <w:abstractNum w:abstractNumId="57" w15:restartNumberingAfterBreak="0">
    <w:nsid w:val="3A034FBE"/>
    <w:multiLevelType w:val="hybridMultilevel"/>
    <w:tmpl w:val="BFF810EC"/>
    <w:lvl w:ilvl="0" w:tplc="7C2AF7D8">
      <w:numFmt w:val="bullet"/>
      <w:lvlText w:val=""/>
      <w:lvlJc w:val="left"/>
      <w:pPr>
        <w:ind w:left="464" w:hanging="360"/>
      </w:pPr>
      <w:rPr>
        <w:rFonts w:ascii="Symbol" w:eastAsia="Symbol" w:hAnsi="Symbol" w:cs="Symbol" w:hint="default"/>
        <w:w w:val="103"/>
        <w:sz w:val="19"/>
        <w:szCs w:val="19"/>
      </w:rPr>
    </w:lvl>
    <w:lvl w:ilvl="1" w:tplc="B698666E">
      <w:numFmt w:val="bullet"/>
      <w:lvlText w:val="•"/>
      <w:lvlJc w:val="left"/>
      <w:pPr>
        <w:ind w:left="993" w:hanging="360"/>
      </w:pPr>
      <w:rPr>
        <w:rFonts w:hint="default"/>
      </w:rPr>
    </w:lvl>
    <w:lvl w:ilvl="2" w:tplc="0128D8F0">
      <w:numFmt w:val="bullet"/>
      <w:lvlText w:val="•"/>
      <w:lvlJc w:val="left"/>
      <w:pPr>
        <w:ind w:left="1526" w:hanging="360"/>
      </w:pPr>
      <w:rPr>
        <w:rFonts w:hint="default"/>
      </w:rPr>
    </w:lvl>
    <w:lvl w:ilvl="3" w:tplc="FCCCD94E">
      <w:numFmt w:val="bullet"/>
      <w:lvlText w:val="•"/>
      <w:lvlJc w:val="left"/>
      <w:pPr>
        <w:ind w:left="2059" w:hanging="360"/>
      </w:pPr>
      <w:rPr>
        <w:rFonts w:hint="default"/>
      </w:rPr>
    </w:lvl>
    <w:lvl w:ilvl="4" w:tplc="3B32447A">
      <w:numFmt w:val="bullet"/>
      <w:lvlText w:val="•"/>
      <w:lvlJc w:val="left"/>
      <w:pPr>
        <w:ind w:left="2593" w:hanging="360"/>
      </w:pPr>
      <w:rPr>
        <w:rFonts w:hint="default"/>
      </w:rPr>
    </w:lvl>
    <w:lvl w:ilvl="5" w:tplc="789674F6">
      <w:numFmt w:val="bullet"/>
      <w:lvlText w:val="•"/>
      <w:lvlJc w:val="left"/>
      <w:pPr>
        <w:ind w:left="3126" w:hanging="360"/>
      </w:pPr>
      <w:rPr>
        <w:rFonts w:hint="default"/>
      </w:rPr>
    </w:lvl>
    <w:lvl w:ilvl="6" w:tplc="76D2C6B6">
      <w:numFmt w:val="bullet"/>
      <w:lvlText w:val="•"/>
      <w:lvlJc w:val="left"/>
      <w:pPr>
        <w:ind w:left="3659" w:hanging="360"/>
      </w:pPr>
      <w:rPr>
        <w:rFonts w:hint="default"/>
      </w:rPr>
    </w:lvl>
    <w:lvl w:ilvl="7" w:tplc="D03C119A">
      <w:numFmt w:val="bullet"/>
      <w:lvlText w:val="•"/>
      <w:lvlJc w:val="left"/>
      <w:pPr>
        <w:ind w:left="4193" w:hanging="360"/>
      </w:pPr>
      <w:rPr>
        <w:rFonts w:hint="default"/>
      </w:rPr>
    </w:lvl>
    <w:lvl w:ilvl="8" w:tplc="AC34FCEA">
      <w:numFmt w:val="bullet"/>
      <w:lvlText w:val="•"/>
      <w:lvlJc w:val="left"/>
      <w:pPr>
        <w:ind w:left="4726" w:hanging="360"/>
      </w:pPr>
      <w:rPr>
        <w:rFonts w:hint="default"/>
      </w:rPr>
    </w:lvl>
  </w:abstractNum>
  <w:abstractNum w:abstractNumId="58" w15:restartNumberingAfterBreak="0">
    <w:nsid w:val="3B020D5A"/>
    <w:multiLevelType w:val="hybridMultilevel"/>
    <w:tmpl w:val="A9A47F26"/>
    <w:lvl w:ilvl="0" w:tplc="41B8A94C">
      <w:numFmt w:val="bullet"/>
      <w:lvlText w:val=""/>
      <w:lvlJc w:val="left"/>
      <w:pPr>
        <w:ind w:left="467" w:hanging="357"/>
      </w:pPr>
      <w:rPr>
        <w:rFonts w:ascii="Symbol" w:eastAsia="Symbol" w:hAnsi="Symbol" w:cs="Symbol" w:hint="default"/>
        <w:w w:val="103"/>
        <w:sz w:val="19"/>
        <w:szCs w:val="19"/>
      </w:rPr>
    </w:lvl>
    <w:lvl w:ilvl="1" w:tplc="694E778C">
      <w:numFmt w:val="bullet"/>
      <w:lvlText w:val="•"/>
      <w:lvlJc w:val="left"/>
      <w:pPr>
        <w:ind w:left="1390" w:hanging="357"/>
      </w:pPr>
      <w:rPr>
        <w:rFonts w:hint="default"/>
      </w:rPr>
    </w:lvl>
    <w:lvl w:ilvl="2" w:tplc="D1A8D686">
      <w:numFmt w:val="bullet"/>
      <w:lvlText w:val="•"/>
      <w:lvlJc w:val="left"/>
      <w:pPr>
        <w:ind w:left="2320" w:hanging="357"/>
      </w:pPr>
      <w:rPr>
        <w:rFonts w:hint="default"/>
      </w:rPr>
    </w:lvl>
    <w:lvl w:ilvl="3" w:tplc="89F02314">
      <w:numFmt w:val="bullet"/>
      <w:lvlText w:val="•"/>
      <w:lvlJc w:val="left"/>
      <w:pPr>
        <w:ind w:left="3250" w:hanging="357"/>
      </w:pPr>
      <w:rPr>
        <w:rFonts w:hint="default"/>
      </w:rPr>
    </w:lvl>
    <w:lvl w:ilvl="4" w:tplc="11AC7126">
      <w:numFmt w:val="bullet"/>
      <w:lvlText w:val="•"/>
      <w:lvlJc w:val="left"/>
      <w:pPr>
        <w:ind w:left="4180" w:hanging="357"/>
      </w:pPr>
      <w:rPr>
        <w:rFonts w:hint="default"/>
      </w:rPr>
    </w:lvl>
    <w:lvl w:ilvl="5" w:tplc="41A6DB3E">
      <w:numFmt w:val="bullet"/>
      <w:lvlText w:val="•"/>
      <w:lvlJc w:val="left"/>
      <w:pPr>
        <w:ind w:left="5111" w:hanging="357"/>
      </w:pPr>
      <w:rPr>
        <w:rFonts w:hint="default"/>
      </w:rPr>
    </w:lvl>
    <w:lvl w:ilvl="6" w:tplc="8D6872D4">
      <w:numFmt w:val="bullet"/>
      <w:lvlText w:val="•"/>
      <w:lvlJc w:val="left"/>
      <w:pPr>
        <w:ind w:left="6041" w:hanging="357"/>
      </w:pPr>
      <w:rPr>
        <w:rFonts w:hint="default"/>
      </w:rPr>
    </w:lvl>
    <w:lvl w:ilvl="7" w:tplc="9DEC0876">
      <w:numFmt w:val="bullet"/>
      <w:lvlText w:val="•"/>
      <w:lvlJc w:val="left"/>
      <w:pPr>
        <w:ind w:left="6971" w:hanging="357"/>
      </w:pPr>
      <w:rPr>
        <w:rFonts w:hint="default"/>
      </w:rPr>
    </w:lvl>
    <w:lvl w:ilvl="8" w:tplc="D502269C">
      <w:numFmt w:val="bullet"/>
      <w:lvlText w:val="•"/>
      <w:lvlJc w:val="left"/>
      <w:pPr>
        <w:ind w:left="7901" w:hanging="357"/>
      </w:pPr>
      <w:rPr>
        <w:rFonts w:hint="default"/>
      </w:rPr>
    </w:lvl>
  </w:abstractNum>
  <w:abstractNum w:abstractNumId="59" w15:restartNumberingAfterBreak="0">
    <w:nsid w:val="3B317F07"/>
    <w:multiLevelType w:val="hybridMultilevel"/>
    <w:tmpl w:val="FF3C3830"/>
    <w:lvl w:ilvl="0" w:tplc="03C60CDC">
      <w:numFmt w:val="bullet"/>
      <w:lvlText w:val=""/>
      <w:lvlJc w:val="left"/>
      <w:pPr>
        <w:ind w:left="465" w:hanging="360"/>
      </w:pPr>
      <w:rPr>
        <w:rFonts w:ascii="Symbol" w:eastAsia="Symbol" w:hAnsi="Symbol" w:cs="Symbol" w:hint="default"/>
        <w:w w:val="103"/>
        <w:sz w:val="19"/>
        <w:szCs w:val="19"/>
      </w:rPr>
    </w:lvl>
    <w:lvl w:ilvl="1" w:tplc="C9348B82">
      <w:numFmt w:val="bullet"/>
      <w:lvlText w:val="•"/>
      <w:lvlJc w:val="left"/>
      <w:pPr>
        <w:ind w:left="1425" w:hanging="360"/>
      </w:pPr>
      <w:rPr>
        <w:rFonts w:hint="default"/>
      </w:rPr>
    </w:lvl>
    <w:lvl w:ilvl="2" w:tplc="6F9E888E">
      <w:numFmt w:val="bullet"/>
      <w:lvlText w:val="•"/>
      <w:lvlJc w:val="left"/>
      <w:pPr>
        <w:ind w:left="2390" w:hanging="360"/>
      </w:pPr>
      <w:rPr>
        <w:rFonts w:hint="default"/>
      </w:rPr>
    </w:lvl>
    <w:lvl w:ilvl="3" w:tplc="3A60C434">
      <w:numFmt w:val="bullet"/>
      <w:lvlText w:val="•"/>
      <w:lvlJc w:val="left"/>
      <w:pPr>
        <w:ind w:left="3355" w:hanging="360"/>
      </w:pPr>
      <w:rPr>
        <w:rFonts w:hint="default"/>
      </w:rPr>
    </w:lvl>
    <w:lvl w:ilvl="4" w:tplc="B21EB040">
      <w:numFmt w:val="bullet"/>
      <w:lvlText w:val="•"/>
      <w:lvlJc w:val="left"/>
      <w:pPr>
        <w:ind w:left="4320" w:hanging="360"/>
      </w:pPr>
      <w:rPr>
        <w:rFonts w:hint="default"/>
      </w:rPr>
    </w:lvl>
    <w:lvl w:ilvl="5" w:tplc="2660BF1E">
      <w:numFmt w:val="bullet"/>
      <w:lvlText w:val="•"/>
      <w:lvlJc w:val="left"/>
      <w:pPr>
        <w:ind w:left="5286" w:hanging="360"/>
      </w:pPr>
      <w:rPr>
        <w:rFonts w:hint="default"/>
      </w:rPr>
    </w:lvl>
    <w:lvl w:ilvl="6" w:tplc="60E00AC4">
      <w:numFmt w:val="bullet"/>
      <w:lvlText w:val="•"/>
      <w:lvlJc w:val="left"/>
      <w:pPr>
        <w:ind w:left="6251" w:hanging="360"/>
      </w:pPr>
      <w:rPr>
        <w:rFonts w:hint="default"/>
      </w:rPr>
    </w:lvl>
    <w:lvl w:ilvl="7" w:tplc="7DE084EC">
      <w:numFmt w:val="bullet"/>
      <w:lvlText w:val="•"/>
      <w:lvlJc w:val="left"/>
      <w:pPr>
        <w:ind w:left="7216" w:hanging="360"/>
      </w:pPr>
      <w:rPr>
        <w:rFonts w:hint="default"/>
      </w:rPr>
    </w:lvl>
    <w:lvl w:ilvl="8" w:tplc="E1C62998">
      <w:numFmt w:val="bullet"/>
      <w:lvlText w:val="•"/>
      <w:lvlJc w:val="left"/>
      <w:pPr>
        <w:ind w:left="8181" w:hanging="360"/>
      </w:pPr>
      <w:rPr>
        <w:rFonts w:hint="default"/>
      </w:rPr>
    </w:lvl>
  </w:abstractNum>
  <w:abstractNum w:abstractNumId="60" w15:restartNumberingAfterBreak="0">
    <w:nsid w:val="3C5D6F01"/>
    <w:multiLevelType w:val="hybridMultilevel"/>
    <w:tmpl w:val="A9E8D09E"/>
    <w:lvl w:ilvl="0" w:tplc="D6F40ECA">
      <w:start w:val="1"/>
      <w:numFmt w:val="decimal"/>
      <w:lvlText w:val="%1)"/>
      <w:lvlJc w:val="left"/>
      <w:pPr>
        <w:ind w:left="467" w:hanging="357"/>
      </w:pPr>
      <w:rPr>
        <w:rFonts w:ascii="Arial" w:eastAsia="Arial" w:hAnsi="Arial" w:cs="Arial" w:hint="default"/>
        <w:spacing w:val="0"/>
        <w:w w:val="103"/>
        <w:sz w:val="19"/>
        <w:szCs w:val="19"/>
      </w:rPr>
    </w:lvl>
    <w:lvl w:ilvl="1" w:tplc="A1C0AB7A">
      <w:numFmt w:val="bullet"/>
      <w:lvlText w:val="•"/>
      <w:lvlJc w:val="left"/>
      <w:pPr>
        <w:ind w:left="1149" w:hanging="357"/>
      </w:pPr>
      <w:rPr>
        <w:rFonts w:hint="default"/>
      </w:rPr>
    </w:lvl>
    <w:lvl w:ilvl="2" w:tplc="F99A55C0">
      <w:numFmt w:val="bullet"/>
      <w:lvlText w:val="•"/>
      <w:lvlJc w:val="left"/>
      <w:pPr>
        <w:ind w:left="1838" w:hanging="357"/>
      </w:pPr>
      <w:rPr>
        <w:rFonts w:hint="default"/>
      </w:rPr>
    </w:lvl>
    <w:lvl w:ilvl="3" w:tplc="39363944">
      <w:numFmt w:val="bullet"/>
      <w:lvlText w:val="•"/>
      <w:lvlJc w:val="left"/>
      <w:pPr>
        <w:ind w:left="2527" w:hanging="357"/>
      </w:pPr>
      <w:rPr>
        <w:rFonts w:hint="default"/>
      </w:rPr>
    </w:lvl>
    <w:lvl w:ilvl="4" w:tplc="757ED7DA">
      <w:numFmt w:val="bullet"/>
      <w:lvlText w:val="•"/>
      <w:lvlJc w:val="left"/>
      <w:pPr>
        <w:ind w:left="3217" w:hanging="357"/>
      </w:pPr>
      <w:rPr>
        <w:rFonts w:hint="default"/>
      </w:rPr>
    </w:lvl>
    <w:lvl w:ilvl="5" w:tplc="4A8AEB04">
      <w:numFmt w:val="bullet"/>
      <w:lvlText w:val="•"/>
      <w:lvlJc w:val="left"/>
      <w:pPr>
        <w:ind w:left="3906" w:hanging="357"/>
      </w:pPr>
      <w:rPr>
        <w:rFonts w:hint="default"/>
      </w:rPr>
    </w:lvl>
    <w:lvl w:ilvl="6" w:tplc="76DE7F1E">
      <w:numFmt w:val="bullet"/>
      <w:lvlText w:val="•"/>
      <w:lvlJc w:val="left"/>
      <w:pPr>
        <w:ind w:left="4595" w:hanging="357"/>
      </w:pPr>
      <w:rPr>
        <w:rFonts w:hint="default"/>
      </w:rPr>
    </w:lvl>
    <w:lvl w:ilvl="7" w:tplc="29864FB0">
      <w:numFmt w:val="bullet"/>
      <w:lvlText w:val="•"/>
      <w:lvlJc w:val="left"/>
      <w:pPr>
        <w:ind w:left="5285" w:hanging="357"/>
      </w:pPr>
      <w:rPr>
        <w:rFonts w:hint="default"/>
      </w:rPr>
    </w:lvl>
    <w:lvl w:ilvl="8" w:tplc="83420490">
      <w:numFmt w:val="bullet"/>
      <w:lvlText w:val="•"/>
      <w:lvlJc w:val="left"/>
      <w:pPr>
        <w:ind w:left="5974" w:hanging="357"/>
      </w:pPr>
      <w:rPr>
        <w:rFonts w:hint="default"/>
      </w:rPr>
    </w:lvl>
  </w:abstractNum>
  <w:abstractNum w:abstractNumId="61" w15:restartNumberingAfterBreak="0">
    <w:nsid w:val="3D0E0682"/>
    <w:multiLevelType w:val="hybridMultilevel"/>
    <w:tmpl w:val="A82663CC"/>
    <w:lvl w:ilvl="0" w:tplc="FEF0CAB8">
      <w:numFmt w:val="bullet"/>
      <w:lvlText w:val=""/>
      <w:lvlJc w:val="left"/>
      <w:pPr>
        <w:ind w:left="470" w:hanging="360"/>
      </w:pPr>
      <w:rPr>
        <w:rFonts w:ascii="Symbol" w:eastAsia="Symbol" w:hAnsi="Symbol" w:cs="Symbol" w:hint="default"/>
        <w:w w:val="103"/>
        <w:sz w:val="19"/>
        <w:szCs w:val="19"/>
      </w:rPr>
    </w:lvl>
    <w:lvl w:ilvl="1" w:tplc="872C29A6">
      <w:numFmt w:val="bullet"/>
      <w:lvlText w:val="•"/>
      <w:lvlJc w:val="left"/>
      <w:pPr>
        <w:ind w:left="1384" w:hanging="360"/>
      </w:pPr>
      <w:rPr>
        <w:rFonts w:hint="default"/>
      </w:rPr>
    </w:lvl>
    <w:lvl w:ilvl="2" w:tplc="1C12645E">
      <w:numFmt w:val="bullet"/>
      <w:lvlText w:val="•"/>
      <w:lvlJc w:val="left"/>
      <w:pPr>
        <w:ind w:left="2289" w:hanging="360"/>
      </w:pPr>
      <w:rPr>
        <w:rFonts w:hint="default"/>
      </w:rPr>
    </w:lvl>
    <w:lvl w:ilvl="3" w:tplc="FAFE71B2">
      <w:numFmt w:val="bullet"/>
      <w:lvlText w:val="•"/>
      <w:lvlJc w:val="left"/>
      <w:pPr>
        <w:ind w:left="3194" w:hanging="360"/>
      </w:pPr>
      <w:rPr>
        <w:rFonts w:hint="default"/>
      </w:rPr>
    </w:lvl>
    <w:lvl w:ilvl="4" w:tplc="23024F68">
      <w:numFmt w:val="bullet"/>
      <w:lvlText w:val="•"/>
      <w:lvlJc w:val="left"/>
      <w:pPr>
        <w:ind w:left="4098" w:hanging="360"/>
      </w:pPr>
      <w:rPr>
        <w:rFonts w:hint="default"/>
      </w:rPr>
    </w:lvl>
    <w:lvl w:ilvl="5" w:tplc="97BEFB9E">
      <w:numFmt w:val="bullet"/>
      <w:lvlText w:val="•"/>
      <w:lvlJc w:val="left"/>
      <w:pPr>
        <w:ind w:left="5003" w:hanging="360"/>
      </w:pPr>
      <w:rPr>
        <w:rFonts w:hint="default"/>
      </w:rPr>
    </w:lvl>
    <w:lvl w:ilvl="6" w:tplc="94589FAA">
      <w:numFmt w:val="bullet"/>
      <w:lvlText w:val="•"/>
      <w:lvlJc w:val="left"/>
      <w:pPr>
        <w:ind w:left="5908" w:hanging="360"/>
      </w:pPr>
      <w:rPr>
        <w:rFonts w:hint="default"/>
      </w:rPr>
    </w:lvl>
    <w:lvl w:ilvl="7" w:tplc="E0386B4E">
      <w:numFmt w:val="bullet"/>
      <w:lvlText w:val="•"/>
      <w:lvlJc w:val="left"/>
      <w:pPr>
        <w:ind w:left="6812" w:hanging="360"/>
      </w:pPr>
      <w:rPr>
        <w:rFonts w:hint="default"/>
      </w:rPr>
    </w:lvl>
    <w:lvl w:ilvl="8" w:tplc="22C41860">
      <w:numFmt w:val="bullet"/>
      <w:lvlText w:val="•"/>
      <w:lvlJc w:val="left"/>
      <w:pPr>
        <w:ind w:left="7717" w:hanging="360"/>
      </w:pPr>
      <w:rPr>
        <w:rFonts w:hint="default"/>
      </w:rPr>
    </w:lvl>
  </w:abstractNum>
  <w:abstractNum w:abstractNumId="62" w15:restartNumberingAfterBreak="0">
    <w:nsid w:val="3E266A07"/>
    <w:multiLevelType w:val="hybridMultilevel"/>
    <w:tmpl w:val="B5422BD2"/>
    <w:lvl w:ilvl="0" w:tplc="60BEDD0E">
      <w:numFmt w:val="bullet"/>
      <w:lvlText w:val=""/>
      <w:lvlJc w:val="left"/>
      <w:pPr>
        <w:ind w:left="467" w:hanging="357"/>
      </w:pPr>
      <w:rPr>
        <w:rFonts w:ascii="Symbol" w:eastAsia="Symbol" w:hAnsi="Symbol" w:cs="Symbol" w:hint="default"/>
        <w:w w:val="103"/>
        <w:sz w:val="19"/>
        <w:szCs w:val="19"/>
      </w:rPr>
    </w:lvl>
    <w:lvl w:ilvl="1" w:tplc="F3CECEE4">
      <w:numFmt w:val="bullet"/>
      <w:lvlText w:val="•"/>
      <w:lvlJc w:val="left"/>
      <w:pPr>
        <w:ind w:left="1390" w:hanging="357"/>
      </w:pPr>
      <w:rPr>
        <w:rFonts w:hint="default"/>
      </w:rPr>
    </w:lvl>
    <w:lvl w:ilvl="2" w:tplc="B5E0D24C">
      <w:numFmt w:val="bullet"/>
      <w:lvlText w:val="•"/>
      <w:lvlJc w:val="left"/>
      <w:pPr>
        <w:ind w:left="2320" w:hanging="357"/>
      </w:pPr>
      <w:rPr>
        <w:rFonts w:hint="default"/>
      </w:rPr>
    </w:lvl>
    <w:lvl w:ilvl="3" w:tplc="43EE8F4A">
      <w:numFmt w:val="bullet"/>
      <w:lvlText w:val="•"/>
      <w:lvlJc w:val="left"/>
      <w:pPr>
        <w:ind w:left="3250" w:hanging="357"/>
      </w:pPr>
      <w:rPr>
        <w:rFonts w:hint="default"/>
      </w:rPr>
    </w:lvl>
    <w:lvl w:ilvl="4" w:tplc="8F1475A0">
      <w:numFmt w:val="bullet"/>
      <w:lvlText w:val="•"/>
      <w:lvlJc w:val="left"/>
      <w:pPr>
        <w:ind w:left="4180" w:hanging="357"/>
      </w:pPr>
      <w:rPr>
        <w:rFonts w:hint="default"/>
      </w:rPr>
    </w:lvl>
    <w:lvl w:ilvl="5" w:tplc="1C7E8D4C">
      <w:numFmt w:val="bullet"/>
      <w:lvlText w:val="•"/>
      <w:lvlJc w:val="left"/>
      <w:pPr>
        <w:ind w:left="5111" w:hanging="357"/>
      </w:pPr>
      <w:rPr>
        <w:rFonts w:hint="default"/>
      </w:rPr>
    </w:lvl>
    <w:lvl w:ilvl="6" w:tplc="36188788">
      <w:numFmt w:val="bullet"/>
      <w:lvlText w:val="•"/>
      <w:lvlJc w:val="left"/>
      <w:pPr>
        <w:ind w:left="6041" w:hanging="357"/>
      </w:pPr>
      <w:rPr>
        <w:rFonts w:hint="default"/>
      </w:rPr>
    </w:lvl>
    <w:lvl w:ilvl="7" w:tplc="D27EAD14">
      <w:numFmt w:val="bullet"/>
      <w:lvlText w:val="•"/>
      <w:lvlJc w:val="left"/>
      <w:pPr>
        <w:ind w:left="6971" w:hanging="357"/>
      </w:pPr>
      <w:rPr>
        <w:rFonts w:hint="default"/>
      </w:rPr>
    </w:lvl>
    <w:lvl w:ilvl="8" w:tplc="89B67D3A">
      <w:numFmt w:val="bullet"/>
      <w:lvlText w:val="•"/>
      <w:lvlJc w:val="left"/>
      <w:pPr>
        <w:ind w:left="7901" w:hanging="357"/>
      </w:pPr>
      <w:rPr>
        <w:rFonts w:hint="default"/>
      </w:rPr>
    </w:lvl>
  </w:abstractNum>
  <w:abstractNum w:abstractNumId="63" w15:restartNumberingAfterBreak="0">
    <w:nsid w:val="3E395B3A"/>
    <w:multiLevelType w:val="hybridMultilevel"/>
    <w:tmpl w:val="0B60DD38"/>
    <w:lvl w:ilvl="0" w:tplc="30DE1AAC">
      <w:numFmt w:val="bullet"/>
      <w:lvlText w:val=""/>
      <w:lvlJc w:val="left"/>
      <w:pPr>
        <w:ind w:left="427" w:hanging="317"/>
      </w:pPr>
      <w:rPr>
        <w:rFonts w:ascii="Symbol" w:eastAsia="Symbol" w:hAnsi="Symbol" w:cs="Symbol" w:hint="default"/>
        <w:w w:val="103"/>
        <w:sz w:val="19"/>
        <w:szCs w:val="19"/>
      </w:rPr>
    </w:lvl>
    <w:lvl w:ilvl="1" w:tplc="ABAA1A50">
      <w:numFmt w:val="bullet"/>
      <w:lvlText w:val="•"/>
      <w:lvlJc w:val="left"/>
      <w:pPr>
        <w:ind w:left="1330" w:hanging="317"/>
      </w:pPr>
      <w:rPr>
        <w:rFonts w:hint="default"/>
      </w:rPr>
    </w:lvl>
    <w:lvl w:ilvl="2" w:tplc="DB8E7DF4">
      <w:numFmt w:val="bullet"/>
      <w:lvlText w:val="•"/>
      <w:lvlJc w:val="left"/>
      <w:pPr>
        <w:ind w:left="2241" w:hanging="317"/>
      </w:pPr>
      <w:rPr>
        <w:rFonts w:hint="default"/>
      </w:rPr>
    </w:lvl>
    <w:lvl w:ilvl="3" w:tplc="8118E96A">
      <w:numFmt w:val="bullet"/>
      <w:lvlText w:val="•"/>
      <w:lvlJc w:val="left"/>
      <w:pPr>
        <w:ind w:left="3152" w:hanging="317"/>
      </w:pPr>
      <w:rPr>
        <w:rFonts w:hint="default"/>
      </w:rPr>
    </w:lvl>
    <w:lvl w:ilvl="4" w:tplc="2BEC8042">
      <w:numFmt w:val="bullet"/>
      <w:lvlText w:val="•"/>
      <w:lvlJc w:val="left"/>
      <w:pPr>
        <w:ind w:left="4062" w:hanging="317"/>
      </w:pPr>
      <w:rPr>
        <w:rFonts w:hint="default"/>
      </w:rPr>
    </w:lvl>
    <w:lvl w:ilvl="5" w:tplc="C59ED5E8">
      <w:numFmt w:val="bullet"/>
      <w:lvlText w:val="•"/>
      <w:lvlJc w:val="left"/>
      <w:pPr>
        <w:ind w:left="4973" w:hanging="317"/>
      </w:pPr>
      <w:rPr>
        <w:rFonts w:hint="default"/>
      </w:rPr>
    </w:lvl>
    <w:lvl w:ilvl="6" w:tplc="C100CF2A">
      <w:numFmt w:val="bullet"/>
      <w:lvlText w:val="•"/>
      <w:lvlJc w:val="left"/>
      <w:pPr>
        <w:ind w:left="5884" w:hanging="317"/>
      </w:pPr>
      <w:rPr>
        <w:rFonts w:hint="default"/>
      </w:rPr>
    </w:lvl>
    <w:lvl w:ilvl="7" w:tplc="21CAB958">
      <w:numFmt w:val="bullet"/>
      <w:lvlText w:val="•"/>
      <w:lvlJc w:val="left"/>
      <w:pPr>
        <w:ind w:left="6794" w:hanging="317"/>
      </w:pPr>
      <w:rPr>
        <w:rFonts w:hint="default"/>
      </w:rPr>
    </w:lvl>
    <w:lvl w:ilvl="8" w:tplc="FBE89A40">
      <w:numFmt w:val="bullet"/>
      <w:lvlText w:val="•"/>
      <w:lvlJc w:val="left"/>
      <w:pPr>
        <w:ind w:left="7705" w:hanging="317"/>
      </w:pPr>
      <w:rPr>
        <w:rFonts w:hint="default"/>
      </w:rPr>
    </w:lvl>
  </w:abstractNum>
  <w:abstractNum w:abstractNumId="64" w15:restartNumberingAfterBreak="0">
    <w:nsid w:val="3EE62BF5"/>
    <w:multiLevelType w:val="hybridMultilevel"/>
    <w:tmpl w:val="24F2DCEA"/>
    <w:lvl w:ilvl="0" w:tplc="856C1134">
      <w:numFmt w:val="bullet"/>
      <w:lvlText w:val=""/>
      <w:lvlJc w:val="left"/>
      <w:pPr>
        <w:ind w:left="427" w:hanging="317"/>
      </w:pPr>
      <w:rPr>
        <w:rFonts w:ascii="Symbol" w:eastAsia="Symbol" w:hAnsi="Symbol" w:cs="Symbol" w:hint="default"/>
        <w:w w:val="103"/>
        <w:sz w:val="19"/>
        <w:szCs w:val="19"/>
      </w:rPr>
    </w:lvl>
    <w:lvl w:ilvl="1" w:tplc="4962B334">
      <w:numFmt w:val="bullet"/>
      <w:lvlText w:val="•"/>
      <w:lvlJc w:val="left"/>
      <w:pPr>
        <w:ind w:left="1330" w:hanging="317"/>
      </w:pPr>
      <w:rPr>
        <w:rFonts w:hint="default"/>
      </w:rPr>
    </w:lvl>
    <w:lvl w:ilvl="2" w:tplc="6936BAC6">
      <w:numFmt w:val="bullet"/>
      <w:lvlText w:val="•"/>
      <w:lvlJc w:val="left"/>
      <w:pPr>
        <w:ind w:left="2241" w:hanging="317"/>
      </w:pPr>
      <w:rPr>
        <w:rFonts w:hint="default"/>
      </w:rPr>
    </w:lvl>
    <w:lvl w:ilvl="3" w:tplc="C6F8B900">
      <w:numFmt w:val="bullet"/>
      <w:lvlText w:val="•"/>
      <w:lvlJc w:val="left"/>
      <w:pPr>
        <w:ind w:left="3152" w:hanging="317"/>
      </w:pPr>
      <w:rPr>
        <w:rFonts w:hint="default"/>
      </w:rPr>
    </w:lvl>
    <w:lvl w:ilvl="4" w:tplc="C4C4509C">
      <w:numFmt w:val="bullet"/>
      <w:lvlText w:val="•"/>
      <w:lvlJc w:val="left"/>
      <w:pPr>
        <w:ind w:left="4062" w:hanging="317"/>
      </w:pPr>
      <w:rPr>
        <w:rFonts w:hint="default"/>
      </w:rPr>
    </w:lvl>
    <w:lvl w:ilvl="5" w:tplc="0284BAD4">
      <w:numFmt w:val="bullet"/>
      <w:lvlText w:val="•"/>
      <w:lvlJc w:val="left"/>
      <w:pPr>
        <w:ind w:left="4973" w:hanging="317"/>
      </w:pPr>
      <w:rPr>
        <w:rFonts w:hint="default"/>
      </w:rPr>
    </w:lvl>
    <w:lvl w:ilvl="6" w:tplc="CB701C58">
      <w:numFmt w:val="bullet"/>
      <w:lvlText w:val="•"/>
      <w:lvlJc w:val="left"/>
      <w:pPr>
        <w:ind w:left="5884" w:hanging="317"/>
      </w:pPr>
      <w:rPr>
        <w:rFonts w:hint="default"/>
      </w:rPr>
    </w:lvl>
    <w:lvl w:ilvl="7" w:tplc="C33C63EE">
      <w:numFmt w:val="bullet"/>
      <w:lvlText w:val="•"/>
      <w:lvlJc w:val="left"/>
      <w:pPr>
        <w:ind w:left="6794" w:hanging="317"/>
      </w:pPr>
      <w:rPr>
        <w:rFonts w:hint="default"/>
      </w:rPr>
    </w:lvl>
    <w:lvl w:ilvl="8" w:tplc="F7E49436">
      <w:numFmt w:val="bullet"/>
      <w:lvlText w:val="•"/>
      <w:lvlJc w:val="left"/>
      <w:pPr>
        <w:ind w:left="7705" w:hanging="317"/>
      </w:pPr>
      <w:rPr>
        <w:rFonts w:hint="default"/>
      </w:rPr>
    </w:lvl>
  </w:abstractNum>
  <w:abstractNum w:abstractNumId="65" w15:restartNumberingAfterBreak="0">
    <w:nsid w:val="404838D9"/>
    <w:multiLevelType w:val="hybridMultilevel"/>
    <w:tmpl w:val="47BA16BA"/>
    <w:lvl w:ilvl="0" w:tplc="59E89BCE">
      <w:numFmt w:val="bullet"/>
      <w:lvlText w:val=""/>
      <w:lvlJc w:val="left"/>
      <w:pPr>
        <w:ind w:left="654" w:hanging="360"/>
      </w:pPr>
      <w:rPr>
        <w:rFonts w:ascii="Symbol" w:eastAsia="Symbol" w:hAnsi="Symbol" w:cs="Symbol" w:hint="default"/>
        <w:w w:val="103"/>
        <w:sz w:val="19"/>
        <w:szCs w:val="19"/>
      </w:rPr>
    </w:lvl>
    <w:lvl w:ilvl="1" w:tplc="D2D842D0">
      <w:numFmt w:val="bullet"/>
      <w:lvlText w:val="•"/>
      <w:lvlJc w:val="left"/>
      <w:pPr>
        <w:ind w:left="1134" w:hanging="360"/>
      </w:pPr>
      <w:rPr>
        <w:rFonts w:hint="default"/>
      </w:rPr>
    </w:lvl>
    <w:lvl w:ilvl="2" w:tplc="B2389498">
      <w:numFmt w:val="bullet"/>
      <w:lvlText w:val="•"/>
      <w:lvlJc w:val="left"/>
      <w:pPr>
        <w:ind w:left="1609" w:hanging="360"/>
      </w:pPr>
      <w:rPr>
        <w:rFonts w:hint="default"/>
      </w:rPr>
    </w:lvl>
    <w:lvl w:ilvl="3" w:tplc="21CE51B8">
      <w:numFmt w:val="bullet"/>
      <w:lvlText w:val="•"/>
      <w:lvlJc w:val="left"/>
      <w:pPr>
        <w:ind w:left="2084" w:hanging="360"/>
      </w:pPr>
      <w:rPr>
        <w:rFonts w:hint="default"/>
      </w:rPr>
    </w:lvl>
    <w:lvl w:ilvl="4" w:tplc="66BA52D4">
      <w:numFmt w:val="bullet"/>
      <w:lvlText w:val="•"/>
      <w:lvlJc w:val="left"/>
      <w:pPr>
        <w:ind w:left="2558" w:hanging="360"/>
      </w:pPr>
      <w:rPr>
        <w:rFonts w:hint="default"/>
      </w:rPr>
    </w:lvl>
    <w:lvl w:ilvl="5" w:tplc="F9D61874">
      <w:numFmt w:val="bullet"/>
      <w:lvlText w:val="•"/>
      <w:lvlJc w:val="left"/>
      <w:pPr>
        <w:ind w:left="3033" w:hanging="360"/>
      </w:pPr>
      <w:rPr>
        <w:rFonts w:hint="default"/>
      </w:rPr>
    </w:lvl>
    <w:lvl w:ilvl="6" w:tplc="795424D0">
      <w:numFmt w:val="bullet"/>
      <w:lvlText w:val="•"/>
      <w:lvlJc w:val="left"/>
      <w:pPr>
        <w:ind w:left="3508" w:hanging="360"/>
      </w:pPr>
      <w:rPr>
        <w:rFonts w:hint="default"/>
      </w:rPr>
    </w:lvl>
    <w:lvl w:ilvl="7" w:tplc="B88EB726">
      <w:numFmt w:val="bullet"/>
      <w:lvlText w:val="•"/>
      <w:lvlJc w:val="left"/>
      <w:pPr>
        <w:ind w:left="3982" w:hanging="360"/>
      </w:pPr>
      <w:rPr>
        <w:rFonts w:hint="default"/>
      </w:rPr>
    </w:lvl>
    <w:lvl w:ilvl="8" w:tplc="E5326CB0">
      <w:numFmt w:val="bullet"/>
      <w:lvlText w:val="•"/>
      <w:lvlJc w:val="left"/>
      <w:pPr>
        <w:ind w:left="4457" w:hanging="360"/>
      </w:pPr>
      <w:rPr>
        <w:rFonts w:hint="default"/>
      </w:rPr>
    </w:lvl>
  </w:abstractNum>
  <w:abstractNum w:abstractNumId="66" w15:restartNumberingAfterBreak="0">
    <w:nsid w:val="4074597D"/>
    <w:multiLevelType w:val="hybridMultilevel"/>
    <w:tmpl w:val="A17CB76A"/>
    <w:lvl w:ilvl="0" w:tplc="DD4A18CA">
      <w:numFmt w:val="bullet"/>
      <w:lvlText w:val=""/>
      <w:lvlJc w:val="left"/>
      <w:pPr>
        <w:ind w:left="467" w:hanging="357"/>
      </w:pPr>
      <w:rPr>
        <w:rFonts w:ascii="Symbol" w:eastAsia="Symbol" w:hAnsi="Symbol" w:cs="Symbol" w:hint="default"/>
        <w:w w:val="103"/>
        <w:sz w:val="19"/>
        <w:szCs w:val="19"/>
      </w:rPr>
    </w:lvl>
    <w:lvl w:ilvl="1" w:tplc="4B266960">
      <w:numFmt w:val="bullet"/>
      <w:lvlText w:val="•"/>
      <w:lvlJc w:val="left"/>
      <w:pPr>
        <w:ind w:left="1319" w:hanging="357"/>
      </w:pPr>
      <w:rPr>
        <w:rFonts w:hint="default"/>
      </w:rPr>
    </w:lvl>
    <w:lvl w:ilvl="2" w:tplc="10A861E8">
      <w:numFmt w:val="bullet"/>
      <w:lvlText w:val="•"/>
      <w:lvlJc w:val="left"/>
      <w:pPr>
        <w:ind w:left="2178" w:hanging="357"/>
      </w:pPr>
      <w:rPr>
        <w:rFonts w:hint="default"/>
      </w:rPr>
    </w:lvl>
    <w:lvl w:ilvl="3" w:tplc="8BF0D69C">
      <w:numFmt w:val="bullet"/>
      <w:lvlText w:val="•"/>
      <w:lvlJc w:val="left"/>
      <w:pPr>
        <w:ind w:left="3037" w:hanging="357"/>
      </w:pPr>
      <w:rPr>
        <w:rFonts w:hint="default"/>
      </w:rPr>
    </w:lvl>
    <w:lvl w:ilvl="4" w:tplc="D8386416">
      <w:numFmt w:val="bullet"/>
      <w:lvlText w:val="•"/>
      <w:lvlJc w:val="left"/>
      <w:pPr>
        <w:ind w:left="3896" w:hanging="357"/>
      </w:pPr>
      <w:rPr>
        <w:rFonts w:hint="default"/>
      </w:rPr>
    </w:lvl>
    <w:lvl w:ilvl="5" w:tplc="2EBA02C6">
      <w:numFmt w:val="bullet"/>
      <w:lvlText w:val="•"/>
      <w:lvlJc w:val="left"/>
      <w:pPr>
        <w:ind w:left="4756" w:hanging="357"/>
      </w:pPr>
      <w:rPr>
        <w:rFonts w:hint="default"/>
      </w:rPr>
    </w:lvl>
    <w:lvl w:ilvl="6" w:tplc="ABDECE6C">
      <w:numFmt w:val="bullet"/>
      <w:lvlText w:val="•"/>
      <w:lvlJc w:val="left"/>
      <w:pPr>
        <w:ind w:left="5615" w:hanging="357"/>
      </w:pPr>
      <w:rPr>
        <w:rFonts w:hint="default"/>
      </w:rPr>
    </w:lvl>
    <w:lvl w:ilvl="7" w:tplc="7B6C6EE6">
      <w:numFmt w:val="bullet"/>
      <w:lvlText w:val="•"/>
      <w:lvlJc w:val="left"/>
      <w:pPr>
        <w:ind w:left="6474" w:hanging="357"/>
      </w:pPr>
      <w:rPr>
        <w:rFonts w:hint="default"/>
      </w:rPr>
    </w:lvl>
    <w:lvl w:ilvl="8" w:tplc="E5B4B7E4">
      <w:numFmt w:val="bullet"/>
      <w:lvlText w:val="•"/>
      <w:lvlJc w:val="left"/>
      <w:pPr>
        <w:ind w:left="7333" w:hanging="357"/>
      </w:pPr>
      <w:rPr>
        <w:rFonts w:hint="default"/>
      </w:rPr>
    </w:lvl>
  </w:abstractNum>
  <w:abstractNum w:abstractNumId="67" w15:restartNumberingAfterBreak="0">
    <w:nsid w:val="41EF1D83"/>
    <w:multiLevelType w:val="hybridMultilevel"/>
    <w:tmpl w:val="A43E8728"/>
    <w:lvl w:ilvl="0" w:tplc="B1442DCC">
      <w:numFmt w:val="bullet"/>
      <w:lvlText w:val=""/>
      <w:lvlJc w:val="left"/>
      <w:pPr>
        <w:ind w:left="467" w:hanging="357"/>
      </w:pPr>
      <w:rPr>
        <w:rFonts w:ascii="Symbol" w:eastAsia="Symbol" w:hAnsi="Symbol" w:cs="Symbol" w:hint="default"/>
        <w:w w:val="103"/>
        <w:sz w:val="19"/>
        <w:szCs w:val="19"/>
      </w:rPr>
    </w:lvl>
    <w:lvl w:ilvl="1" w:tplc="6F3492A0">
      <w:numFmt w:val="bullet"/>
      <w:lvlText w:val="•"/>
      <w:lvlJc w:val="left"/>
      <w:pPr>
        <w:ind w:left="849" w:hanging="357"/>
      </w:pPr>
      <w:rPr>
        <w:rFonts w:hint="default"/>
      </w:rPr>
    </w:lvl>
    <w:lvl w:ilvl="2" w:tplc="8E0AC27A">
      <w:numFmt w:val="bullet"/>
      <w:lvlText w:val="•"/>
      <w:lvlJc w:val="left"/>
      <w:pPr>
        <w:ind w:left="1239" w:hanging="357"/>
      </w:pPr>
      <w:rPr>
        <w:rFonts w:hint="default"/>
      </w:rPr>
    </w:lvl>
    <w:lvl w:ilvl="3" w:tplc="7BE6B324">
      <w:numFmt w:val="bullet"/>
      <w:lvlText w:val="•"/>
      <w:lvlJc w:val="left"/>
      <w:pPr>
        <w:ind w:left="1628" w:hanging="357"/>
      </w:pPr>
      <w:rPr>
        <w:rFonts w:hint="default"/>
      </w:rPr>
    </w:lvl>
    <w:lvl w:ilvl="4" w:tplc="E69EB8DA">
      <w:numFmt w:val="bullet"/>
      <w:lvlText w:val="•"/>
      <w:lvlJc w:val="left"/>
      <w:pPr>
        <w:ind w:left="2018" w:hanging="357"/>
      </w:pPr>
      <w:rPr>
        <w:rFonts w:hint="default"/>
      </w:rPr>
    </w:lvl>
    <w:lvl w:ilvl="5" w:tplc="08FC15D0">
      <w:numFmt w:val="bullet"/>
      <w:lvlText w:val="•"/>
      <w:lvlJc w:val="left"/>
      <w:pPr>
        <w:ind w:left="2408" w:hanging="357"/>
      </w:pPr>
      <w:rPr>
        <w:rFonts w:hint="default"/>
      </w:rPr>
    </w:lvl>
    <w:lvl w:ilvl="6" w:tplc="3F0C2B2C">
      <w:numFmt w:val="bullet"/>
      <w:lvlText w:val="•"/>
      <w:lvlJc w:val="left"/>
      <w:pPr>
        <w:ind w:left="2797" w:hanging="357"/>
      </w:pPr>
      <w:rPr>
        <w:rFonts w:hint="default"/>
      </w:rPr>
    </w:lvl>
    <w:lvl w:ilvl="7" w:tplc="BFB071BE">
      <w:numFmt w:val="bullet"/>
      <w:lvlText w:val="•"/>
      <w:lvlJc w:val="left"/>
      <w:pPr>
        <w:ind w:left="3187" w:hanging="357"/>
      </w:pPr>
      <w:rPr>
        <w:rFonts w:hint="default"/>
      </w:rPr>
    </w:lvl>
    <w:lvl w:ilvl="8" w:tplc="04EE9F28">
      <w:numFmt w:val="bullet"/>
      <w:lvlText w:val="•"/>
      <w:lvlJc w:val="left"/>
      <w:pPr>
        <w:ind w:left="3576" w:hanging="357"/>
      </w:pPr>
      <w:rPr>
        <w:rFonts w:hint="default"/>
      </w:rPr>
    </w:lvl>
  </w:abstractNum>
  <w:abstractNum w:abstractNumId="68" w15:restartNumberingAfterBreak="0">
    <w:nsid w:val="426905D9"/>
    <w:multiLevelType w:val="hybridMultilevel"/>
    <w:tmpl w:val="EF10D83A"/>
    <w:lvl w:ilvl="0" w:tplc="A9F22CD2">
      <w:numFmt w:val="bullet"/>
      <w:lvlText w:val="•"/>
      <w:lvlJc w:val="left"/>
      <w:pPr>
        <w:ind w:left="462" w:hanging="357"/>
      </w:pPr>
      <w:rPr>
        <w:rFonts w:ascii="Arial" w:eastAsia="Arial" w:hAnsi="Arial" w:cs="Arial" w:hint="default"/>
        <w:b/>
        <w:bCs/>
        <w:w w:val="103"/>
        <w:sz w:val="19"/>
        <w:szCs w:val="19"/>
      </w:rPr>
    </w:lvl>
    <w:lvl w:ilvl="1" w:tplc="C622A048">
      <w:numFmt w:val="bullet"/>
      <w:lvlText w:val="•"/>
      <w:lvlJc w:val="left"/>
      <w:pPr>
        <w:ind w:left="688" w:hanging="357"/>
      </w:pPr>
      <w:rPr>
        <w:rFonts w:hint="default"/>
      </w:rPr>
    </w:lvl>
    <w:lvl w:ilvl="2" w:tplc="9200B5EE">
      <w:numFmt w:val="bullet"/>
      <w:lvlText w:val="•"/>
      <w:lvlJc w:val="left"/>
      <w:pPr>
        <w:ind w:left="916" w:hanging="357"/>
      </w:pPr>
      <w:rPr>
        <w:rFonts w:hint="default"/>
      </w:rPr>
    </w:lvl>
    <w:lvl w:ilvl="3" w:tplc="F3C0A6C6">
      <w:numFmt w:val="bullet"/>
      <w:lvlText w:val="•"/>
      <w:lvlJc w:val="left"/>
      <w:pPr>
        <w:ind w:left="1144" w:hanging="357"/>
      </w:pPr>
      <w:rPr>
        <w:rFonts w:hint="default"/>
      </w:rPr>
    </w:lvl>
    <w:lvl w:ilvl="4" w:tplc="A494589E">
      <w:numFmt w:val="bullet"/>
      <w:lvlText w:val="•"/>
      <w:lvlJc w:val="left"/>
      <w:pPr>
        <w:ind w:left="1372" w:hanging="357"/>
      </w:pPr>
      <w:rPr>
        <w:rFonts w:hint="default"/>
      </w:rPr>
    </w:lvl>
    <w:lvl w:ilvl="5" w:tplc="3E547BF0">
      <w:numFmt w:val="bullet"/>
      <w:lvlText w:val="•"/>
      <w:lvlJc w:val="left"/>
      <w:pPr>
        <w:ind w:left="1600" w:hanging="357"/>
      </w:pPr>
      <w:rPr>
        <w:rFonts w:hint="default"/>
      </w:rPr>
    </w:lvl>
    <w:lvl w:ilvl="6" w:tplc="1CEC0C24">
      <w:numFmt w:val="bullet"/>
      <w:lvlText w:val="•"/>
      <w:lvlJc w:val="left"/>
      <w:pPr>
        <w:ind w:left="1828" w:hanging="357"/>
      </w:pPr>
      <w:rPr>
        <w:rFonts w:hint="default"/>
      </w:rPr>
    </w:lvl>
    <w:lvl w:ilvl="7" w:tplc="1C8C77E2">
      <w:numFmt w:val="bullet"/>
      <w:lvlText w:val="•"/>
      <w:lvlJc w:val="left"/>
      <w:pPr>
        <w:ind w:left="2056" w:hanging="357"/>
      </w:pPr>
      <w:rPr>
        <w:rFonts w:hint="default"/>
      </w:rPr>
    </w:lvl>
    <w:lvl w:ilvl="8" w:tplc="A1689DF0">
      <w:numFmt w:val="bullet"/>
      <w:lvlText w:val="•"/>
      <w:lvlJc w:val="left"/>
      <w:pPr>
        <w:ind w:left="2284" w:hanging="357"/>
      </w:pPr>
      <w:rPr>
        <w:rFonts w:hint="default"/>
      </w:rPr>
    </w:lvl>
  </w:abstractNum>
  <w:abstractNum w:abstractNumId="69" w15:restartNumberingAfterBreak="0">
    <w:nsid w:val="42876EF7"/>
    <w:multiLevelType w:val="hybridMultilevel"/>
    <w:tmpl w:val="AEFA184A"/>
    <w:lvl w:ilvl="0" w:tplc="1F1CF812">
      <w:numFmt w:val="bullet"/>
      <w:lvlText w:val="•"/>
      <w:lvlJc w:val="left"/>
      <w:pPr>
        <w:ind w:left="462" w:hanging="357"/>
      </w:pPr>
      <w:rPr>
        <w:rFonts w:ascii="Arial" w:eastAsia="Arial" w:hAnsi="Arial" w:cs="Arial" w:hint="default"/>
        <w:b/>
        <w:bCs/>
        <w:w w:val="103"/>
        <w:sz w:val="19"/>
        <w:szCs w:val="19"/>
      </w:rPr>
    </w:lvl>
    <w:lvl w:ilvl="1" w:tplc="4FCCDECC">
      <w:numFmt w:val="bullet"/>
      <w:lvlText w:val="•"/>
      <w:lvlJc w:val="left"/>
      <w:pPr>
        <w:ind w:left="688" w:hanging="357"/>
      </w:pPr>
      <w:rPr>
        <w:rFonts w:hint="default"/>
      </w:rPr>
    </w:lvl>
    <w:lvl w:ilvl="2" w:tplc="CB4E2C2C">
      <w:numFmt w:val="bullet"/>
      <w:lvlText w:val="•"/>
      <w:lvlJc w:val="left"/>
      <w:pPr>
        <w:ind w:left="916" w:hanging="357"/>
      </w:pPr>
      <w:rPr>
        <w:rFonts w:hint="default"/>
      </w:rPr>
    </w:lvl>
    <w:lvl w:ilvl="3" w:tplc="036A6D98">
      <w:numFmt w:val="bullet"/>
      <w:lvlText w:val="•"/>
      <w:lvlJc w:val="left"/>
      <w:pPr>
        <w:ind w:left="1144" w:hanging="357"/>
      </w:pPr>
      <w:rPr>
        <w:rFonts w:hint="default"/>
      </w:rPr>
    </w:lvl>
    <w:lvl w:ilvl="4" w:tplc="BBE4C0C2">
      <w:numFmt w:val="bullet"/>
      <w:lvlText w:val="•"/>
      <w:lvlJc w:val="left"/>
      <w:pPr>
        <w:ind w:left="1372" w:hanging="357"/>
      </w:pPr>
      <w:rPr>
        <w:rFonts w:hint="default"/>
      </w:rPr>
    </w:lvl>
    <w:lvl w:ilvl="5" w:tplc="66CAC666">
      <w:numFmt w:val="bullet"/>
      <w:lvlText w:val="•"/>
      <w:lvlJc w:val="left"/>
      <w:pPr>
        <w:ind w:left="1600" w:hanging="357"/>
      </w:pPr>
      <w:rPr>
        <w:rFonts w:hint="default"/>
      </w:rPr>
    </w:lvl>
    <w:lvl w:ilvl="6" w:tplc="F0B84144">
      <w:numFmt w:val="bullet"/>
      <w:lvlText w:val="•"/>
      <w:lvlJc w:val="left"/>
      <w:pPr>
        <w:ind w:left="1828" w:hanging="357"/>
      </w:pPr>
      <w:rPr>
        <w:rFonts w:hint="default"/>
      </w:rPr>
    </w:lvl>
    <w:lvl w:ilvl="7" w:tplc="61C4FF42">
      <w:numFmt w:val="bullet"/>
      <w:lvlText w:val="•"/>
      <w:lvlJc w:val="left"/>
      <w:pPr>
        <w:ind w:left="2056" w:hanging="357"/>
      </w:pPr>
      <w:rPr>
        <w:rFonts w:hint="default"/>
      </w:rPr>
    </w:lvl>
    <w:lvl w:ilvl="8" w:tplc="347016A0">
      <w:numFmt w:val="bullet"/>
      <w:lvlText w:val="•"/>
      <w:lvlJc w:val="left"/>
      <w:pPr>
        <w:ind w:left="2284" w:hanging="357"/>
      </w:pPr>
      <w:rPr>
        <w:rFonts w:hint="default"/>
      </w:rPr>
    </w:lvl>
  </w:abstractNum>
  <w:abstractNum w:abstractNumId="70" w15:restartNumberingAfterBreak="0">
    <w:nsid w:val="432052D7"/>
    <w:multiLevelType w:val="hybridMultilevel"/>
    <w:tmpl w:val="7F06825E"/>
    <w:lvl w:ilvl="0" w:tplc="C772E51A">
      <w:numFmt w:val="bullet"/>
      <w:lvlText w:val=""/>
      <w:lvlJc w:val="left"/>
      <w:pPr>
        <w:ind w:left="470" w:hanging="360"/>
      </w:pPr>
      <w:rPr>
        <w:rFonts w:ascii="Symbol" w:eastAsia="Symbol" w:hAnsi="Symbol" w:cs="Symbol" w:hint="default"/>
        <w:w w:val="103"/>
        <w:sz w:val="19"/>
        <w:szCs w:val="19"/>
      </w:rPr>
    </w:lvl>
    <w:lvl w:ilvl="1" w:tplc="9C420222">
      <w:numFmt w:val="bullet"/>
      <w:lvlText w:val="•"/>
      <w:lvlJc w:val="left"/>
      <w:pPr>
        <w:ind w:left="1408" w:hanging="360"/>
      </w:pPr>
      <w:rPr>
        <w:rFonts w:hint="default"/>
      </w:rPr>
    </w:lvl>
    <w:lvl w:ilvl="2" w:tplc="1FFA31B8">
      <w:numFmt w:val="bullet"/>
      <w:lvlText w:val="•"/>
      <w:lvlJc w:val="left"/>
      <w:pPr>
        <w:ind w:left="2336" w:hanging="360"/>
      </w:pPr>
      <w:rPr>
        <w:rFonts w:hint="default"/>
      </w:rPr>
    </w:lvl>
    <w:lvl w:ilvl="3" w:tplc="ABDEECC0">
      <w:numFmt w:val="bullet"/>
      <w:lvlText w:val="•"/>
      <w:lvlJc w:val="left"/>
      <w:pPr>
        <w:ind w:left="3264" w:hanging="360"/>
      </w:pPr>
      <w:rPr>
        <w:rFonts w:hint="default"/>
      </w:rPr>
    </w:lvl>
    <w:lvl w:ilvl="4" w:tplc="4132802E">
      <w:numFmt w:val="bullet"/>
      <w:lvlText w:val="•"/>
      <w:lvlJc w:val="left"/>
      <w:pPr>
        <w:ind w:left="4192" w:hanging="360"/>
      </w:pPr>
      <w:rPr>
        <w:rFonts w:hint="default"/>
      </w:rPr>
    </w:lvl>
    <w:lvl w:ilvl="5" w:tplc="08E2253C">
      <w:numFmt w:val="bullet"/>
      <w:lvlText w:val="•"/>
      <w:lvlJc w:val="left"/>
      <w:pPr>
        <w:ind w:left="5121" w:hanging="360"/>
      </w:pPr>
      <w:rPr>
        <w:rFonts w:hint="default"/>
      </w:rPr>
    </w:lvl>
    <w:lvl w:ilvl="6" w:tplc="DFB82144">
      <w:numFmt w:val="bullet"/>
      <w:lvlText w:val="•"/>
      <w:lvlJc w:val="left"/>
      <w:pPr>
        <w:ind w:left="6049" w:hanging="360"/>
      </w:pPr>
      <w:rPr>
        <w:rFonts w:hint="default"/>
      </w:rPr>
    </w:lvl>
    <w:lvl w:ilvl="7" w:tplc="B456B38E">
      <w:numFmt w:val="bullet"/>
      <w:lvlText w:val="•"/>
      <w:lvlJc w:val="left"/>
      <w:pPr>
        <w:ind w:left="6977" w:hanging="360"/>
      </w:pPr>
      <w:rPr>
        <w:rFonts w:hint="default"/>
      </w:rPr>
    </w:lvl>
    <w:lvl w:ilvl="8" w:tplc="C4A206B6">
      <w:numFmt w:val="bullet"/>
      <w:lvlText w:val="•"/>
      <w:lvlJc w:val="left"/>
      <w:pPr>
        <w:ind w:left="7905" w:hanging="360"/>
      </w:pPr>
      <w:rPr>
        <w:rFonts w:hint="default"/>
      </w:rPr>
    </w:lvl>
  </w:abstractNum>
  <w:abstractNum w:abstractNumId="71" w15:restartNumberingAfterBreak="0">
    <w:nsid w:val="44B92469"/>
    <w:multiLevelType w:val="hybridMultilevel"/>
    <w:tmpl w:val="2C0E9CB2"/>
    <w:lvl w:ilvl="0" w:tplc="DAC2C4EC">
      <w:numFmt w:val="bullet"/>
      <w:lvlText w:val=""/>
      <w:lvlJc w:val="left"/>
      <w:pPr>
        <w:ind w:left="463" w:hanging="357"/>
      </w:pPr>
      <w:rPr>
        <w:rFonts w:ascii="Symbol" w:eastAsia="Symbol" w:hAnsi="Symbol" w:cs="Symbol" w:hint="default"/>
        <w:w w:val="103"/>
        <w:sz w:val="19"/>
        <w:szCs w:val="19"/>
      </w:rPr>
    </w:lvl>
    <w:lvl w:ilvl="1" w:tplc="4904B54A">
      <w:numFmt w:val="bullet"/>
      <w:lvlText w:val="•"/>
      <w:lvlJc w:val="left"/>
      <w:pPr>
        <w:ind w:left="766" w:hanging="357"/>
      </w:pPr>
      <w:rPr>
        <w:rFonts w:hint="default"/>
      </w:rPr>
    </w:lvl>
    <w:lvl w:ilvl="2" w:tplc="62B0813A">
      <w:numFmt w:val="bullet"/>
      <w:lvlText w:val="•"/>
      <w:lvlJc w:val="left"/>
      <w:pPr>
        <w:ind w:left="1072" w:hanging="357"/>
      </w:pPr>
      <w:rPr>
        <w:rFonts w:hint="default"/>
      </w:rPr>
    </w:lvl>
    <w:lvl w:ilvl="3" w:tplc="278A1F48">
      <w:numFmt w:val="bullet"/>
      <w:lvlText w:val="•"/>
      <w:lvlJc w:val="left"/>
      <w:pPr>
        <w:ind w:left="1378" w:hanging="357"/>
      </w:pPr>
      <w:rPr>
        <w:rFonts w:hint="default"/>
      </w:rPr>
    </w:lvl>
    <w:lvl w:ilvl="4" w:tplc="81F64760">
      <w:numFmt w:val="bullet"/>
      <w:lvlText w:val="•"/>
      <w:lvlJc w:val="left"/>
      <w:pPr>
        <w:ind w:left="1684" w:hanging="357"/>
      </w:pPr>
      <w:rPr>
        <w:rFonts w:hint="default"/>
      </w:rPr>
    </w:lvl>
    <w:lvl w:ilvl="5" w:tplc="B60220FC">
      <w:numFmt w:val="bullet"/>
      <w:lvlText w:val="•"/>
      <w:lvlJc w:val="left"/>
      <w:pPr>
        <w:ind w:left="1991" w:hanging="357"/>
      </w:pPr>
      <w:rPr>
        <w:rFonts w:hint="default"/>
      </w:rPr>
    </w:lvl>
    <w:lvl w:ilvl="6" w:tplc="D568ACB6">
      <w:numFmt w:val="bullet"/>
      <w:lvlText w:val="•"/>
      <w:lvlJc w:val="left"/>
      <w:pPr>
        <w:ind w:left="2297" w:hanging="357"/>
      </w:pPr>
      <w:rPr>
        <w:rFonts w:hint="default"/>
      </w:rPr>
    </w:lvl>
    <w:lvl w:ilvl="7" w:tplc="5FB64620">
      <w:numFmt w:val="bullet"/>
      <w:lvlText w:val="•"/>
      <w:lvlJc w:val="left"/>
      <w:pPr>
        <w:ind w:left="2603" w:hanging="357"/>
      </w:pPr>
      <w:rPr>
        <w:rFonts w:hint="default"/>
      </w:rPr>
    </w:lvl>
    <w:lvl w:ilvl="8" w:tplc="D0364BB8">
      <w:numFmt w:val="bullet"/>
      <w:lvlText w:val="•"/>
      <w:lvlJc w:val="left"/>
      <w:pPr>
        <w:ind w:left="2909" w:hanging="357"/>
      </w:pPr>
      <w:rPr>
        <w:rFonts w:hint="default"/>
      </w:rPr>
    </w:lvl>
  </w:abstractNum>
  <w:abstractNum w:abstractNumId="72" w15:restartNumberingAfterBreak="0">
    <w:nsid w:val="44CF7D80"/>
    <w:multiLevelType w:val="hybridMultilevel"/>
    <w:tmpl w:val="EC609CA4"/>
    <w:lvl w:ilvl="0" w:tplc="E078EA5C">
      <w:numFmt w:val="bullet"/>
      <w:lvlText w:val=""/>
      <w:lvlJc w:val="left"/>
      <w:pPr>
        <w:ind w:left="651" w:hanging="357"/>
      </w:pPr>
      <w:rPr>
        <w:rFonts w:ascii="Symbol" w:eastAsia="Symbol" w:hAnsi="Symbol" w:cs="Symbol" w:hint="default"/>
        <w:w w:val="103"/>
        <w:sz w:val="19"/>
        <w:szCs w:val="19"/>
      </w:rPr>
    </w:lvl>
    <w:lvl w:ilvl="1" w:tplc="4D566F54">
      <w:numFmt w:val="bullet"/>
      <w:lvlText w:val="•"/>
      <w:lvlJc w:val="left"/>
      <w:pPr>
        <w:ind w:left="1134" w:hanging="357"/>
      </w:pPr>
      <w:rPr>
        <w:rFonts w:hint="default"/>
      </w:rPr>
    </w:lvl>
    <w:lvl w:ilvl="2" w:tplc="697AFC06">
      <w:numFmt w:val="bullet"/>
      <w:lvlText w:val="•"/>
      <w:lvlJc w:val="left"/>
      <w:pPr>
        <w:ind w:left="1609" w:hanging="357"/>
      </w:pPr>
      <w:rPr>
        <w:rFonts w:hint="default"/>
      </w:rPr>
    </w:lvl>
    <w:lvl w:ilvl="3" w:tplc="298A1184">
      <w:numFmt w:val="bullet"/>
      <w:lvlText w:val="•"/>
      <w:lvlJc w:val="left"/>
      <w:pPr>
        <w:ind w:left="2084" w:hanging="357"/>
      </w:pPr>
      <w:rPr>
        <w:rFonts w:hint="default"/>
      </w:rPr>
    </w:lvl>
    <w:lvl w:ilvl="4" w:tplc="661239E2">
      <w:numFmt w:val="bullet"/>
      <w:lvlText w:val="•"/>
      <w:lvlJc w:val="left"/>
      <w:pPr>
        <w:ind w:left="2558" w:hanging="357"/>
      </w:pPr>
      <w:rPr>
        <w:rFonts w:hint="default"/>
      </w:rPr>
    </w:lvl>
    <w:lvl w:ilvl="5" w:tplc="1A42AA96">
      <w:numFmt w:val="bullet"/>
      <w:lvlText w:val="•"/>
      <w:lvlJc w:val="left"/>
      <w:pPr>
        <w:ind w:left="3033" w:hanging="357"/>
      </w:pPr>
      <w:rPr>
        <w:rFonts w:hint="default"/>
      </w:rPr>
    </w:lvl>
    <w:lvl w:ilvl="6" w:tplc="ED56BF7E">
      <w:numFmt w:val="bullet"/>
      <w:lvlText w:val="•"/>
      <w:lvlJc w:val="left"/>
      <w:pPr>
        <w:ind w:left="3508" w:hanging="357"/>
      </w:pPr>
      <w:rPr>
        <w:rFonts w:hint="default"/>
      </w:rPr>
    </w:lvl>
    <w:lvl w:ilvl="7" w:tplc="C3C4C5C0">
      <w:numFmt w:val="bullet"/>
      <w:lvlText w:val="•"/>
      <w:lvlJc w:val="left"/>
      <w:pPr>
        <w:ind w:left="3982" w:hanging="357"/>
      </w:pPr>
      <w:rPr>
        <w:rFonts w:hint="default"/>
      </w:rPr>
    </w:lvl>
    <w:lvl w:ilvl="8" w:tplc="F1AE39FC">
      <w:numFmt w:val="bullet"/>
      <w:lvlText w:val="•"/>
      <w:lvlJc w:val="left"/>
      <w:pPr>
        <w:ind w:left="4457" w:hanging="357"/>
      </w:pPr>
      <w:rPr>
        <w:rFonts w:hint="default"/>
      </w:rPr>
    </w:lvl>
  </w:abstractNum>
  <w:abstractNum w:abstractNumId="73" w15:restartNumberingAfterBreak="0">
    <w:nsid w:val="45482C70"/>
    <w:multiLevelType w:val="hybridMultilevel"/>
    <w:tmpl w:val="0DDAA960"/>
    <w:lvl w:ilvl="0" w:tplc="77D80EE4">
      <w:start w:val="2"/>
      <w:numFmt w:val="decimal"/>
      <w:lvlText w:val="%1)"/>
      <w:lvlJc w:val="left"/>
      <w:pPr>
        <w:ind w:left="467" w:hanging="357"/>
      </w:pPr>
      <w:rPr>
        <w:rFonts w:ascii="Arial" w:eastAsia="Arial" w:hAnsi="Arial" w:cs="Arial" w:hint="default"/>
        <w:spacing w:val="0"/>
        <w:w w:val="103"/>
        <w:sz w:val="19"/>
        <w:szCs w:val="19"/>
      </w:rPr>
    </w:lvl>
    <w:lvl w:ilvl="1" w:tplc="A7D401DA">
      <w:numFmt w:val="bullet"/>
      <w:lvlText w:val="•"/>
      <w:lvlJc w:val="left"/>
      <w:pPr>
        <w:ind w:left="1149" w:hanging="357"/>
      </w:pPr>
      <w:rPr>
        <w:rFonts w:hint="default"/>
      </w:rPr>
    </w:lvl>
    <w:lvl w:ilvl="2" w:tplc="6812E35A">
      <w:numFmt w:val="bullet"/>
      <w:lvlText w:val="•"/>
      <w:lvlJc w:val="left"/>
      <w:pPr>
        <w:ind w:left="1838" w:hanging="357"/>
      </w:pPr>
      <w:rPr>
        <w:rFonts w:hint="default"/>
      </w:rPr>
    </w:lvl>
    <w:lvl w:ilvl="3" w:tplc="8F72A30C">
      <w:numFmt w:val="bullet"/>
      <w:lvlText w:val="•"/>
      <w:lvlJc w:val="left"/>
      <w:pPr>
        <w:ind w:left="2527" w:hanging="357"/>
      </w:pPr>
      <w:rPr>
        <w:rFonts w:hint="default"/>
      </w:rPr>
    </w:lvl>
    <w:lvl w:ilvl="4" w:tplc="9886C542">
      <w:numFmt w:val="bullet"/>
      <w:lvlText w:val="•"/>
      <w:lvlJc w:val="left"/>
      <w:pPr>
        <w:ind w:left="3217" w:hanging="357"/>
      </w:pPr>
      <w:rPr>
        <w:rFonts w:hint="default"/>
      </w:rPr>
    </w:lvl>
    <w:lvl w:ilvl="5" w:tplc="1138CCE2">
      <w:numFmt w:val="bullet"/>
      <w:lvlText w:val="•"/>
      <w:lvlJc w:val="left"/>
      <w:pPr>
        <w:ind w:left="3906" w:hanging="357"/>
      </w:pPr>
      <w:rPr>
        <w:rFonts w:hint="default"/>
      </w:rPr>
    </w:lvl>
    <w:lvl w:ilvl="6" w:tplc="B2D2C264">
      <w:numFmt w:val="bullet"/>
      <w:lvlText w:val="•"/>
      <w:lvlJc w:val="left"/>
      <w:pPr>
        <w:ind w:left="4595" w:hanging="357"/>
      </w:pPr>
      <w:rPr>
        <w:rFonts w:hint="default"/>
      </w:rPr>
    </w:lvl>
    <w:lvl w:ilvl="7" w:tplc="F45AC54C">
      <w:numFmt w:val="bullet"/>
      <w:lvlText w:val="•"/>
      <w:lvlJc w:val="left"/>
      <w:pPr>
        <w:ind w:left="5285" w:hanging="357"/>
      </w:pPr>
      <w:rPr>
        <w:rFonts w:hint="default"/>
      </w:rPr>
    </w:lvl>
    <w:lvl w:ilvl="8" w:tplc="7698228A">
      <w:numFmt w:val="bullet"/>
      <w:lvlText w:val="•"/>
      <w:lvlJc w:val="left"/>
      <w:pPr>
        <w:ind w:left="5974" w:hanging="357"/>
      </w:pPr>
      <w:rPr>
        <w:rFonts w:hint="default"/>
      </w:rPr>
    </w:lvl>
  </w:abstractNum>
  <w:abstractNum w:abstractNumId="74" w15:restartNumberingAfterBreak="0">
    <w:nsid w:val="455040CF"/>
    <w:multiLevelType w:val="hybridMultilevel"/>
    <w:tmpl w:val="0262CF1E"/>
    <w:lvl w:ilvl="0" w:tplc="6C8A5538">
      <w:start w:val="1"/>
      <w:numFmt w:val="decimal"/>
      <w:lvlText w:val="%1."/>
      <w:lvlJc w:val="left"/>
      <w:pPr>
        <w:ind w:left="1515" w:hanging="357"/>
      </w:pPr>
      <w:rPr>
        <w:rFonts w:ascii="Arial" w:eastAsia="Arial" w:hAnsi="Arial" w:cs="Arial" w:hint="default"/>
        <w:spacing w:val="-3"/>
        <w:w w:val="100"/>
        <w:sz w:val="24"/>
        <w:szCs w:val="24"/>
      </w:rPr>
    </w:lvl>
    <w:lvl w:ilvl="1" w:tplc="D7E4F55C">
      <w:numFmt w:val="bullet"/>
      <w:lvlText w:val="•"/>
      <w:lvlJc w:val="left"/>
      <w:pPr>
        <w:ind w:left="2518" w:hanging="357"/>
      </w:pPr>
      <w:rPr>
        <w:rFonts w:hint="default"/>
      </w:rPr>
    </w:lvl>
    <w:lvl w:ilvl="2" w:tplc="77B4CD36">
      <w:numFmt w:val="bullet"/>
      <w:lvlText w:val="•"/>
      <w:lvlJc w:val="left"/>
      <w:pPr>
        <w:ind w:left="3516" w:hanging="357"/>
      </w:pPr>
      <w:rPr>
        <w:rFonts w:hint="default"/>
      </w:rPr>
    </w:lvl>
    <w:lvl w:ilvl="3" w:tplc="2D0A65C0">
      <w:numFmt w:val="bullet"/>
      <w:lvlText w:val="•"/>
      <w:lvlJc w:val="left"/>
      <w:pPr>
        <w:ind w:left="4514" w:hanging="357"/>
      </w:pPr>
      <w:rPr>
        <w:rFonts w:hint="default"/>
      </w:rPr>
    </w:lvl>
    <w:lvl w:ilvl="4" w:tplc="CD0CC862">
      <w:numFmt w:val="bullet"/>
      <w:lvlText w:val="•"/>
      <w:lvlJc w:val="left"/>
      <w:pPr>
        <w:ind w:left="5512" w:hanging="357"/>
      </w:pPr>
      <w:rPr>
        <w:rFonts w:hint="default"/>
      </w:rPr>
    </w:lvl>
    <w:lvl w:ilvl="5" w:tplc="D51ABE46">
      <w:numFmt w:val="bullet"/>
      <w:lvlText w:val="•"/>
      <w:lvlJc w:val="left"/>
      <w:pPr>
        <w:ind w:left="6510" w:hanging="357"/>
      </w:pPr>
      <w:rPr>
        <w:rFonts w:hint="default"/>
      </w:rPr>
    </w:lvl>
    <w:lvl w:ilvl="6" w:tplc="FDA89B46">
      <w:numFmt w:val="bullet"/>
      <w:lvlText w:val="•"/>
      <w:lvlJc w:val="left"/>
      <w:pPr>
        <w:ind w:left="7508" w:hanging="357"/>
      </w:pPr>
      <w:rPr>
        <w:rFonts w:hint="default"/>
      </w:rPr>
    </w:lvl>
    <w:lvl w:ilvl="7" w:tplc="77C674BA">
      <w:numFmt w:val="bullet"/>
      <w:lvlText w:val="•"/>
      <w:lvlJc w:val="left"/>
      <w:pPr>
        <w:ind w:left="8506" w:hanging="357"/>
      </w:pPr>
      <w:rPr>
        <w:rFonts w:hint="default"/>
      </w:rPr>
    </w:lvl>
    <w:lvl w:ilvl="8" w:tplc="69E02E26">
      <w:numFmt w:val="bullet"/>
      <w:lvlText w:val="•"/>
      <w:lvlJc w:val="left"/>
      <w:pPr>
        <w:ind w:left="9504" w:hanging="357"/>
      </w:pPr>
      <w:rPr>
        <w:rFonts w:hint="default"/>
      </w:rPr>
    </w:lvl>
  </w:abstractNum>
  <w:abstractNum w:abstractNumId="75" w15:restartNumberingAfterBreak="0">
    <w:nsid w:val="455F1756"/>
    <w:multiLevelType w:val="hybridMultilevel"/>
    <w:tmpl w:val="C5944A9C"/>
    <w:lvl w:ilvl="0" w:tplc="9890438E">
      <w:numFmt w:val="bullet"/>
      <w:lvlText w:val=""/>
      <w:lvlJc w:val="left"/>
      <w:pPr>
        <w:ind w:left="427" w:hanging="317"/>
      </w:pPr>
      <w:rPr>
        <w:rFonts w:ascii="Symbol" w:eastAsia="Symbol" w:hAnsi="Symbol" w:cs="Symbol" w:hint="default"/>
        <w:w w:val="103"/>
        <w:sz w:val="19"/>
        <w:szCs w:val="19"/>
      </w:rPr>
    </w:lvl>
    <w:lvl w:ilvl="1" w:tplc="F704D6A0">
      <w:numFmt w:val="bullet"/>
      <w:lvlText w:val="•"/>
      <w:lvlJc w:val="left"/>
      <w:pPr>
        <w:ind w:left="1330" w:hanging="317"/>
      </w:pPr>
      <w:rPr>
        <w:rFonts w:hint="default"/>
      </w:rPr>
    </w:lvl>
    <w:lvl w:ilvl="2" w:tplc="3B2EDF64">
      <w:numFmt w:val="bullet"/>
      <w:lvlText w:val="•"/>
      <w:lvlJc w:val="left"/>
      <w:pPr>
        <w:ind w:left="2241" w:hanging="317"/>
      </w:pPr>
      <w:rPr>
        <w:rFonts w:hint="default"/>
      </w:rPr>
    </w:lvl>
    <w:lvl w:ilvl="3" w:tplc="9F9CA078">
      <w:numFmt w:val="bullet"/>
      <w:lvlText w:val="•"/>
      <w:lvlJc w:val="left"/>
      <w:pPr>
        <w:ind w:left="3152" w:hanging="317"/>
      </w:pPr>
      <w:rPr>
        <w:rFonts w:hint="default"/>
      </w:rPr>
    </w:lvl>
    <w:lvl w:ilvl="4" w:tplc="965CF364">
      <w:numFmt w:val="bullet"/>
      <w:lvlText w:val="•"/>
      <w:lvlJc w:val="left"/>
      <w:pPr>
        <w:ind w:left="4062" w:hanging="317"/>
      </w:pPr>
      <w:rPr>
        <w:rFonts w:hint="default"/>
      </w:rPr>
    </w:lvl>
    <w:lvl w:ilvl="5" w:tplc="048EFC90">
      <w:numFmt w:val="bullet"/>
      <w:lvlText w:val="•"/>
      <w:lvlJc w:val="left"/>
      <w:pPr>
        <w:ind w:left="4973" w:hanging="317"/>
      </w:pPr>
      <w:rPr>
        <w:rFonts w:hint="default"/>
      </w:rPr>
    </w:lvl>
    <w:lvl w:ilvl="6" w:tplc="B3E4D536">
      <w:numFmt w:val="bullet"/>
      <w:lvlText w:val="•"/>
      <w:lvlJc w:val="left"/>
      <w:pPr>
        <w:ind w:left="5884" w:hanging="317"/>
      </w:pPr>
      <w:rPr>
        <w:rFonts w:hint="default"/>
      </w:rPr>
    </w:lvl>
    <w:lvl w:ilvl="7" w:tplc="EED2A6AC">
      <w:numFmt w:val="bullet"/>
      <w:lvlText w:val="•"/>
      <w:lvlJc w:val="left"/>
      <w:pPr>
        <w:ind w:left="6794" w:hanging="317"/>
      </w:pPr>
      <w:rPr>
        <w:rFonts w:hint="default"/>
      </w:rPr>
    </w:lvl>
    <w:lvl w:ilvl="8" w:tplc="ABAA2D54">
      <w:numFmt w:val="bullet"/>
      <w:lvlText w:val="•"/>
      <w:lvlJc w:val="left"/>
      <w:pPr>
        <w:ind w:left="7705" w:hanging="317"/>
      </w:pPr>
      <w:rPr>
        <w:rFonts w:hint="default"/>
      </w:rPr>
    </w:lvl>
  </w:abstractNum>
  <w:abstractNum w:abstractNumId="76" w15:restartNumberingAfterBreak="0">
    <w:nsid w:val="45F92769"/>
    <w:multiLevelType w:val="hybridMultilevel"/>
    <w:tmpl w:val="285CD9C4"/>
    <w:lvl w:ilvl="0" w:tplc="CC848B44">
      <w:numFmt w:val="bullet"/>
      <w:lvlText w:val="*"/>
      <w:lvlJc w:val="left"/>
      <w:pPr>
        <w:ind w:left="2335" w:hanging="134"/>
      </w:pPr>
      <w:rPr>
        <w:rFonts w:ascii="Arial" w:eastAsia="Arial" w:hAnsi="Arial" w:cs="Arial" w:hint="default"/>
        <w:i/>
        <w:w w:val="103"/>
        <w:sz w:val="19"/>
        <w:szCs w:val="19"/>
      </w:rPr>
    </w:lvl>
    <w:lvl w:ilvl="1" w:tplc="4BC67ADA">
      <w:numFmt w:val="bullet"/>
      <w:lvlText w:val="•"/>
      <w:lvlJc w:val="left"/>
      <w:pPr>
        <w:ind w:left="2887" w:hanging="134"/>
      </w:pPr>
      <w:rPr>
        <w:rFonts w:hint="default"/>
      </w:rPr>
    </w:lvl>
    <w:lvl w:ilvl="2" w:tplc="6EDC4AC0">
      <w:numFmt w:val="bullet"/>
      <w:lvlText w:val="•"/>
      <w:lvlJc w:val="left"/>
      <w:pPr>
        <w:ind w:left="3435" w:hanging="134"/>
      </w:pPr>
      <w:rPr>
        <w:rFonts w:hint="default"/>
      </w:rPr>
    </w:lvl>
    <w:lvl w:ilvl="3" w:tplc="FADEE270">
      <w:numFmt w:val="bullet"/>
      <w:lvlText w:val="•"/>
      <w:lvlJc w:val="left"/>
      <w:pPr>
        <w:ind w:left="3983" w:hanging="134"/>
      </w:pPr>
      <w:rPr>
        <w:rFonts w:hint="default"/>
      </w:rPr>
    </w:lvl>
    <w:lvl w:ilvl="4" w:tplc="7A8490D6">
      <w:numFmt w:val="bullet"/>
      <w:lvlText w:val="•"/>
      <w:lvlJc w:val="left"/>
      <w:pPr>
        <w:ind w:left="4531" w:hanging="134"/>
      </w:pPr>
      <w:rPr>
        <w:rFonts w:hint="default"/>
      </w:rPr>
    </w:lvl>
    <w:lvl w:ilvl="5" w:tplc="CC0A1D56">
      <w:numFmt w:val="bullet"/>
      <w:lvlText w:val="•"/>
      <w:lvlJc w:val="left"/>
      <w:pPr>
        <w:ind w:left="5079" w:hanging="134"/>
      </w:pPr>
      <w:rPr>
        <w:rFonts w:hint="default"/>
      </w:rPr>
    </w:lvl>
    <w:lvl w:ilvl="6" w:tplc="D528F686">
      <w:numFmt w:val="bullet"/>
      <w:lvlText w:val="•"/>
      <w:lvlJc w:val="left"/>
      <w:pPr>
        <w:ind w:left="5626" w:hanging="134"/>
      </w:pPr>
      <w:rPr>
        <w:rFonts w:hint="default"/>
      </w:rPr>
    </w:lvl>
    <w:lvl w:ilvl="7" w:tplc="16D8ACE2">
      <w:numFmt w:val="bullet"/>
      <w:lvlText w:val="•"/>
      <w:lvlJc w:val="left"/>
      <w:pPr>
        <w:ind w:left="6174" w:hanging="134"/>
      </w:pPr>
      <w:rPr>
        <w:rFonts w:hint="default"/>
      </w:rPr>
    </w:lvl>
    <w:lvl w:ilvl="8" w:tplc="CF72F47E">
      <w:numFmt w:val="bullet"/>
      <w:lvlText w:val="•"/>
      <w:lvlJc w:val="left"/>
      <w:pPr>
        <w:ind w:left="6722" w:hanging="134"/>
      </w:pPr>
      <w:rPr>
        <w:rFonts w:hint="default"/>
      </w:rPr>
    </w:lvl>
  </w:abstractNum>
  <w:abstractNum w:abstractNumId="77" w15:restartNumberingAfterBreak="0">
    <w:nsid w:val="470F5062"/>
    <w:multiLevelType w:val="hybridMultilevel"/>
    <w:tmpl w:val="F18C29D4"/>
    <w:lvl w:ilvl="0" w:tplc="F6163A54">
      <w:numFmt w:val="bullet"/>
      <w:lvlText w:val=""/>
      <w:lvlJc w:val="left"/>
      <w:pPr>
        <w:ind w:left="470" w:hanging="360"/>
      </w:pPr>
      <w:rPr>
        <w:rFonts w:ascii="Symbol" w:eastAsia="Symbol" w:hAnsi="Symbol" w:cs="Symbol" w:hint="default"/>
        <w:w w:val="103"/>
        <w:sz w:val="19"/>
        <w:szCs w:val="19"/>
      </w:rPr>
    </w:lvl>
    <w:lvl w:ilvl="1" w:tplc="31C851CE">
      <w:numFmt w:val="bullet"/>
      <w:lvlText w:val="•"/>
      <w:lvlJc w:val="left"/>
      <w:pPr>
        <w:ind w:left="1408" w:hanging="360"/>
      </w:pPr>
      <w:rPr>
        <w:rFonts w:hint="default"/>
      </w:rPr>
    </w:lvl>
    <w:lvl w:ilvl="2" w:tplc="CB5ABC82">
      <w:numFmt w:val="bullet"/>
      <w:lvlText w:val="•"/>
      <w:lvlJc w:val="left"/>
      <w:pPr>
        <w:ind w:left="2336" w:hanging="360"/>
      </w:pPr>
      <w:rPr>
        <w:rFonts w:hint="default"/>
      </w:rPr>
    </w:lvl>
    <w:lvl w:ilvl="3" w:tplc="4A5C32FA">
      <w:numFmt w:val="bullet"/>
      <w:lvlText w:val="•"/>
      <w:lvlJc w:val="left"/>
      <w:pPr>
        <w:ind w:left="3264" w:hanging="360"/>
      </w:pPr>
      <w:rPr>
        <w:rFonts w:hint="default"/>
      </w:rPr>
    </w:lvl>
    <w:lvl w:ilvl="4" w:tplc="FAB8F768">
      <w:numFmt w:val="bullet"/>
      <w:lvlText w:val="•"/>
      <w:lvlJc w:val="left"/>
      <w:pPr>
        <w:ind w:left="4192" w:hanging="360"/>
      </w:pPr>
      <w:rPr>
        <w:rFonts w:hint="default"/>
      </w:rPr>
    </w:lvl>
    <w:lvl w:ilvl="5" w:tplc="0ED8E600">
      <w:numFmt w:val="bullet"/>
      <w:lvlText w:val="•"/>
      <w:lvlJc w:val="left"/>
      <w:pPr>
        <w:ind w:left="5121" w:hanging="360"/>
      </w:pPr>
      <w:rPr>
        <w:rFonts w:hint="default"/>
      </w:rPr>
    </w:lvl>
    <w:lvl w:ilvl="6" w:tplc="2646BBAE">
      <w:numFmt w:val="bullet"/>
      <w:lvlText w:val="•"/>
      <w:lvlJc w:val="left"/>
      <w:pPr>
        <w:ind w:left="6049" w:hanging="360"/>
      </w:pPr>
      <w:rPr>
        <w:rFonts w:hint="default"/>
      </w:rPr>
    </w:lvl>
    <w:lvl w:ilvl="7" w:tplc="8AA41FAA">
      <w:numFmt w:val="bullet"/>
      <w:lvlText w:val="•"/>
      <w:lvlJc w:val="left"/>
      <w:pPr>
        <w:ind w:left="6977" w:hanging="360"/>
      </w:pPr>
      <w:rPr>
        <w:rFonts w:hint="default"/>
      </w:rPr>
    </w:lvl>
    <w:lvl w:ilvl="8" w:tplc="41DCE304">
      <w:numFmt w:val="bullet"/>
      <w:lvlText w:val="•"/>
      <w:lvlJc w:val="left"/>
      <w:pPr>
        <w:ind w:left="7905" w:hanging="360"/>
      </w:pPr>
      <w:rPr>
        <w:rFonts w:hint="default"/>
      </w:rPr>
    </w:lvl>
  </w:abstractNum>
  <w:abstractNum w:abstractNumId="78" w15:restartNumberingAfterBreak="0">
    <w:nsid w:val="486C0DEE"/>
    <w:multiLevelType w:val="hybridMultilevel"/>
    <w:tmpl w:val="51F44D52"/>
    <w:lvl w:ilvl="0" w:tplc="BB6CC424">
      <w:numFmt w:val="bullet"/>
      <w:lvlText w:val=""/>
      <w:lvlJc w:val="left"/>
      <w:pPr>
        <w:ind w:left="470" w:hanging="360"/>
      </w:pPr>
      <w:rPr>
        <w:rFonts w:ascii="Symbol" w:eastAsia="Symbol" w:hAnsi="Symbol" w:cs="Symbol" w:hint="default"/>
        <w:w w:val="103"/>
        <w:sz w:val="19"/>
        <w:szCs w:val="19"/>
      </w:rPr>
    </w:lvl>
    <w:lvl w:ilvl="1" w:tplc="3A52B6FE">
      <w:numFmt w:val="bullet"/>
      <w:lvlText w:val="•"/>
      <w:lvlJc w:val="left"/>
      <w:pPr>
        <w:ind w:left="1384" w:hanging="360"/>
      </w:pPr>
      <w:rPr>
        <w:rFonts w:hint="default"/>
      </w:rPr>
    </w:lvl>
    <w:lvl w:ilvl="2" w:tplc="B9048782">
      <w:numFmt w:val="bullet"/>
      <w:lvlText w:val="•"/>
      <w:lvlJc w:val="left"/>
      <w:pPr>
        <w:ind w:left="2289" w:hanging="360"/>
      </w:pPr>
      <w:rPr>
        <w:rFonts w:hint="default"/>
      </w:rPr>
    </w:lvl>
    <w:lvl w:ilvl="3" w:tplc="EB06C28A">
      <w:numFmt w:val="bullet"/>
      <w:lvlText w:val="•"/>
      <w:lvlJc w:val="left"/>
      <w:pPr>
        <w:ind w:left="3194" w:hanging="360"/>
      </w:pPr>
      <w:rPr>
        <w:rFonts w:hint="default"/>
      </w:rPr>
    </w:lvl>
    <w:lvl w:ilvl="4" w:tplc="A044FF94">
      <w:numFmt w:val="bullet"/>
      <w:lvlText w:val="•"/>
      <w:lvlJc w:val="left"/>
      <w:pPr>
        <w:ind w:left="4098" w:hanging="360"/>
      </w:pPr>
      <w:rPr>
        <w:rFonts w:hint="default"/>
      </w:rPr>
    </w:lvl>
    <w:lvl w:ilvl="5" w:tplc="7C8217D6">
      <w:numFmt w:val="bullet"/>
      <w:lvlText w:val="•"/>
      <w:lvlJc w:val="left"/>
      <w:pPr>
        <w:ind w:left="5003" w:hanging="360"/>
      </w:pPr>
      <w:rPr>
        <w:rFonts w:hint="default"/>
      </w:rPr>
    </w:lvl>
    <w:lvl w:ilvl="6" w:tplc="F298408C">
      <w:numFmt w:val="bullet"/>
      <w:lvlText w:val="•"/>
      <w:lvlJc w:val="left"/>
      <w:pPr>
        <w:ind w:left="5908" w:hanging="360"/>
      </w:pPr>
      <w:rPr>
        <w:rFonts w:hint="default"/>
      </w:rPr>
    </w:lvl>
    <w:lvl w:ilvl="7" w:tplc="85B4E486">
      <w:numFmt w:val="bullet"/>
      <w:lvlText w:val="•"/>
      <w:lvlJc w:val="left"/>
      <w:pPr>
        <w:ind w:left="6812" w:hanging="360"/>
      </w:pPr>
      <w:rPr>
        <w:rFonts w:hint="default"/>
      </w:rPr>
    </w:lvl>
    <w:lvl w:ilvl="8" w:tplc="72C8E1F4">
      <w:numFmt w:val="bullet"/>
      <w:lvlText w:val="•"/>
      <w:lvlJc w:val="left"/>
      <w:pPr>
        <w:ind w:left="7717" w:hanging="360"/>
      </w:pPr>
      <w:rPr>
        <w:rFonts w:hint="default"/>
      </w:rPr>
    </w:lvl>
  </w:abstractNum>
  <w:abstractNum w:abstractNumId="79" w15:restartNumberingAfterBreak="0">
    <w:nsid w:val="49F32A39"/>
    <w:multiLevelType w:val="hybridMultilevel"/>
    <w:tmpl w:val="19BA5FBA"/>
    <w:lvl w:ilvl="0" w:tplc="FD88E8D0">
      <w:numFmt w:val="bullet"/>
      <w:lvlText w:val=""/>
      <w:lvlJc w:val="left"/>
      <w:pPr>
        <w:ind w:left="427" w:hanging="317"/>
      </w:pPr>
      <w:rPr>
        <w:rFonts w:ascii="Symbol" w:eastAsia="Symbol" w:hAnsi="Symbol" w:cs="Symbol" w:hint="default"/>
        <w:w w:val="103"/>
        <w:sz w:val="19"/>
        <w:szCs w:val="19"/>
      </w:rPr>
    </w:lvl>
    <w:lvl w:ilvl="1" w:tplc="1FF41838">
      <w:numFmt w:val="bullet"/>
      <w:lvlText w:val="•"/>
      <w:lvlJc w:val="left"/>
      <w:pPr>
        <w:ind w:left="1330" w:hanging="317"/>
      </w:pPr>
      <w:rPr>
        <w:rFonts w:hint="default"/>
      </w:rPr>
    </w:lvl>
    <w:lvl w:ilvl="2" w:tplc="78385852">
      <w:numFmt w:val="bullet"/>
      <w:lvlText w:val="•"/>
      <w:lvlJc w:val="left"/>
      <w:pPr>
        <w:ind w:left="2241" w:hanging="317"/>
      </w:pPr>
      <w:rPr>
        <w:rFonts w:hint="default"/>
      </w:rPr>
    </w:lvl>
    <w:lvl w:ilvl="3" w:tplc="D3D2D576">
      <w:numFmt w:val="bullet"/>
      <w:lvlText w:val="•"/>
      <w:lvlJc w:val="left"/>
      <w:pPr>
        <w:ind w:left="3152" w:hanging="317"/>
      </w:pPr>
      <w:rPr>
        <w:rFonts w:hint="default"/>
      </w:rPr>
    </w:lvl>
    <w:lvl w:ilvl="4" w:tplc="AB3833B8">
      <w:numFmt w:val="bullet"/>
      <w:lvlText w:val="•"/>
      <w:lvlJc w:val="left"/>
      <w:pPr>
        <w:ind w:left="4062" w:hanging="317"/>
      </w:pPr>
      <w:rPr>
        <w:rFonts w:hint="default"/>
      </w:rPr>
    </w:lvl>
    <w:lvl w:ilvl="5" w:tplc="A3662412">
      <w:numFmt w:val="bullet"/>
      <w:lvlText w:val="•"/>
      <w:lvlJc w:val="left"/>
      <w:pPr>
        <w:ind w:left="4973" w:hanging="317"/>
      </w:pPr>
      <w:rPr>
        <w:rFonts w:hint="default"/>
      </w:rPr>
    </w:lvl>
    <w:lvl w:ilvl="6" w:tplc="443C32A2">
      <w:numFmt w:val="bullet"/>
      <w:lvlText w:val="•"/>
      <w:lvlJc w:val="left"/>
      <w:pPr>
        <w:ind w:left="5884" w:hanging="317"/>
      </w:pPr>
      <w:rPr>
        <w:rFonts w:hint="default"/>
      </w:rPr>
    </w:lvl>
    <w:lvl w:ilvl="7" w:tplc="D0087142">
      <w:numFmt w:val="bullet"/>
      <w:lvlText w:val="•"/>
      <w:lvlJc w:val="left"/>
      <w:pPr>
        <w:ind w:left="6794" w:hanging="317"/>
      </w:pPr>
      <w:rPr>
        <w:rFonts w:hint="default"/>
      </w:rPr>
    </w:lvl>
    <w:lvl w:ilvl="8" w:tplc="73BEB8BC">
      <w:numFmt w:val="bullet"/>
      <w:lvlText w:val="•"/>
      <w:lvlJc w:val="left"/>
      <w:pPr>
        <w:ind w:left="7705" w:hanging="317"/>
      </w:pPr>
      <w:rPr>
        <w:rFonts w:hint="default"/>
      </w:rPr>
    </w:lvl>
  </w:abstractNum>
  <w:abstractNum w:abstractNumId="80" w15:restartNumberingAfterBreak="0">
    <w:nsid w:val="4A94469D"/>
    <w:multiLevelType w:val="hybridMultilevel"/>
    <w:tmpl w:val="4C26CC14"/>
    <w:lvl w:ilvl="0" w:tplc="C3681A00">
      <w:numFmt w:val="bullet"/>
      <w:lvlText w:val=""/>
      <w:lvlJc w:val="left"/>
      <w:pPr>
        <w:ind w:left="427" w:hanging="317"/>
      </w:pPr>
      <w:rPr>
        <w:rFonts w:ascii="Symbol" w:eastAsia="Symbol" w:hAnsi="Symbol" w:cs="Symbol" w:hint="default"/>
        <w:w w:val="103"/>
        <w:sz w:val="19"/>
        <w:szCs w:val="19"/>
      </w:rPr>
    </w:lvl>
    <w:lvl w:ilvl="1" w:tplc="CAF83B3E">
      <w:numFmt w:val="bullet"/>
      <w:lvlText w:val="•"/>
      <w:lvlJc w:val="left"/>
      <w:pPr>
        <w:ind w:left="1330" w:hanging="317"/>
      </w:pPr>
      <w:rPr>
        <w:rFonts w:hint="default"/>
      </w:rPr>
    </w:lvl>
    <w:lvl w:ilvl="2" w:tplc="0E24B93A">
      <w:numFmt w:val="bullet"/>
      <w:lvlText w:val="•"/>
      <w:lvlJc w:val="left"/>
      <w:pPr>
        <w:ind w:left="2241" w:hanging="317"/>
      </w:pPr>
      <w:rPr>
        <w:rFonts w:hint="default"/>
      </w:rPr>
    </w:lvl>
    <w:lvl w:ilvl="3" w:tplc="6E308354">
      <w:numFmt w:val="bullet"/>
      <w:lvlText w:val="•"/>
      <w:lvlJc w:val="left"/>
      <w:pPr>
        <w:ind w:left="3152" w:hanging="317"/>
      </w:pPr>
      <w:rPr>
        <w:rFonts w:hint="default"/>
      </w:rPr>
    </w:lvl>
    <w:lvl w:ilvl="4" w:tplc="CE2A96C6">
      <w:numFmt w:val="bullet"/>
      <w:lvlText w:val="•"/>
      <w:lvlJc w:val="left"/>
      <w:pPr>
        <w:ind w:left="4062" w:hanging="317"/>
      </w:pPr>
      <w:rPr>
        <w:rFonts w:hint="default"/>
      </w:rPr>
    </w:lvl>
    <w:lvl w:ilvl="5" w:tplc="A7EC9294">
      <w:numFmt w:val="bullet"/>
      <w:lvlText w:val="•"/>
      <w:lvlJc w:val="left"/>
      <w:pPr>
        <w:ind w:left="4973" w:hanging="317"/>
      </w:pPr>
      <w:rPr>
        <w:rFonts w:hint="default"/>
      </w:rPr>
    </w:lvl>
    <w:lvl w:ilvl="6" w:tplc="A7061E38">
      <w:numFmt w:val="bullet"/>
      <w:lvlText w:val="•"/>
      <w:lvlJc w:val="left"/>
      <w:pPr>
        <w:ind w:left="5884" w:hanging="317"/>
      </w:pPr>
      <w:rPr>
        <w:rFonts w:hint="default"/>
      </w:rPr>
    </w:lvl>
    <w:lvl w:ilvl="7" w:tplc="B25618DA">
      <w:numFmt w:val="bullet"/>
      <w:lvlText w:val="•"/>
      <w:lvlJc w:val="left"/>
      <w:pPr>
        <w:ind w:left="6794" w:hanging="317"/>
      </w:pPr>
      <w:rPr>
        <w:rFonts w:hint="default"/>
      </w:rPr>
    </w:lvl>
    <w:lvl w:ilvl="8" w:tplc="C7F44EB2">
      <w:numFmt w:val="bullet"/>
      <w:lvlText w:val="•"/>
      <w:lvlJc w:val="left"/>
      <w:pPr>
        <w:ind w:left="7705" w:hanging="317"/>
      </w:pPr>
      <w:rPr>
        <w:rFonts w:hint="default"/>
      </w:rPr>
    </w:lvl>
  </w:abstractNum>
  <w:abstractNum w:abstractNumId="81" w15:restartNumberingAfterBreak="0">
    <w:nsid w:val="4B7B6577"/>
    <w:multiLevelType w:val="hybridMultilevel"/>
    <w:tmpl w:val="8C483CD6"/>
    <w:lvl w:ilvl="0" w:tplc="3FD65A56">
      <w:numFmt w:val="bullet"/>
      <w:lvlText w:val=""/>
      <w:lvlJc w:val="left"/>
      <w:pPr>
        <w:ind w:left="470" w:hanging="360"/>
      </w:pPr>
      <w:rPr>
        <w:rFonts w:ascii="Symbol" w:eastAsia="Symbol" w:hAnsi="Symbol" w:cs="Symbol" w:hint="default"/>
        <w:w w:val="103"/>
        <w:sz w:val="19"/>
        <w:szCs w:val="19"/>
      </w:rPr>
    </w:lvl>
    <w:lvl w:ilvl="1" w:tplc="0BC6FAF2">
      <w:numFmt w:val="bullet"/>
      <w:lvlText w:val="•"/>
      <w:lvlJc w:val="left"/>
      <w:pPr>
        <w:ind w:left="1408" w:hanging="360"/>
      </w:pPr>
      <w:rPr>
        <w:rFonts w:hint="default"/>
      </w:rPr>
    </w:lvl>
    <w:lvl w:ilvl="2" w:tplc="DB946676">
      <w:numFmt w:val="bullet"/>
      <w:lvlText w:val="•"/>
      <w:lvlJc w:val="left"/>
      <w:pPr>
        <w:ind w:left="2336" w:hanging="360"/>
      </w:pPr>
      <w:rPr>
        <w:rFonts w:hint="default"/>
      </w:rPr>
    </w:lvl>
    <w:lvl w:ilvl="3" w:tplc="3F7E4C92">
      <w:numFmt w:val="bullet"/>
      <w:lvlText w:val="•"/>
      <w:lvlJc w:val="left"/>
      <w:pPr>
        <w:ind w:left="3264" w:hanging="360"/>
      </w:pPr>
      <w:rPr>
        <w:rFonts w:hint="default"/>
      </w:rPr>
    </w:lvl>
    <w:lvl w:ilvl="4" w:tplc="0B6EFF34">
      <w:numFmt w:val="bullet"/>
      <w:lvlText w:val="•"/>
      <w:lvlJc w:val="left"/>
      <w:pPr>
        <w:ind w:left="4192" w:hanging="360"/>
      </w:pPr>
      <w:rPr>
        <w:rFonts w:hint="default"/>
      </w:rPr>
    </w:lvl>
    <w:lvl w:ilvl="5" w:tplc="213078F8">
      <w:numFmt w:val="bullet"/>
      <w:lvlText w:val="•"/>
      <w:lvlJc w:val="left"/>
      <w:pPr>
        <w:ind w:left="5121" w:hanging="360"/>
      </w:pPr>
      <w:rPr>
        <w:rFonts w:hint="default"/>
      </w:rPr>
    </w:lvl>
    <w:lvl w:ilvl="6" w:tplc="4AF04AA6">
      <w:numFmt w:val="bullet"/>
      <w:lvlText w:val="•"/>
      <w:lvlJc w:val="left"/>
      <w:pPr>
        <w:ind w:left="6049" w:hanging="360"/>
      </w:pPr>
      <w:rPr>
        <w:rFonts w:hint="default"/>
      </w:rPr>
    </w:lvl>
    <w:lvl w:ilvl="7" w:tplc="16066D72">
      <w:numFmt w:val="bullet"/>
      <w:lvlText w:val="•"/>
      <w:lvlJc w:val="left"/>
      <w:pPr>
        <w:ind w:left="6977" w:hanging="360"/>
      </w:pPr>
      <w:rPr>
        <w:rFonts w:hint="default"/>
      </w:rPr>
    </w:lvl>
    <w:lvl w:ilvl="8" w:tplc="4D84461E">
      <w:numFmt w:val="bullet"/>
      <w:lvlText w:val="•"/>
      <w:lvlJc w:val="left"/>
      <w:pPr>
        <w:ind w:left="7905" w:hanging="360"/>
      </w:pPr>
      <w:rPr>
        <w:rFonts w:hint="default"/>
      </w:rPr>
    </w:lvl>
  </w:abstractNum>
  <w:abstractNum w:abstractNumId="82" w15:restartNumberingAfterBreak="0">
    <w:nsid w:val="4DF317E7"/>
    <w:multiLevelType w:val="hybridMultilevel"/>
    <w:tmpl w:val="7DDAB100"/>
    <w:lvl w:ilvl="0" w:tplc="C8AC205A">
      <w:numFmt w:val="bullet"/>
      <w:lvlText w:val=""/>
      <w:lvlJc w:val="left"/>
      <w:pPr>
        <w:ind w:left="470" w:hanging="360"/>
      </w:pPr>
      <w:rPr>
        <w:rFonts w:ascii="Symbol" w:eastAsia="Symbol" w:hAnsi="Symbol" w:cs="Symbol" w:hint="default"/>
        <w:w w:val="103"/>
        <w:sz w:val="19"/>
        <w:szCs w:val="19"/>
      </w:rPr>
    </w:lvl>
    <w:lvl w:ilvl="1" w:tplc="9CDAD868">
      <w:numFmt w:val="bullet"/>
      <w:lvlText w:val="•"/>
      <w:lvlJc w:val="left"/>
      <w:pPr>
        <w:ind w:left="1408" w:hanging="360"/>
      </w:pPr>
      <w:rPr>
        <w:rFonts w:hint="default"/>
      </w:rPr>
    </w:lvl>
    <w:lvl w:ilvl="2" w:tplc="97645B50">
      <w:numFmt w:val="bullet"/>
      <w:lvlText w:val="•"/>
      <w:lvlJc w:val="left"/>
      <w:pPr>
        <w:ind w:left="2336" w:hanging="360"/>
      </w:pPr>
      <w:rPr>
        <w:rFonts w:hint="default"/>
      </w:rPr>
    </w:lvl>
    <w:lvl w:ilvl="3" w:tplc="A79CABE6">
      <w:numFmt w:val="bullet"/>
      <w:lvlText w:val="•"/>
      <w:lvlJc w:val="left"/>
      <w:pPr>
        <w:ind w:left="3264" w:hanging="360"/>
      </w:pPr>
      <w:rPr>
        <w:rFonts w:hint="default"/>
      </w:rPr>
    </w:lvl>
    <w:lvl w:ilvl="4" w:tplc="307C709A">
      <w:numFmt w:val="bullet"/>
      <w:lvlText w:val="•"/>
      <w:lvlJc w:val="left"/>
      <w:pPr>
        <w:ind w:left="4192" w:hanging="360"/>
      </w:pPr>
      <w:rPr>
        <w:rFonts w:hint="default"/>
      </w:rPr>
    </w:lvl>
    <w:lvl w:ilvl="5" w:tplc="21BA35FA">
      <w:numFmt w:val="bullet"/>
      <w:lvlText w:val="•"/>
      <w:lvlJc w:val="left"/>
      <w:pPr>
        <w:ind w:left="5121" w:hanging="360"/>
      </w:pPr>
      <w:rPr>
        <w:rFonts w:hint="default"/>
      </w:rPr>
    </w:lvl>
    <w:lvl w:ilvl="6" w:tplc="4356A3A0">
      <w:numFmt w:val="bullet"/>
      <w:lvlText w:val="•"/>
      <w:lvlJc w:val="left"/>
      <w:pPr>
        <w:ind w:left="6049" w:hanging="360"/>
      </w:pPr>
      <w:rPr>
        <w:rFonts w:hint="default"/>
      </w:rPr>
    </w:lvl>
    <w:lvl w:ilvl="7" w:tplc="DC66BB38">
      <w:numFmt w:val="bullet"/>
      <w:lvlText w:val="•"/>
      <w:lvlJc w:val="left"/>
      <w:pPr>
        <w:ind w:left="6977" w:hanging="360"/>
      </w:pPr>
      <w:rPr>
        <w:rFonts w:hint="default"/>
      </w:rPr>
    </w:lvl>
    <w:lvl w:ilvl="8" w:tplc="F95E2876">
      <w:numFmt w:val="bullet"/>
      <w:lvlText w:val="•"/>
      <w:lvlJc w:val="left"/>
      <w:pPr>
        <w:ind w:left="7905" w:hanging="360"/>
      </w:pPr>
      <w:rPr>
        <w:rFonts w:hint="default"/>
      </w:rPr>
    </w:lvl>
  </w:abstractNum>
  <w:abstractNum w:abstractNumId="83" w15:restartNumberingAfterBreak="0">
    <w:nsid w:val="4DF452AF"/>
    <w:multiLevelType w:val="hybridMultilevel"/>
    <w:tmpl w:val="8F6A6D16"/>
    <w:lvl w:ilvl="0" w:tplc="4B38F906">
      <w:numFmt w:val="bullet"/>
      <w:lvlText w:val=""/>
      <w:lvlJc w:val="left"/>
      <w:pPr>
        <w:ind w:left="470" w:hanging="360"/>
      </w:pPr>
      <w:rPr>
        <w:rFonts w:ascii="Symbol" w:eastAsia="Symbol" w:hAnsi="Symbol" w:cs="Symbol" w:hint="default"/>
        <w:w w:val="103"/>
        <w:sz w:val="19"/>
        <w:szCs w:val="19"/>
      </w:rPr>
    </w:lvl>
    <w:lvl w:ilvl="1" w:tplc="DFA0934C">
      <w:numFmt w:val="bullet"/>
      <w:lvlText w:val="•"/>
      <w:lvlJc w:val="left"/>
      <w:pPr>
        <w:ind w:left="1384" w:hanging="360"/>
      </w:pPr>
      <w:rPr>
        <w:rFonts w:hint="default"/>
      </w:rPr>
    </w:lvl>
    <w:lvl w:ilvl="2" w:tplc="5A8ABEBC">
      <w:numFmt w:val="bullet"/>
      <w:lvlText w:val="•"/>
      <w:lvlJc w:val="left"/>
      <w:pPr>
        <w:ind w:left="2289" w:hanging="360"/>
      </w:pPr>
      <w:rPr>
        <w:rFonts w:hint="default"/>
      </w:rPr>
    </w:lvl>
    <w:lvl w:ilvl="3" w:tplc="C5087450">
      <w:numFmt w:val="bullet"/>
      <w:lvlText w:val="•"/>
      <w:lvlJc w:val="left"/>
      <w:pPr>
        <w:ind w:left="3194" w:hanging="360"/>
      </w:pPr>
      <w:rPr>
        <w:rFonts w:hint="default"/>
      </w:rPr>
    </w:lvl>
    <w:lvl w:ilvl="4" w:tplc="7C60DA38">
      <w:numFmt w:val="bullet"/>
      <w:lvlText w:val="•"/>
      <w:lvlJc w:val="left"/>
      <w:pPr>
        <w:ind w:left="4098" w:hanging="360"/>
      </w:pPr>
      <w:rPr>
        <w:rFonts w:hint="default"/>
      </w:rPr>
    </w:lvl>
    <w:lvl w:ilvl="5" w:tplc="191EE53A">
      <w:numFmt w:val="bullet"/>
      <w:lvlText w:val="•"/>
      <w:lvlJc w:val="left"/>
      <w:pPr>
        <w:ind w:left="5003" w:hanging="360"/>
      </w:pPr>
      <w:rPr>
        <w:rFonts w:hint="default"/>
      </w:rPr>
    </w:lvl>
    <w:lvl w:ilvl="6" w:tplc="7E668F88">
      <w:numFmt w:val="bullet"/>
      <w:lvlText w:val="•"/>
      <w:lvlJc w:val="left"/>
      <w:pPr>
        <w:ind w:left="5908" w:hanging="360"/>
      </w:pPr>
      <w:rPr>
        <w:rFonts w:hint="default"/>
      </w:rPr>
    </w:lvl>
    <w:lvl w:ilvl="7" w:tplc="BD98187C">
      <w:numFmt w:val="bullet"/>
      <w:lvlText w:val="•"/>
      <w:lvlJc w:val="left"/>
      <w:pPr>
        <w:ind w:left="6812" w:hanging="360"/>
      </w:pPr>
      <w:rPr>
        <w:rFonts w:hint="default"/>
      </w:rPr>
    </w:lvl>
    <w:lvl w:ilvl="8" w:tplc="C7220216">
      <w:numFmt w:val="bullet"/>
      <w:lvlText w:val="•"/>
      <w:lvlJc w:val="left"/>
      <w:pPr>
        <w:ind w:left="7717" w:hanging="360"/>
      </w:pPr>
      <w:rPr>
        <w:rFonts w:hint="default"/>
      </w:rPr>
    </w:lvl>
  </w:abstractNum>
  <w:abstractNum w:abstractNumId="84" w15:restartNumberingAfterBreak="0">
    <w:nsid w:val="507C79E9"/>
    <w:multiLevelType w:val="hybridMultilevel"/>
    <w:tmpl w:val="5BF43B62"/>
    <w:lvl w:ilvl="0" w:tplc="94BEE422">
      <w:numFmt w:val="bullet"/>
      <w:lvlText w:val=""/>
      <w:lvlJc w:val="left"/>
      <w:pPr>
        <w:ind w:left="465" w:hanging="360"/>
      </w:pPr>
      <w:rPr>
        <w:rFonts w:ascii="Symbol" w:eastAsia="Symbol" w:hAnsi="Symbol" w:cs="Symbol" w:hint="default"/>
        <w:w w:val="103"/>
        <w:sz w:val="19"/>
        <w:szCs w:val="19"/>
      </w:rPr>
    </w:lvl>
    <w:lvl w:ilvl="1" w:tplc="7F6E34E2">
      <w:numFmt w:val="bullet"/>
      <w:lvlText w:val="•"/>
      <w:lvlJc w:val="left"/>
      <w:pPr>
        <w:ind w:left="1425" w:hanging="360"/>
      </w:pPr>
      <w:rPr>
        <w:rFonts w:hint="default"/>
      </w:rPr>
    </w:lvl>
    <w:lvl w:ilvl="2" w:tplc="0C4E81F6">
      <w:numFmt w:val="bullet"/>
      <w:lvlText w:val="•"/>
      <w:lvlJc w:val="left"/>
      <w:pPr>
        <w:ind w:left="2390" w:hanging="360"/>
      </w:pPr>
      <w:rPr>
        <w:rFonts w:hint="default"/>
      </w:rPr>
    </w:lvl>
    <w:lvl w:ilvl="3" w:tplc="2F985370">
      <w:numFmt w:val="bullet"/>
      <w:lvlText w:val="•"/>
      <w:lvlJc w:val="left"/>
      <w:pPr>
        <w:ind w:left="3355" w:hanging="360"/>
      </w:pPr>
      <w:rPr>
        <w:rFonts w:hint="default"/>
      </w:rPr>
    </w:lvl>
    <w:lvl w:ilvl="4" w:tplc="473ACBDC">
      <w:numFmt w:val="bullet"/>
      <w:lvlText w:val="•"/>
      <w:lvlJc w:val="left"/>
      <w:pPr>
        <w:ind w:left="4320" w:hanging="360"/>
      </w:pPr>
      <w:rPr>
        <w:rFonts w:hint="default"/>
      </w:rPr>
    </w:lvl>
    <w:lvl w:ilvl="5" w:tplc="321224D2">
      <w:numFmt w:val="bullet"/>
      <w:lvlText w:val="•"/>
      <w:lvlJc w:val="left"/>
      <w:pPr>
        <w:ind w:left="5286" w:hanging="360"/>
      </w:pPr>
      <w:rPr>
        <w:rFonts w:hint="default"/>
      </w:rPr>
    </w:lvl>
    <w:lvl w:ilvl="6" w:tplc="FA8EE5E8">
      <w:numFmt w:val="bullet"/>
      <w:lvlText w:val="•"/>
      <w:lvlJc w:val="left"/>
      <w:pPr>
        <w:ind w:left="6251" w:hanging="360"/>
      </w:pPr>
      <w:rPr>
        <w:rFonts w:hint="default"/>
      </w:rPr>
    </w:lvl>
    <w:lvl w:ilvl="7" w:tplc="AC20CCAA">
      <w:numFmt w:val="bullet"/>
      <w:lvlText w:val="•"/>
      <w:lvlJc w:val="left"/>
      <w:pPr>
        <w:ind w:left="7216" w:hanging="360"/>
      </w:pPr>
      <w:rPr>
        <w:rFonts w:hint="default"/>
      </w:rPr>
    </w:lvl>
    <w:lvl w:ilvl="8" w:tplc="381264D8">
      <w:numFmt w:val="bullet"/>
      <w:lvlText w:val="•"/>
      <w:lvlJc w:val="left"/>
      <w:pPr>
        <w:ind w:left="8181" w:hanging="360"/>
      </w:pPr>
      <w:rPr>
        <w:rFonts w:hint="default"/>
      </w:rPr>
    </w:lvl>
  </w:abstractNum>
  <w:abstractNum w:abstractNumId="85" w15:restartNumberingAfterBreak="0">
    <w:nsid w:val="52055C10"/>
    <w:multiLevelType w:val="hybridMultilevel"/>
    <w:tmpl w:val="2C3AF1FC"/>
    <w:lvl w:ilvl="0" w:tplc="DE68F092">
      <w:numFmt w:val="bullet"/>
      <w:lvlText w:val=""/>
      <w:lvlJc w:val="left"/>
      <w:pPr>
        <w:ind w:left="470" w:hanging="360"/>
      </w:pPr>
      <w:rPr>
        <w:rFonts w:ascii="Symbol" w:eastAsia="Symbol" w:hAnsi="Symbol" w:cs="Symbol" w:hint="default"/>
        <w:w w:val="103"/>
        <w:sz w:val="19"/>
        <w:szCs w:val="19"/>
      </w:rPr>
    </w:lvl>
    <w:lvl w:ilvl="1" w:tplc="CFEC509E">
      <w:numFmt w:val="bullet"/>
      <w:lvlText w:val="•"/>
      <w:lvlJc w:val="left"/>
      <w:pPr>
        <w:ind w:left="1384" w:hanging="360"/>
      </w:pPr>
      <w:rPr>
        <w:rFonts w:hint="default"/>
      </w:rPr>
    </w:lvl>
    <w:lvl w:ilvl="2" w:tplc="564876D2">
      <w:numFmt w:val="bullet"/>
      <w:lvlText w:val="•"/>
      <w:lvlJc w:val="left"/>
      <w:pPr>
        <w:ind w:left="2289" w:hanging="360"/>
      </w:pPr>
      <w:rPr>
        <w:rFonts w:hint="default"/>
      </w:rPr>
    </w:lvl>
    <w:lvl w:ilvl="3" w:tplc="B142CCE6">
      <w:numFmt w:val="bullet"/>
      <w:lvlText w:val="•"/>
      <w:lvlJc w:val="left"/>
      <w:pPr>
        <w:ind w:left="3194" w:hanging="360"/>
      </w:pPr>
      <w:rPr>
        <w:rFonts w:hint="default"/>
      </w:rPr>
    </w:lvl>
    <w:lvl w:ilvl="4" w:tplc="4E04848E">
      <w:numFmt w:val="bullet"/>
      <w:lvlText w:val="•"/>
      <w:lvlJc w:val="left"/>
      <w:pPr>
        <w:ind w:left="4098" w:hanging="360"/>
      </w:pPr>
      <w:rPr>
        <w:rFonts w:hint="default"/>
      </w:rPr>
    </w:lvl>
    <w:lvl w:ilvl="5" w:tplc="AE243C92">
      <w:numFmt w:val="bullet"/>
      <w:lvlText w:val="•"/>
      <w:lvlJc w:val="left"/>
      <w:pPr>
        <w:ind w:left="5003" w:hanging="360"/>
      </w:pPr>
      <w:rPr>
        <w:rFonts w:hint="default"/>
      </w:rPr>
    </w:lvl>
    <w:lvl w:ilvl="6" w:tplc="FBB4D3C2">
      <w:numFmt w:val="bullet"/>
      <w:lvlText w:val="•"/>
      <w:lvlJc w:val="left"/>
      <w:pPr>
        <w:ind w:left="5908" w:hanging="360"/>
      </w:pPr>
      <w:rPr>
        <w:rFonts w:hint="default"/>
      </w:rPr>
    </w:lvl>
    <w:lvl w:ilvl="7" w:tplc="41B63236">
      <w:numFmt w:val="bullet"/>
      <w:lvlText w:val="•"/>
      <w:lvlJc w:val="left"/>
      <w:pPr>
        <w:ind w:left="6812" w:hanging="360"/>
      </w:pPr>
      <w:rPr>
        <w:rFonts w:hint="default"/>
      </w:rPr>
    </w:lvl>
    <w:lvl w:ilvl="8" w:tplc="BDAAC880">
      <w:numFmt w:val="bullet"/>
      <w:lvlText w:val="•"/>
      <w:lvlJc w:val="left"/>
      <w:pPr>
        <w:ind w:left="7717" w:hanging="360"/>
      </w:pPr>
      <w:rPr>
        <w:rFonts w:hint="default"/>
      </w:rPr>
    </w:lvl>
  </w:abstractNum>
  <w:abstractNum w:abstractNumId="86" w15:restartNumberingAfterBreak="0">
    <w:nsid w:val="54F44FB7"/>
    <w:multiLevelType w:val="hybridMultilevel"/>
    <w:tmpl w:val="C64840D0"/>
    <w:lvl w:ilvl="0" w:tplc="E94464C2">
      <w:numFmt w:val="bullet"/>
      <w:lvlText w:val=""/>
      <w:lvlJc w:val="left"/>
      <w:pPr>
        <w:ind w:left="465" w:hanging="360"/>
      </w:pPr>
      <w:rPr>
        <w:rFonts w:ascii="Symbol" w:eastAsia="Symbol" w:hAnsi="Symbol" w:cs="Symbol" w:hint="default"/>
        <w:w w:val="103"/>
        <w:sz w:val="19"/>
        <w:szCs w:val="19"/>
      </w:rPr>
    </w:lvl>
    <w:lvl w:ilvl="1" w:tplc="FBACB4FE">
      <w:numFmt w:val="bullet"/>
      <w:lvlText w:val="•"/>
      <w:lvlJc w:val="left"/>
      <w:pPr>
        <w:ind w:left="639" w:hanging="360"/>
      </w:pPr>
      <w:rPr>
        <w:rFonts w:hint="default"/>
      </w:rPr>
    </w:lvl>
    <w:lvl w:ilvl="2" w:tplc="2D50B18A">
      <w:numFmt w:val="bullet"/>
      <w:lvlText w:val="•"/>
      <w:lvlJc w:val="left"/>
      <w:pPr>
        <w:ind w:left="818" w:hanging="360"/>
      </w:pPr>
      <w:rPr>
        <w:rFonts w:hint="default"/>
      </w:rPr>
    </w:lvl>
    <w:lvl w:ilvl="3" w:tplc="AB402C22">
      <w:numFmt w:val="bullet"/>
      <w:lvlText w:val="•"/>
      <w:lvlJc w:val="left"/>
      <w:pPr>
        <w:ind w:left="997" w:hanging="360"/>
      </w:pPr>
      <w:rPr>
        <w:rFonts w:hint="default"/>
      </w:rPr>
    </w:lvl>
    <w:lvl w:ilvl="4" w:tplc="8A5EBCD2">
      <w:numFmt w:val="bullet"/>
      <w:lvlText w:val="•"/>
      <w:lvlJc w:val="left"/>
      <w:pPr>
        <w:ind w:left="1176" w:hanging="360"/>
      </w:pPr>
      <w:rPr>
        <w:rFonts w:hint="default"/>
      </w:rPr>
    </w:lvl>
    <w:lvl w:ilvl="5" w:tplc="6BBEF5EA">
      <w:numFmt w:val="bullet"/>
      <w:lvlText w:val="•"/>
      <w:lvlJc w:val="left"/>
      <w:pPr>
        <w:ind w:left="1355" w:hanging="360"/>
      </w:pPr>
      <w:rPr>
        <w:rFonts w:hint="default"/>
      </w:rPr>
    </w:lvl>
    <w:lvl w:ilvl="6" w:tplc="BFEEB262">
      <w:numFmt w:val="bullet"/>
      <w:lvlText w:val="•"/>
      <w:lvlJc w:val="left"/>
      <w:pPr>
        <w:ind w:left="1534" w:hanging="360"/>
      </w:pPr>
      <w:rPr>
        <w:rFonts w:hint="default"/>
      </w:rPr>
    </w:lvl>
    <w:lvl w:ilvl="7" w:tplc="DEB69C56">
      <w:numFmt w:val="bullet"/>
      <w:lvlText w:val="•"/>
      <w:lvlJc w:val="left"/>
      <w:pPr>
        <w:ind w:left="1713" w:hanging="360"/>
      </w:pPr>
      <w:rPr>
        <w:rFonts w:hint="default"/>
      </w:rPr>
    </w:lvl>
    <w:lvl w:ilvl="8" w:tplc="386CF638">
      <w:numFmt w:val="bullet"/>
      <w:lvlText w:val="•"/>
      <w:lvlJc w:val="left"/>
      <w:pPr>
        <w:ind w:left="1892" w:hanging="360"/>
      </w:pPr>
      <w:rPr>
        <w:rFonts w:hint="default"/>
      </w:rPr>
    </w:lvl>
  </w:abstractNum>
  <w:abstractNum w:abstractNumId="87" w15:restartNumberingAfterBreak="0">
    <w:nsid w:val="550F5B8A"/>
    <w:multiLevelType w:val="hybridMultilevel"/>
    <w:tmpl w:val="0E4AA6FC"/>
    <w:lvl w:ilvl="0" w:tplc="84703A4C">
      <w:numFmt w:val="bullet"/>
      <w:lvlText w:val=""/>
      <w:lvlJc w:val="left"/>
      <w:pPr>
        <w:ind w:left="427" w:hanging="317"/>
      </w:pPr>
      <w:rPr>
        <w:rFonts w:ascii="Symbol" w:eastAsia="Symbol" w:hAnsi="Symbol" w:cs="Symbol" w:hint="default"/>
        <w:w w:val="103"/>
        <w:sz w:val="19"/>
        <w:szCs w:val="19"/>
      </w:rPr>
    </w:lvl>
    <w:lvl w:ilvl="1" w:tplc="CB22769C">
      <w:numFmt w:val="bullet"/>
      <w:lvlText w:val="•"/>
      <w:lvlJc w:val="left"/>
      <w:pPr>
        <w:ind w:left="1330" w:hanging="317"/>
      </w:pPr>
      <w:rPr>
        <w:rFonts w:hint="default"/>
      </w:rPr>
    </w:lvl>
    <w:lvl w:ilvl="2" w:tplc="E1A2AE54">
      <w:numFmt w:val="bullet"/>
      <w:lvlText w:val="•"/>
      <w:lvlJc w:val="left"/>
      <w:pPr>
        <w:ind w:left="2241" w:hanging="317"/>
      </w:pPr>
      <w:rPr>
        <w:rFonts w:hint="default"/>
      </w:rPr>
    </w:lvl>
    <w:lvl w:ilvl="3" w:tplc="43EAD530">
      <w:numFmt w:val="bullet"/>
      <w:lvlText w:val="•"/>
      <w:lvlJc w:val="left"/>
      <w:pPr>
        <w:ind w:left="3152" w:hanging="317"/>
      </w:pPr>
      <w:rPr>
        <w:rFonts w:hint="default"/>
      </w:rPr>
    </w:lvl>
    <w:lvl w:ilvl="4" w:tplc="15A25676">
      <w:numFmt w:val="bullet"/>
      <w:lvlText w:val="•"/>
      <w:lvlJc w:val="left"/>
      <w:pPr>
        <w:ind w:left="4062" w:hanging="317"/>
      </w:pPr>
      <w:rPr>
        <w:rFonts w:hint="default"/>
      </w:rPr>
    </w:lvl>
    <w:lvl w:ilvl="5" w:tplc="4704C4F6">
      <w:numFmt w:val="bullet"/>
      <w:lvlText w:val="•"/>
      <w:lvlJc w:val="left"/>
      <w:pPr>
        <w:ind w:left="4973" w:hanging="317"/>
      </w:pPr>
      <w:rPr>
        <w:rFonts w:hint="default"/>
      </w:rPr>
    </w:lvl>
    <w:lvl w:ilvl="6" w:tplc="8DC66432">
      <w:numFmt w:val="bullet"/>
      <w:lvlText w:val="•"/>
      <w:lvlJc w:val="left"/>
      <w:pPr>
        <w:ind w:left="5884" w:hanging="317"/>
      </w:pPr>
      <w:rPr>
        <w:rFonts w:hint="default"/>
      </w:rPr>
    </w:lvl>
    <w:lvl w:ilvl="7" w:tplc="2D7C33D4">
      <w:numFmt w:val="bullet"/>
      <w:lvlText w:val="•"/>
      <w:lvlJc w:val="left"/>
      <w:pPr>
        <w:ind w:left="6794" w:hanging="317"/>
      </w:pPr>
      <w:rPr>
        <w:rFonts w:hint="default"/>
      </w:rPr>
    </w:lvl>
    <w:lvl w:ilvl="8" w:tplc="D7E89A82">
      <w:numFmt w:val="bullet"/>
      <w:lvlText w:val="•"/>
      <w:lvlJc w:val="left"/>
      <w:pPr>
        <w:ind w:left="7705" w:hanging="317"/>
      </w:pPr>
      <w:rPr>
        <w:rFonts w:hint="default"/>
      </w:rPr>
    </w:lvl>
  </w:abstractNum>
  <w:abstractNum w:abstractNumId="88" w15:restartNumberingAfterBreak="0">
    <w:nsid w:val="5538166B"/>
    <w:multiLevelType w:val="hybridMultilevel"/>
    <w:tmpl w:val="6ADE20CA"/>
    <w:lvl w:ilvl="0" w:tplc="34D67A90">
      <w:numFmt w:val="bullet"/>
      <w:lvlText w:val=""/>
      <w:lvlJc w:val="left"/>
      <w:pPr>
        <w:ind w:left="427" w:hanging="317"/>
      </w:pPr>
      <w:rPr>
        <w:rFonts w:ascii="Symbol" w:eastAsia="Symbol" w:hAnsi="Symbol" w:cs="Symbol" w:hint="default"/>
        <w:w w:val="103"/>
        <w:sz w:val="19"/>
        <w:szCs w:val="19"/>
      </w:rPr>
    </w:lvl>
    <w:lvl w:ilvl="1" w:tplc="4B603250">
      <w:numFmt w:val="bullet"/>
      <w:lvlText w:val="•"/>
      <w:lvlJc w:val="left"/>
      <w:pPr>
        <w:ind w:left="1330" w:hanging="317"/>
      </w:pPr>
      <w:rPr>
        <w:rFonts w:hint="default"/>
      </w:rPr>
    </w:lvl>
    <w:lvl w:ilvl="2" w:tplc="A9B61776">
      <w:numFmt w:val="bullet"/>
      <w:lvlText w:val="•"/>
      <w:lvlJc w:val="left"/>
      <w:pPr>
        <w:ind w:left="2241" w:hanging="317"/>
      </w:pPr>
      <w:rPr>
        <w:rFonts w:hint="default"/>
      </w:rPr>
    </w:lvl>
    <w:lvl w:ilvl="3" w:tplc="5080BA0E">
      <w:numFmt w:val="bullet"/>
      <w:lvlText w:val="•"/>
      <w:lvlJc w:val="left"/>
      <w:pPr>
        <w:ind w:left="3152" w:hanging="317"/>
      </w:pPr>
      <w:rPr>
        <w:rFonts w:hint="default"/>
      </w:rPr>
    </w:lvl>
    <w:lvl w:ilvl="4" w:tplc="65165D14">
      <w:numFmt w:val="bullet"/>
      <w:lvlText w:val="•"/>
      <w:lvlJc w:val="left"/>
      <w:pPr>
        <w:ind w:left="4062" w:hanging="317"/>
      </w:pPr>
      <w:rPr>
        <w:rFonts w:hint="default"/>
      </w:rPr>
    </w:lvl>
    <w:lvl w:ilvl="5" w:tplc="633425B0">
      <w:numFmt w:val="bullet"/>
      <w:lvlText w:val="•"/>
      <w:lvlJc w:val="left"/>
      <w:pPr>
        <w:ind w:left="4973" w:hanging="317"/>
      </w:pPr>
      <w:rPr>
        <w:rFonts w:hint="default"/>
      </w:rPr>
    </w:lvl>
    <w:lvl w:ilvl="6" w:tplc="3056C990">
      <w:numFmt w:val="bullet"/>
      <w:lvlText w:val="•"/>
      <w:lvlJc w:val="left"/>
      <w:pPr>
        <w:ind w:left="5884" w:hanging="317"/>
      </w:pPr>
      <w:rPr>
        <w:rFonts w:hint="default"/>
      </w:rPr>
    </w:lvl>
    <w:lvl w:ilvl="7" w:tplc="507070E6">
      <w:numFmt w:val="bullet"/>
      <w:lvlText w:val="•"/>
      <w:lvlJc w:val="left"/>
      <w:pPr>
        <w:ind w:left="6794" w:hanging="317"/>
      </w:pPr>
      <w:rPr>
        <w:rFonts w:hint="default"/>
      </w:rPr>
    </w:lvl>
    <w:lvl w:ilvl="8" w:tplc="81922E1E">
      <w:numFmt w:val="bullet"/>
      <w:lvlText w:val="•"/>
      <w:lvlJc w:val="left"/>
      <w:pPr>
        <w:ind w:left="7705" w:hanging="317"/>
      </w:pPr>
      <w:rPr>
        <w:rFonts w:hint="default"/>
      </w:rPr>
    </w:lvl>
  </w:abstractNum>
  <w:abstractNum w:abstractNumId="89" w15:restartNumberingAfterBreak="0">
    <w:nsid w:val="55515996"/>
    <w:multiLevelType w:val="hybridMultilevel"/>
    <w:tmpl w:val="39886534"/>
    <w:lvl w:ilvl="0" w:tplc="F9C0F748">
      <w:numFmt w:val="bullet"/>
      <w:lvlText w:val=""/>
      <w:lvlJc w:val="left"/>
      <w:pPr>
        <w:ind w:left="427" w:hanging="317"/>
      </w:pPr>
      <w:rPr>
        <w:rFonts w:ascii="Symbol" w:eastAsia="Symbol" w:hAnsi="Symbol" w:cs="Symbol" w:hint="default"/>
        <w:w w:val="103"/>
        <w:sz w:val="19"/>
        <w:szCs w:val="19"/>
      </w:rPr>
    </w:lvl>
    <w:lvl w:ilvl="1" w:tplc="0D7A7F4A">
      <w:numFmt w:val="bullet"/>
      <w:lvlText w:val="•"/>
      <w:lvlJc w:val="left"/>
      <w:pPr>
        <w:ind w:left="1330" w:hanging="317"/>
      </w:pPr>
      <w:rPr>
        <w:rFonts w:hint="default"/>
      </w:rPr>
    </w:lvl>
    <w:lvl w:ilvl="2" w:tplc="C608B69C">
      <w:numFmt w:val="bullet"/>
      <w:lvlText w:val="•"/>
      <w:lvlJc w:val="left"/>
      <w:pPr>
        <w:ind w:left="2241" w:hanging="317"/>
      </w:pPr>
      <w:rPr>
        <w:rFonts w:hint="default"/>
      </w:rPr>
    </w:lvl>
    <w:lvl w:ilvl="3" w:tplc="FF8C548A">
      <w:numFmt w:val="bullet"/>
      <w:lvlText w:val="•"/>
      <w:lvlJc w:val="left"/>
      <w:pPr>
        <w:ind w:left="3152" w:hanging="317"/>
      </w:pPr>
      <w:rPr>
        <w:rFonts w:hint="default"/>
      </w:rPr>
    </w:lvl>
    <w:lvl w:ilvl="4" w:tplc="95D201C6">
      <w:numFmt w:val="bullet"/>
      <w:lvlText w:val="•"/>
      <w:lvlJc w:val="left"/>
      <w:pPr>
        <w:ind w:left="4062" w:hanging="317"/>
      </w:pPr>
      <w:rPr>
        <w:rFonts w:hint="default"/>
      </w:rPr>
    </w:lvl>
    <w:lvl w:ilvl="5" w:tplc="55CCE530">
      <w:numFmt w:val="bullet"/>
      <w:lvlText w:val="•"/>
      <w:lvlJc w:val="left"/>
      <w:pPr>
        <w:ind w:left="4973" w:hanging="317"/>
      </w:pPr>
      <w:rPr>
        <w:rFonts w:hint="default"/>
      </w:rPr>
    </w:lvl>
    <w:lvl w:ilvl="6" w:tplc="08CCB362">
      <w:numFmt w:val="bullet"/>
      <w:lvlText w:val="•"/>
      <w:lvlJc w:val="left"/>
      <w:pPr>
        <w:ind w:left="5884" w:hanging="317"/>
      </w:pPr>
      <w:rPr>
        <w:rFonts w:hint="default"/>
      </w:rPr>
    </w:lvl>
    <w:lvl w:ilvl="7" w:tplc="61E62212">
      <w:numFmt w:val="bullet"/>
      <w:lvlText w:val="•"/>
      <w:lvlJc w:val="left"/>
      <w:pPr>
        <w:ind w:left="6794" w:hanging="317"/>
      </w:pPr>
      <w:rPr>
        <w:rFonts w:hint="default"/>
      </w:rPr>
    </w:lvl>
    <w:lvl w:ilvl="8" w:tplc="82BCE436">
      <w:numFmt w:val="bullet"/>
      <w:lvlText w:val="•"/>
      <w:lvlJc w:val="left"/>
      <w:pPr>
        <w:ind w:left="7705" w:hanging="317"/>
      </w:pPr>
      <w:rPr>
        <w:rFonts w:hint="default"/>
      </w:rPr>
    </w:lvl>
  </w:abstractNum>
  <w:abstractNum w:abstractNumId="90" w15:restartNumberingAfterBreak="0">
    <w:nsid w:val="562929E7"/>
    <w:multiLevelType w:val="hybridMultilevel"/>
    <w:tmpl w:val="58ECCBEE"/>
    <w:lvl w:ilvl="0" w:tplc="E1063EE6">
      <w:numFmt w:val="bullet"/>
      <w:lvlText w:val=""/>
      <w:lvlJc w:val="left"/>
      <w:pPr>
        <w:ind w:left="427" w:hanging="317"/>
      </w:pPr>
      <w:rPr>
        <w:rFonts w:ascii="Symbol" w:eastAsia="Symbol" w:hAnsi="Symbol" w:cs="Symbol" w:hint="default"/>
        <w:w w:val="103"/>
        <w:sz w:val="19"/>
        <w:szCs w:val="19"/>
      </w:rPr>
    </w:lvl>
    <w:lvl w:ilvl="1" w:tplc="870E911C">
      <w:numFmt w:val="bullet"/>
      <w:lvlText w:val="•"/>
      <w:lvlJc w:val="left"/>
      <w:pPr>
        <w:ind w:left="1330" w:hanging="317"/>
      </w:pPr>
      <w:rPr>
        <w:rFonts w:hint="default"/>
      </w:rPr>
    </w:lvl>
    <w:lvl w:ilvl="2" w:tplc="58948070">
      <w:numFmt w:val="bullet"/>
      <w:lvlText w:val="•"/>
      <w:lvlJc w:val="left"/>
      <w:pPr>
        <w:ind w:left="2241" w:hanging="317"/>
      </w:pPr>
      <w:rPr>
        <w:rFonts w:hint="default"/>
      </w:rPr>
    </w:lvl>
    <w:lvl w:ilvl="3" w:tplc="AC165150">
      <w:numFmt w:val="bullet"/>
      <w:lvlText w:val="•"/>
      <w:lvlJc w:val="left"/>
      <w:pPr>
        <w:ind w:left="3152" w:hanging="317"/>
      </w:pPr>
      <w:rPr>
        <w:rFonts w:hint="default"/>
      </w:rPr>
    </w:lvl>
    <w:lvl w:ilvl="4" w:tplc="C060B5E2">
      <w:numFmt w:val="bullet"/>
      <w:lvlText w:val="•"/>
      <w:lvlJc w:val="left"/>
      <w:pPr>
        <w:ind w:left="4062" w:hanging="317"/>
      </w:pPr>
      <w:rPr>
        <w:rFonts w:hint="default"/>
      </w:rPr>
    </w:lvl>
    <w:lvl w:ilvl="5" w:tplc="21786726">
      <w:numFmt w:val="bullet"/>
      <w:lvlText w:val="•"/>
      <w:lvlJc w:val="left"/>
      <w:pPr>
        <w:ind w:left="4973" w:hanging="317"/>
      </w:pPr>
      <w:rPr>
        <w:rFonts w:hint="default"/>
      </w:rPr>
    </w:lvl>
    <w:lvl w:ilvl="6" w:tplc="86D0382C">
      <w:numFmt w:val="bullet"/>
      <w:lvlText w:val="•"/>
      <w:lvlJc w:val="left"/>
      <w:pPr>
        <w:ind w:left="5884" w:hanging="317"/>
      </w:pPr>
      <w:rPr>
        <w:rFonts w:hint="default"/>
      </w:rPr>
    </w:lvl>
    <w:lvl w:ilvl="7" w:tplc="47BE9C42">
      <w:numFmt w:val="bullet"/>
      <w:lvlText w:val="•"/>
      <w:lvlJc w:val="left"/>
      <w:pPr>
        <w:ind w:left="6794" w:hanging="317"/>
      </w:pPr>
      <w:rPr>
        <w:rFonts w:hint="default"/>
      </w:rPr>
    </w:lvl>
    <w:lvl w:ilvl="8" w:tplc="268627B8">
      <w:numFmt w:val="bullet"/>
      <w:lvlText w:val="•"/>
      <w:lvlJc w:val="left"/>
      <w:pPr>
        <w:ind w:left="7705" w:hanging="317"/>
      </w:pPr>
      <w:rPr>
        <w:rFonts w:hint="default"/>
      </w:rPr>
    </w:lvl>
  </w:abstractNum>
  <w:abstractNum w:abstractNumId="91" w15:restartNumberingAfterBreak="0">
    <w:nsid w:val="56B06ED9"/>
    <w:multiLevelType w:val="hybridMultilevel"/>
    <w:tmpl w:val="7A1266F8"/>
    <w:lvl w:ilvl="0" w:tplc="D4F43E1A">
      <w:numFmt w:val="bullet"/>
      <w:lvlText w:val=""/>
      <w:lvlJc w:val="left"/>
      <w:pPr>
        <w:ind w:left="462" w:hanging="357"/>
      </w:pPr>
      <w:rPr>
        <w:rFonts w:ascii="Symbol" w:eastAsia="Symbol" w:hAnsi="Symbol" w:cs="Symbol" w:hint="default"/>
        <w:w w:val="103"/>
        <w:sz w:val="19"/>
        <w:szCs w:val="19"/>
      </w:rPr>
    </w:lvl>
    <w:lvl w:ilvl="1" w:tplc="F7F2C4A6">
      <w:numFmt w:val="bullet"/>
      <w:lvlText w:val="•"/>
      <w:lvlJc w:val="left"/>
      <w:pPr>
        <w:ind w:left="688" w:hanging="357"/>
      </w:pPr>
      <w:rPr>
        <w:rFonts w:hint="default"/>
      </w:rPr>
    </w:lvl>
    <w:lvl w:ilvl="2" w:tplc="BB846B3A">
      <w:numFmt w:val="bullet"/>
      <w:lvlText w:val="•"/>
      <w:lvlJc w:val="left"/>
      <w:pPr>
        <w:ind w:left="916" w:hanging="357"/>
      </w:pPr>
      <w:rPr>
        <w:rFonts w:hint="default"/>
      </w:rPr>
    </w:lvl>
    <w:lvl w:ilvl="3" w:tplc="2B00069C">
      <w:numFmt w:val="bullet"/>
      <w:lvlText w:val="•"/>
      <w:lvlJc w:val="left"/>
      <w:pPr>
        <w:ind w:left="1144" w:hanging="357"/>
      </w:pPr>
      <w:rPr>
        <w:rFonts w:hint="default"/>
      </w:rPr>
    </w:lvl>
    <w:lvl w:ilvl="4" w:tplc="C8E0F6BC">
      <w:numFmt w:val="bullet"/>
      <w:lvlText w:val="•"/>
      <w:lvlJc w:val="left"/>
      <w:pPr>
        <w:ind w:left="1372" w:hanging="357"/>
      </w:pPr>
      <w:rPr>
        <w:rFonts w:hint="default"/>
      </w:rPr>
    </w:lvl>
    <w:lvl w:ilvl="5" w:tplc="2D88276C">
      <w:numFmt w:val="bullet"/>
      <w:lvlText w:val="•"/>
      <w:lvlJc w:val="left"/>
      <w:pPr>
        <w:ind w:left="1600" w:hanging="357"/>
      </w:pPr>
      <w:rPr>
        <w:rFonts w:hint="default"/>
      </w:rPr>
    </w:lvl>
    <w:lvl w:ilvl="6" w:tplc="A92EF566">
      <w:numFmt w:val="bullet"/>
      <w:lvlText w:val="•"/>
      <w:lvlJc w:val="left"/>
      <w:pPr>
        <w:ind w:left="1828" w:hanging="357"/>
      </w:pPr>
      <w:rPr>
        <w:rFonts w:hint="default"/>
      </w:rPr>
    </w:lvl>
    <w:lvl w:ilvl="7" w:tplc="EDAA37A0">
      <w:numFmt w:val="bullet"/>
      <w:lvlText w:val="•"/>
      <w:lvlJc w:val="left"/>
      <w:pPr>
        <w:ind w:left="2056" w:hanging="357"/>
      </w:pPr>
      <w:rPr>
        <w:rFonts w:hint="default"/>
      </w:rPr>
    </w:lvl>
    <w:lvl w:ilvl="8" w:tplc="6270F592">
      <w:numFmt w:val="bullet"/>
      <w:lvlText w:val="•"/>
      <w:lvlJc w:val="left"/>
      <w:pPr>
        <w:ind w:left="2284" w:hanging="357"/>
      </w:pPr>
      <w:rPr>
        <w:rFonts w:hint="default"/>
      </w:rPr>
    </w:lvl>
  </w:abstractNum>
  <w:abstractNum w:abstractNumId="92" w15:restartNumberingAfterBreak="0">
    <w:nsid w:val="5ADF6FB3"/>
    <w:multiLevelType w:val="hybridMultilevel"/>
    <w:tmpl w:val="EE340374"/>
    <w:lvl w:ilvl="0" w:tplc="DA7687D2">
      <w:numFmt w:val="bullet"/>
      <w:lvlText w:val=""/>
      <w:lvlJc w:val="left"/>
      <w:pPr>
        <w:ind w:left="464" w:hanging="360"/>
      </w:pPr>
      <w:rPr>
        <w:rFonts w:ascii="Symbol" w:eastAsia="Symbol" w:hAnsi="Symbol" w:cs="Symbol" w:hint="default"/>
        <w:w w:val="103"/>
        <w:sz w:val="19"/>
        <w:szCs w:val="19"/>
      </w:rPr>
    </w:lvl>
    <w:lvl w:ilvl="1" w:tplc="FBFA6822">
      <w:numFmt w:val="bullet"/>
      <w:lvlText w:val="•"/>
      <w:lvlJc w:val="left"/>
      <w:pPr>
        <w:ind w:left="993" w:hanging="360"/>
      </w:pPr>
      <w:rPr>
        <w:rFonts w:hint="default"/>
      </w:rPr>
    </w:lvl>
    <w:lvl w:ilvl="2" w:tplc="670CCC58">
      <w:numFmt w:val="bullet"/>
      <w:lvlText w:val="•"/>
      <w:lvlJc w:val="left"/>
      <w:pPr>
        <w:ind w:left="1526" w:hanging="360"/>
      </w:pPr>
      <w:rPr>
        <w:rFonts w:hint="default"/>
      </w:rPr>
    </w:lvl>
    <w:lvl w:ilvl="3" w:tplc="D7462388">
      <w:numFmt w:val="bullet"/>
      <w:lvlText w:val="•"/>
      <w:lvlJc w:val="left"/>
      <w:pPr>
        <w:ind w:left="2059" w:hanging="360"/>
      </w:pPr>
      <w:rPr>
        <w:rFonts w:hint="default"/>
      </w:rPr>
    </w:lvl>
    <w:lvl w:ilvl="4" w:tplc="87B816D4">
      <w:numFmt w:val="bullet"/>
      <w:lvlText w:val="•"/>
      <w:lvlJc w:val="left"/>
      <w:pPr>
        <w:ind w:left="2593" w:hanging="360"/>
      </w:pPr>
      <w:rPr>
        <w:rFonts w:hint="default"/>
      </w:rPr>
    </w:lvl>
    <w:lvl w:ilvl="5" w:tplc="0436D44E">
      <w:numFmt w:val="bullet"/>
      <w:lvlText w:val="•"/>
      <w:lvlJc w:val="left"/>
      <w:pPr>
        <w:ind w:left="3126" w:hanging="360"/>
      </w:pPr>
      <w:rPr>
        <w:rFonts w:hint="default"/>
      </w:rPr>
    </w:lvl>
    <w:lvl w:ilvl="6" w:tplc="5FEAFFFA">
      <w:numFmt w:val="bullet"/>
      <w:lvlText w:val="•"/>
      <w:lvlJc w:val="left"/>
      <w:pPr>
        <w:ind w:left="3659" w:hanging="360"/>
      </w:pPr>
      <w:rPr>
        <w:rFonts w:hint="default"/>
      </w:rPr>
    </w:lvl>
    <w:lvl w:ilvl="7" w:tplc="D248A5BE">
      <w:numFmt w:val="bullet"/>
      <w:lvlText w:val="•"/>
      <w:lvlJc w:val="left"/>
      <w:pPr>
        <w:ind w:left="4193" w:hanging="360"/>
      </w:pPr>
      <w:rPr>
        <w:rFonts w:hint="default"/>
      </w:rPr>
    </w:lvl>
    <w:lvl w:ilvl="8" w:tplc="110C62AA">
      <w:numFmt w:val="bullet"/>
      <w:lvlText w:val="•"/>
      <w:lvlJc w:val="left"/>
      <w:pPr>
        <w:ind w:left="4726" w:hanging="360"/>
      </w:pPr>
      <w:rPr>
        <w:rFonts w:hint="default"/>
      </w:rPr>
    </w:lvl>
  </w:abstractNum>
  <w:abstractNum w:abstractNumId="93" w15:restartNumberingAfterBreak="0">
    <w:nsid w:val="5B522BC1"/>
    <w:multiLevelType w:val="hybridMultilevel"/>
    <w:tmpl w:val="AD567194"/>
    <w:lvl w:ilvl="0" w:tplc="D5E0A780">
      <w:numFmt w:val="bullet"/>
      <w:lvlText w:val=""/>
      <w:lvlJc w:val="left"/>
      <w:pPr>
        <w:ind w:left="470" w:hanging="360"/>
      </w:pPr>
      <w:rPr>
        <w:rFonts w:ascii="Symbol" w:eastAsia="Symbol" w:hAnsi="Symbol" w:cs="Symbol" w:hint="default"/>
        <w:w w:val="103"/>
        <w:sz w:val="19"/>
        <w:szCs w:val="19"/>
      </w:rPr>
    </w:lvl>
    <w:lvl w:ilvl="1" w:tplc="781414BC">
      <w:numFmt w:val="bullet"/>
      <w:lvlText w:val="o"/>
      <w:lvlJc w:val="left"/>
      <w:pPr>
        <w:ind w:left="830" w:hanging="360"/>
      </w:pPr>
      <w:rPr>
        <w:rFonts w:ascii="Courier New" w:eastAsia="Courier New" w:hAnsi="Courier New" w:cs="Courier New" w:hint="default"/>
        <w:w w:val="103"/>
        <w:sz w:val="19"/>
        <w:szCs w:val="19"/>
      </w:rPr>
    </w:lvl>
    <w:lvl w:ilvl="2" w:tplc="E19E0EDA">
      <w:numFmt w:val="bullet"/>
      <w:lvlText w:val="•"/>
      <w:lvlJc w:val="left"/>
      <w:pPr>
        <w:ind w:left="1805" w:hanging="360"/>
      </w:pPr>
      <w:rPr>
        <w:rFonts w:hint="default"/>
      </w:rPr>
    </w:lvl>
    <w:lvl w:ilvl="3" w:tplc="111226D8">
      <w:numFmt w:val="bullet"/>
      <w:lvlText w:val="•"/>
      <w:lvlJc w:val="left"/>
      <w:pPr>
        <w:ind w:left="2770" w:hanging="360"/>
      </w:pPr>
      <w:rPr>
        <w:rFonts w:hint="default"/>
      </w:rPr>
    </w:lvl>
    <w:lvl w:ilvl="4" w:tplc="6F663676">
      <w:numFmt w:val="bullet"/>
      <w:lvlText w:val="•"/>
      <w:lvlJc w:val="left"/>
      <w:pPr>
        <w:ind w:left="3735" w:hanging="360"/>
      </w:pPr>
      <w:rPr>
        <w:rFonts w:hint="default"/>
      </w:rPr>
    </w:lvl>
    <w:lvl w:ilvl="5" w:tplc="D160DFBE">
      <w:numFmt w:val="bullet"/>
      <w:lvlText w:val="•"/>
      <w:lvlJc w:val="left"/>
      <w:pPr>
        <w:ind w:left="4700" w:hanging="360"/>
      </w:pPr>
      <w:rPr>
        <w:rFonts w:hint="default"/>
      </w:rPr>
    </w:lvl>
    <w:lvl w:ilvl="6" w:tplc="FF2E22F0">
      <w:numFmt w:val="bullet"/>
      <w:lvlText w:val="•"/>
      <w:lvlJc w:val="left"/>
      <w:pPr>
        <w:ind w:left="5666" w:hanging="360"/>
      </w:pPr>
      <w:rPr>
        <w:rFonts w:hint="default"/>
      </w:rPr>
    </w:lvl>
    <w:lvl w:ilvl="7" w:tplc="DB666944">
      <w:numFmt w:val="bullet"/>
      <w:lvlText w:val="•"/>
      <w:lvlJc w:val="left"/>
      <w:pPr>
        <w:ind w:left="6631" w:hanging="360"/>
      </w:pPr>
      <w:rPr>
        <w:rFonts w:hint="default"/>
      </w:rPr>
    </w:lvl>
    <w:lvl w:ilvl="8" w:tplc="C5284376">
      <w:numFmt w:val="bullet"/>
      <w:lvlText w:val="•"/>
      <w:lvlJc w:val="left"/>
      <w:pPr>
        <w:ind w:left="7596" w:hanging="360"/>
      </w:pPr>
      <w:rPr>
        <w:rFonts w:hint="default"/>
      </w:rPr>
    </w:lvl>
  </w:abstractNum>
  <w:abstractNum w:abstractNumId="94" w15:restartNumberingAfterBreak="0">
    <w:nsid w:val="5E5B1F34"/>
    <w:multiLevelType w:val="hybridMultilevel"/>
    <w:tmpl w:val="ACEEA604"/>
    <w:lvl w:ilvl="0" w:tplc="70DE7226">
      <w:numFmt w:val="bullet"/>
      <w:lvlText w:val=""/>
      <w:lvlJc w:val="left"/>
      <w:pPr>
        <w:ind w:left="470" w:hanging="360"/>
      </w:pPr>
      <w:rPr>
        <w:rFonts w:ascii="Symbol" w:eastAsia="Symbol" w:hAnsi="Symbol" w:cs="Symbol" w:hint="default"/>
        <w:w w:val="103"/>
        <w:sz w:val="19"/>
        <w:szCs w:val="19"/>
      </w:rPr>
    </w:lvl>
    <w:lvl w:ilvl="1" w:tplc="81484AA4">
      <w:numFmt w:val="bullet"/>
      <w:lvlText w:val="•"/>
      <w:lvlJc w:val="left"/>
      <w:pPr>
        <w:ind w:left="867" w:hanging="360"/>
      </w:pPr>
      <w:rPr>
        <w:rFonts w:hint="default"/>
      </w:rPr>
    </w:lvl>
    <w:lvl w:ilvl="2" w:tplc="FF6A33F4">
      <w:numFmt w:val="bullet"/>
      <w:lvlText w:val="•"/>
      <w:lvlJc w:val="left"/>
      <w:pPr>
        <w:ind w:left="1255" w:hanging="360"/>
      </w:pPr>
      <w:rPr>
        <w:rFonts w:hint="default"/>
      </w:rPr>
    </w:lvl>
    <w:lvl w:ilvl="3" w:tplc="8C180914">
      <w:numFmt w:val="bullet"/>
      <w:lvlText w:val="•"/>
      <w:lvlJc w:val="left"/>
      <w:pPr>
        <w:ind w:left="1642" w:hanging="360"/>
      </w:pPr>
      <w:rPr>
        <w:rFonts w:hint="default"/>
      </w:rPr>
    </w:lvl>
    <w:lvl w:ilvl="4" w:tplc="800820C6">
      <w:numFmt w:val="bullet"/>
      <w:lvlText w:val="•"/>
      <w:lvlJc w:val="left"/>
      <w:pPr>
        <w:ind w:left="2030" w:hanging="360"/>
      </w:pPr>
      <w:rPr>
        <w:rFonts w:hint="default"/>
      </w:rPr>
    </w:lvl>
    <w:lvl w:ilvl="5" w:tplc="A94AE7B0">
      <w:numFmt w:val="bullet"/>
      <w:lvlText w:val="•"/>
      <w:lvlJc w:val="left"/>
      <w:pPr>
        <w:ind w:left="2418" w:hanging="360"/>
      </w:pPr>
      <w:rPr>
        <w:rFonts w:hint="default"/>
      </w:rPr>
    </w:lvl>
    <w:lvl w:ilvl="6" w:tplc="F64679C4">
      <w:numFmt w:val="bullet"/>
      <w:lvlText w:val="•"/>
      <w:lvlJc w:val="left"/>
      <w:pPr>
        <w:ind w:left="2805" w:hanging="360"/>
      </w:pPr>
      <w:rPr>
        <w:rFonts w:hint="default"/>
      </w:rPr>
    </w:lvl>
    <w:lvl w:ilvl="7" w:tplc="D5AE0574">
      <w:numFmt w:val="bullet"/>
      <w:lvlText w:val="•"/>
      <w:lvlJc w:val="left"/>
      <w:pPr>
        <w:ind w:left="3193" w:hanging="360"/>
      </w:pPr>
      <w:rPr>
        <w:rFonts w:hint="default"/>
      </w:rPr>
    </w:lvl>
    <w:lvl w:ilvl="8" w:tplc="75800C10">
      <w:numFmt w:val="bullet"/>
      <w:lvlText w:val="•"/>
      <w:lvlJc w:val="left"/>
      <w:pPr>
        <w:ind w:left="3580" w:hanging="360"/>
      </w:pPr>
      <w:rPr>
        <w:rFonts w:hint="default"/>
      </w:rPr>
    </w:lvl>
  </w:abstractNum>
  <w:abstractNum w:abstractNumId="95" w15:restartNumberingAfterBreak="0">
    <w:nsid w:val="60543D0F"/>
    <w:multiLevelType w:val="hybridMultilevel"/>
    <w:tmpl w:val="4FB8B51A"/>
    <w:lvl w:ilvl="0" w:tplc="47002E16">
      <w:numFmt w:val="bullet"/>
      <w:lvlText w:val=""/>
      <w:lvlJc w:val="left"/>
      <w:pPr>
        <w:ind w:left="470" w:hanging="360"/>
      </w:pPr>
      <w:rPr>
        <w:rFonts w:ascii="Symbol" w:eastAsia="Symbol" w:hAnsi="Symbol" w:cs="Symbol" w:hint="default"/>
        <w:w w:val="103"/>
        <w:sz w:val="19"/>
        <w:szCs w:val="19"/>
      </w:rPr>
    </w:lvl>
    <w:lvl w:ilvl="1" w:tplc="6356523E">
      <w:numFmt w:val="bullet"/>
      <w:lvlText w:val="•"/>
      <w:lvlJc w:val="left"/>
      <w:pPr>
        <w:ind w:left="1408" w:hanging="360"/>
      </w:pPr>
      <w:rPr>
        <w:rFonts w:hint="default"/>
      </w:rPr>
    </w:lvl>
    <w:lvl w:ilvl="2" w:tplc="8D7897DA">
      <w:numFmt w:val="bullet"/>
      <w:lvlText w:val="•"/>
      <w:lvlJc w:val="left"/>
      <w:pPr>
        <w:ind w:left="2336" w:hanging="360"/>
      </w:pPr>
      <w:rPr>
        <w:rFonts w:hint="default"/>
      </w:rPr>
    </w:lvl>
    <w:lvl w:ilvl="3" w:tplc="FDF68CE6">
      <w:numFmt w:val="bullet"/>
      <w:lvlText w:val="•"/>
      <w:lvlJc w:val="left"/>
      <w:pPr>
        <w:ind w:left="3264" w:hanging="360"/>
      </w:pPr>
      <w:rPr>
        <w:rFonts w:hint="default"/>
      </w:rPr>
    </w:lvl>
    <w:lvl w:ilvl="4" w:tplc="D63AFE8E">
      <w:numFmt w:val="bullet"/>
      <w:lvlText w:val="•"/>
      <w:lvlJc w:val="left"/>
      <w:pPr>
        <w:ind w:left="4192" w:hanging="360"/>
      </w:pPr>
      <w:rPr>
        <w:rFonts w:hint="default"/>
      </w:rPr>
    </w:lvl>
    <w:lvl w:ilvl="5" w:tplc="2CF07698">
      <w:numFmt w:val="bullet"/>
      <w:lvlText w:val="•"/>
      <w:lvlJc w:val="left"/>
      <w:pPr>
        <w:ind w:left="5121" w:hanging="360"/>
      </w:pPr>
      <w:rPr>
        <w:rFonts w:hint="default"/>
      </w:rPr>
    </w:lvl>
    <w:lvl w:ilvl="6" w:tplc="3C60C17A">
      <w:numFmt w:val="bullet"/>
      <w:lvlText w:val="•"/>
      <w:lvlJc w:val="left"/>
      <w:pPr>
        <w:ind w:left="6049" w:hanging="360"/>
      </w:pPr>
      <w:rPr>
        <w:rFonts w:hint="default"/>
      </w:rPr>
    </w:lvl>
    <w:lvl w:ilvl="7" w:tplc="177C3C32">
      <w:numFmt w:val="bullet"/>
      <w:lvlText w:val="•"/>
      <w:lvlJc w:val="left"/>
      <w:pPr>
        <w:ind w:left="6977" w:hanging="360"/>
      </w:pPr>
      <w:rPr>
        <w:rFonts w:hint="default"/>
      </w:rPr>
    </w:lvl>
    <w:lvl w:ilvl="8" w:tplc="DB4233B6">
      <w:numFmt w:val="bullet"/>
      <w:lvlText w:val="•"/>
      <w:lvlJc w:val="left"/>
      <w:pPr>
        <w:ind w:left="7905" w:hanging="360"/>
      </w:pPr>
      <w:rPr>
        <w:rFonts w:hint="default"/>
      </w:rPr>
    </w:lvl>
  </w:abstractNum>
  <w:abstractNum w:abstractNumId="96" w15:restartNumberingAfterBreak="0">
    <w:nsid w:val="60590CA1"/>
    <w:multiLevelType w:val="hybridMultilevel"/>
    <w:tmpl w:val="664CF3FE"/>
    <w:lvl w:ilvl="0" w:tplc="186089F2">
      <w:numFmt w:val="bullet"/>
      <w:lvlText w:val=""/>
      <w:lvlJc w:val="left"/>
      <w:pPr>
        <w:ind w:left="461" w:hanging="357"/>
      </w:pPr>
      <w:rPr>
        <w:rFonts w:ascii="Symbol" w:eastAsia="Symbol" w:hAnsi="Symbol" w:cs="Symbol" w:hint="default"/>
        <w:w w:val="103"/>
        <w:sz w:val="19"/>
        <w:szCs w:val="19"/>
      </w:rPr>
    </w:lvl>
    <w:lvl w:ilvl="1" w:tplc="AC2C7FBE">
      <w:numFmt w:val="bullet"/>
      <w:lvlText w:val="•"/>
      <w:lvlJc w:val="left"/>
      <w:pPr>
        <w:ind w:left="993" w:hanging="357"/>
      </w:pPr>
      <w:rPr>
        <w:rFonts w:hint="default"/>
      </w:rPr>
    </w:lvl>
    <w:lvl w:ilvl="2" w:tplc="19088820">
      <w:numFmt w:val="bullet"/>
      <w:lvlText w:val="•"/>
      <w:lvlJc w:val="left"/>
      <w:pPr>
        <w:ind w:left="1526" w:hanging="357"/>
      </w:pPr>
      <w:rPr>
        <w:rFonts w:hint="default"/>
      </w:rPr>
    </w:lvl>
    <w:lvl w:ilvl="3" w:tplc="C028680E">
      <w:numFmt w:val="bullet"/>
      <w:lvlText w:val="•"/>
      <w:lvlJc w:val="left"/>
      <w:pPr>
        <w:ind w:left="2059" w:hanging="357"/>
      </w:pPr>
      <w:rPr>
        <w:rFonts w:hint="default"/>
      </w:rPr>
    </w:lvl>
    <w:lvl w:ilvl="4" w:tplc="607606EC">
      <w:numFmt w:val="bullet"/>
      <w:lvlText w:val="•"/>
      <w:lvlJc w:val="left"/>
      <w:pPr>
        <w:ind w:left="2593" w:hanging="357"/>
      </w:pPr>
      <w:rPr>
        <w:rFonts w:hint="default"/>
      </w:rPr>
    </w:lvl>
    <w:lvl w:ilvl="5" w:tplc="E0107526">
      <w:numFmt w:val="bullet"/>
      <w:lvlText w:val="•"/>
      <w:lvlJc w:val="left"/>
      <w:pPr>
        <w:ind w:left="3126" w:hanging="357"/>
      </w:pPr>
      <w:rPr>
        <w:rFonts w:hint="default"/>
      </w:rPr>
    </w:lvl>
    <w:lvl w:ilvl="6" w:tplc="BFF46F86">
      <w:numFmt w:val="bullet"/>
      <w:lvlText w:val="•"/>
      <w:lvlJc w:val="left"/>
      <w:pPr>
        <w:ind w:left="3659" w:hanging="357"/>
      </w:pPr>
      <w:rPr>
        <w:rFonts w:hint="default"/>
      </w:rPr>
    </w:lvl>
    <w:lvl w:ilvl="7" w:tplc="D79039A2">
      <w:numFmt w:val="bullet"/>
      <w:lvlText w:val="•"/>
      <w:lvlJc w:val="left"/>
      <w:pPr>
        <w:ind w:left="4193" w:hanging="357"/>
      </w:pPr>
      <w:rPr>
        <w:rFonts w:hint="default"/>
      </w:rPr>
    </w:lvl>
    <w:lvl w:ilvl="8" w:tplc="6C0467D2">
      <w:numFmt w:val="bullet"/>
      <w:lvlText w:val="•"/>
      <w:lvlJc w:val="left"/>
      <w:pPr>
        <w:ind w:left="4726" w:hanging="357"/>
      </w:pPr>
      <w:rPr>
        <w:rFonts w:hint="default"/>
      </w:rPr>
    </w:lvl>
  </w:abstractNum>
  <w:abstractNum w:abstractNumId="97" w15:restartNumberingAfterBreak="0">
    <w:nsid w:val="61BE77FC"/>
    <w:multiLevelType w:val="hybridMultilevel"/>
    <w:tmpl w:val="AF025438"/>
    <w:lvl w:ilvl="0" w:tplc="3C0CED04">
      <w:numFmt w:val="bullet"/>
      <w:lvlText w:val=""/>
      <w:lvlJc w:val="left"/>
      <w:pPr>
        <w:ind w:left="470" w:hanging="360"/>
      </w:pPr>
      <w:rPr>
        <w:rFonts w:ascii="Symbol" w:eastAsia="Symbol" w:hAnsi="Symbol" w:cs="Symbol" w:hint="default"/>
        <w:w w:val="103"/>
        <w:sz w:val="19"/>
        <w:szCs w:val="19"/>
      </w:rPr>
    </w:lvl>
    <w:lvl w:ilvl="1" w:tplc="3598659A">
      <w:numFmt w:val="bullet"/>
      <w:lvlText w:val="o"/>
      <w:lvlJc w:val="left"/>
      <w:pPr>
        <w:ind w:left="926" w:hanging="357"/>
      </w:pPr>
      <w:rPr>
        <w:rFonts w:ascii="Courier New" w:eastAsia="Courier New" w:hAnsi="Courier New" w:cs="Courier New" w:hint="default"/>
        <w:w w:val="103"/>
        <w:sz w:val="19"/>
        <w:szCs w:val="19"/>
      </w:rPr>
    </w:lvl>
    <w:lvl w:ilvl="2" w:tplc="5FEC4032">
      <w:numFmt w:val="bullet"/>
      <w:lvlText w:val="•"/>
      <w:lvlJc w:val="left"/>
      <w:pPr>
        <w:ind w:left="1876" w:hanging="357"/>
      </w:pPr>
      <w:rPr>
        <w:rFonts w:hint="default"/>
      </w:rPr>
    </w:lvl>
    <w:lvl w:ilvl="3" w:tplc="2E40DABE">
      <w:numFmt w:val="bullet"/>
      <w:lvlText w:val="•"/>
      <w:lvlJc w:val="left"/>
      <w:pPr>
        <w:ind w:left="2832" w:hanging="357"/>
      </w:pPr>
      <w:rPr>
        <w:rFonts w:hint="default"/>
      </w:rPr>
    </w:lvl>
    <w:lvl w:ilvl="4" w:tplc="3C027BB0">
      <w:numFmt w:val="bullet"/>
      <w:lvlText w:val="•"/>
      <w:lvlJc w:val="left"/>
      <w:pPr>
        <w:ind w:left="3789" w:hanging="357"/>
      </w:pPr>
      <w:rPr>
        <w:rFonts w:hint="default"/>
      </w:rPr>
    </w:lvl>
    <w:lvl w:ilvl="5" w:tplc="7CB6E3EA">
      <w:numFmt w:val="bullet"/>
      <w:lvlText w:val="•"/>
      <w:lvlJc w:val="left"/>
      <w:pPr>
        <w:ind w:left="4745" w:hanging="357"/>
      </w:pPr>
      <w:rPr>
        <w:rFonts w:hint="default"/>
      </w:rPr>
    </w:lvl>
    <w:lvl w:ilvl="6" w:tplc="1CA8C70C">
      <w:numFmt w:val="bullet"/>
      <w:lvlText w:val="•"/>
      <w:lvlJc w:val="left"/>
      <w:pPr>
        <w:ind w:left="5701" w:hanging="357"/>
      </w:pPr>
      <w:rPr>
        <w:rFonts w:hint="default"/>
      </w:rPr>
    </w:lvl>
    <w:lvl w:ilvl="7" w:tplc="AC2CBFBE">
      <w:numFmt w:val="bullet"/>
      <w:lvlText w:val="•"/>
      <w:lvlJc w:val="left"/>
      <w:pPr>
        <w:ind w:left="6658" w:hanging="357"/>
      </w:pPr>
      <w:rPr>
        <w:rFonts w:hint="default"/>
      </w:rPr>
    </w:lvl>
    <w:lvl w:ilvl="8" w:tplc="79AE6808">
      <w:numFmt w:val="bullet"/>
      <w:lvlText w:val="•"/>
      <w:lvlJc w:val="left"/>
      <w:pPr>
        <w:ind w:left="7614" w:hanging="357"/>
      </w:pPr>
      <w:rPr>
        <w:rFonts w:hint="default"/>
      </w:rPr>
    </w:lvl>
  </w:abstractNum>
  <w:abstractNum w:abstractNumId="98" w15:restartNumberingAfterBreak="0">
    <w:nsid w:val="61FD70C3"/>
    <w:multiLevelType w:val="hybridMultilevel"/>
    <w:tmpl w:val="75EC6A02"/>
    <w:lvl w:ilvl="0" w:tplc="4732D142">
      <w:numFmt w:val="bullet"/>
      <w:lvlText w:val=""/>
      <w:lvlJc w:val="left"/>
      <w:pPr>
        <w:ind w:left="470" w:hanging="360"/>
      </w:pPr>
      <w:rPr>
        <w:rFonts w:ascii="Symbol" w:eastAsia="Symbol" w:hAnsi="Symbol" w:cs="Symbol" w:hint="default"/>
        <w:w w:val="103"/>
        <w:sz w:val="19"/>
        <w:szCs w:val="19"/>
      </w:rPr>
    </w:lvl>
    <w:lvl w:ilvl="1" w:tplc="922C0AF2">
      <w:numFmt w:val="bullet"/>
      <w:lvlText w:val="•"/>
      <w:lvlJc w:val="left"/>
      <w:pPr>
        <w:ind w:left="1408" w:hanging="360"/>
      </w:pPr>
      <w:rPr>
        <w:rFonts w:hint="default"/>
      </w:rPr>
    </w:lvl>
    <w:lvl w:ilvl="2" w:tplc="66AA070C">
      <w:numFmt w:val="bullet"/>
      <w:lvlText w:val="•"/>
      <w:lvlJc w:val="left"/>
      <w:pPr>
        <w:ind w:left="2336" w:hanging="360"/>
      </w:pPr>
      <w:rPr>
        <w:rFonts w:hint="default"/>
      </w:rPr>
    </w:lvl>
    <w:lvl w:ilvl="3" w:tplc="D6CE6000">
      <w:numFmt w:val="bullet"/>
      <w:lvlText w:val="•"/>
      <w:lvlJc w:val="left"/>
      <w:pPr>
        <w:ind w:left="3264" w:hanging="360"/>
      </w:pPr>
      <w:rPr>
        <w:rFonts w:hint="default"/>
      </w:rPr>
    </w:lvl>
    <w:lvl w:ilvl="4" w:tplc="365CEF4C">
      <w:numFmt w:val="bullet"/>
      <w:lvlText w:val="•"/>
      <w:lvlJc w:val="left"/>
      <w:pPr>
        <w:ind w:left="4192" w:hanging="360"/>
      </w:pPr>
      <w:rPr>
        <w:rFonts w:hint="default"/>
      </w:rPr>
    </w:lvl>
    <w:lvl w:ilvl="5" w:tplc="D73CA32C">
      <w:numFmt w:val="bullet"/>
      <w:lvlText w:val="•"/>
      <w:lvlJc w:val="left"/>
      <w:pPr>
        <w:ind w:left="5121" w:hanging="360"/>
      </w:pPr>
      <w:rPr>
        <w:rFonts w:hint="default"/>
      </w:rPr>
    </w:lvl>
    <w:lvl w:ilvl="6" w:tplc="40403176">
      <w:numFmt w:val="bullet"/>
      <w:lvlText w:val="•"/>
      <w:lvlJc w:val="left"/>
      <w:pPr>
        <w:ind w:left="6049" w:hanging="360"/>
      </w:pPr>
      <w:rPr>
        <w:rFonts w:hint="default"/>
      </w:rPr>
    </w:lvl>
    <w:lvl w:ilvl="7" w:tplc="F2401696">
      <w:numFmt w:val="bullet"/>
      <w:lvlText w:val="•"/>
      <w:lvlJc w:val="left"/>
      <w:pPr>
        <w:ind w:left="6977" w:hanging="360"/>
      </w:pPr>
      <w:rPr>
        <w:rFonts w:hint="default"/>
      </w:rPr>
    </w:lvl>
    <w:lvl w:ilvl="8" w:tplc="E6AACB48">
      <w:numFmt w:val="bullet"/>
      <w:lvlText w:val="•"/>
      <w:lvlJc w:val="left"/>
      <w:pPr>
        <w:ind w:left="7905" w:hanging="360"/>
      </w:pPr>
      <w:rPr>
        <w:rFonts w:hint="default"/>
      </w:rPr>
    </w:lvl>
  </w:abstractNum>
  <w:abstractNum w:abstractNumId="99" w15:restartNumberingAfterBreak="0">
    <w:nsid w:val="63D943FE"/>
    <w:multiLevelType w:val="hybridMultilevel"/>
    <w:tmpl w:val="7834D02E"/>
    <w:lvl w:ilvl="0" w:tplc="0E84228E">
      <w:numFmt w:val="bullet"/>
      <w:lvlText w:val=""/>
      <w:lvlJc w:val="left"/>
      <w:pPr>
        <w:ind w:left="470" w:hanging="360"/>
      </w:pPr>
      <w:rPr>
        <w:rFonts w:ascii="Symbol" w:eastAsia="Symbol" w:hAnsi="Symbol" w:cs="Symbol" w:hint="default"/>
        <w:w w:val="103"/>
        <w:sz w:val="19"/>
        <w:szCs w:val="19"/>
      </w:rPr>
    </w:lvl>
    <w:lvl w:ilvl="1" w:tplc="25209336">
      <w:numFmt w:val="bullet"/>
      <w:lvlText w:val="•"/>
      <w:lvlJc w:val="left"/>
      <w:pPr>
        <w:ind w:left="1408" w:hanging="360"/>
      </w:pPr>
      <w:rPr>
        <w:rFonts w:hint="default"/>
      </w:rPr>
    </w:lvl>
    <w:lvl w:ilvl="2" w:tplc="234EABC0">
      <w:numFmt w:val="bullet"/>
      <w:lvlText w:val="•"/>
      <w:lvlJc w:val="left"/>
      <w:pPr>
        <w:ind w:left="2336" w:hanging="360"/>
      </w:pPr>
      <w:rPr>
        <w:rFonts w:hint="default"/>
      </w:rPr>
    </w:lvl>
    <w:lvl w:ilvl="3" w:tplc="7712717E">
      <w:numFmt w:val="bullet"/>
      <w:lvlText w:val="•"/>
      <w:lvlJc w:val="left"/>
      <w:pPr>
        <w:ind w:left="3264" w:hanging="360"/>
      </w:pPr>
      <w:rPr>
        <w:rFonts w:hint="default"/>
      </w:rPr>
    </w:lvl>
    <w:lvl w:ilvl="4" w:tplc="8B803126">
      <w:numFmt w:val="bullet"/>
      <w:lvlText w:val="•"/>
      <w:lvlJc w:val="left"/>
      <w:pPr>
        <w:ind w:left="4192" w:hanging="360"/>
      </w:pPr>
      <w:rPr>
        <w:rFonts w:hint="default"/>
      </w:rPr>
    </w:lvl>
    <w:lvl w:ilvl="5" w:tplc="06E851B4">
      <w:numFmt w:val="bullet"/>
      <w:lvlText w:val="•"/>
      <w:lvlJc w:val="left"/>
      <w:pPr>
        <w:ind w:left="5121" w:hanging="360"/>
      </w:pPr>
      <w:rPr>
        <w:rFonts w:hint="default"/>
      </w:rPr>
    </w:lvl>
    <w:lvl w:ilvl="6" w:tplc="FD426E3A">
      <w:numFmt w:val="bullet"/>
      <w:lvlText w:val="•"/>
      <w:lvlJc w:val="left"/>
      <w:pPr>
        <w:ind w:left="6049" w:hanging="360"/>
      </w:pPr>
      <w:rPr>
        <w:rFonts w:hint="default"/>
      </w:rPr>
    </w:lvl>
    <w:lvl w:ilvl="7" w:tplc="4888F312">
      <w:numFmt w:val="bullet"/>
      <w:lvlText w:val="•"/>
      <w:lvlJc w:val="left"/>
      <w:pPr>
        <w:ind w:left="6977" w:hanging="360"/>
      </w:pPr>
      <w:rPr>
        <w:rFonts w:hint="default"/>
      </w:rPr>
    </w:lvl>
    <w:lvl w:ilvl="8" w:tplc="BBA8C6A8">
      <w:numFmt w:val="bullet"/>
      <w:lvlText w:val="•"/>
      <w:lvlJc w:val="left"/>
      <w:pPr>
        <w:ind w:left="7905" w:hanging="360"/>
      </w:pPr>
      <w:rPr>
        <w:rFonts w:hint="default"/>
      </w:rPr>
    </w:lvl>
  </w:abstractNum>
  <w:abstractNum w:abstractNumId="100" w15:restartNumberingAfterBreak="0">
    <w:nsid w:val="63DE191C"/>
    <w:multiLevelType w:val="hybridMultilevel"/>
    <w:tmpl w:val="16923B0A"/>
    <w:lvl w:ilvl="0" w:tplc="52922672">
      <w:numFmt w:val="bullet"/>
      <w:lvlText w:val="•"/>
      <w:lvlJc w:val="left"/>
      <w:pPr>
        <w:ind w:left="462" w:hanging="357"/>
      </w:pPr>
      <w:rPr>
        <w:rFonts w:ascii="Arial" w:eastAsia="Arial" w:hAnsi="Arial" w:cs="Arial" w:hint="default"/>
        <w:b/>
        <w:bCs/>
        <w:w w:val="103"/>
        <w:sz w:val="19"/>
        <w:szCs w:val="19"/>
      </w:rPr>
    </w:lvl>
    <w:lvl w:ilvl="1" w:tplc="5DBC5D2A">
      <w:numFmt w:val="bullet"/>
      <w:lvlText w:val="•"/>
      <w:lvlJc w:val="left"/>
      <w:pPr>
        <w:ind w:left="1425" w:hanging="357"/>
      </w:pPr>
      <w:rPr>
        <w:rFonts w:hint="default"/>
      </w:rPr>
    </w:lvl>
    <w:lvl w:ilvl="2" w:tplc="9EEAE64C">
      <w:numFmt w:val="bullet"/>
      <w:lvlText w:val="•"/>
      <w:lvlJc w:val="left"/>
      <w:pPr>
        <w:ind w:left="2390" w:hanging="357"/>
      </w:pPr>
      <w:rPr>
        <w:rFonts w:hint="default"/>
      </w:rPr>
    </w:lvl>
    <w:lvl w:ilvl="3" w:tplc="A4AE21A8">
      <w:numFmt w:val="bullet"/>
      <w:lvlText w:val="•"/>
      <w:lvlJc w:val="left"/>
      <w:pPr>
        <w:ind w:left="3355" w:hanging="357"/>
      </w:pPr>
      <w:rPr>
        <w:rFonts w:hint="default"/>
      </w:rPr>
    </w:lvl>
    <w:lvl w:ilvl="4" w:tplc="8AAE9D12">
      <w:numFmt w:val="bullet"/>
      <w:lvlText w:val="•"/>
      <w:lvlJc w:val="left"/>
      <w:pPr>
        <w:ind w:left="4320" w:hanging="357"/>
      </w:pPr>
      <w:rPr>
        <w:rFonts w:hint="default"/>
      </w:rPr>
    </w:lvl>
    <w:lvl w:ilvl="5" w:tplc="590CB166">
      <w:numFmt w:val="bullet"/>
      <w:lvlText w:val="•"/>
      <w:lvlJc w:val="left"/>
      <w:pPr>
        <w:ind w:left="5286" w:hanging="357"/>
      </w:pPr>
      <w:rPr>
        <w:rFonts w:hint="default"/>
      </w:rPr>
    </w:lvl>
    <w:lvl w:ilvl="6" w:tplc="4DDA0382">
      <w:numFmt w:val="bullet"/>
      <w:lvlText w:val="•"/>
      <w:lvlJc w:val="left"/>
      <w:pPr>
        <w:ind w:left="6251" w:hanging="357"/>
      </w:pPr>
      <w:rPr>
        <w:rFonts w:hint="default"/>
      </w:rPr>
    </w:lvl>
    <w:lvl w:ilvl="7" w:tplc="F37A269C">
      <w:numFmt w:val="bullet"/>
      <w:lvlText w:val="•"/>
      <w:lvlJc w:val="left"/>
      <w:pPr>
        <w:ind w:left="7216" w:hanging="357"/>
      </w:pPr>
      <w:rPr>
        <w:rFonts w:hint="default"/>
      </w:rPr>
    </w:lvl>
    <w:lvl w:ilvl="8" w:tplc="950ECEEA">
      <w:numFmt w:val="bullet"/>
      <w:lvlText w:val="•"/>
      <w:lvlJc w:val="left"/>
      <w:pPr>
        <w:ind w:left="8181" w:hanging="357"/>
      </w:pPr>
      <w:rPr>
        <w:rFonts w:hint="default"/>
      </w:rPr>
    </w:lvl>
  </w:abstractNum>
  <w:abstractNum w:abstractNumId="101" w15:restartNumberingAfterBreak="0">
    <w:nsid w:val="64BE1BE7"/>
    <w:multiLevelType w:val="hybridMultilevel"/>
    <w:tmpl w:val="5C10694C"/>
    <w:lvl w:ilvl="0" w:tplc="24449B26">
      <w:numFmt w:val="bullet"/>
      <w:lvlText w:val=""/>
      <w:lvlJc w:val="left"/>
      <w:pPr>
        <w:ind w:left="465" w:hanging="360"/>
      </w:pPr>
      <w:rPr>
        <w:rFonts w:ascii="Symbol" w:eastAsia="Symbol" w:hAnsi="Symbol" w:cs="Symbol" w:hint="default"/>
        <w:w w:val="103"/>
        <w:sz w:val="19"/>
        <w:szCs w:val="19"/>
      </w:rPr>
    </w:lvl>
    <w:lvl w:ilvl="1" w:tplc="A4001026">
      <w:numFmt w:val="bullet"/>
      <w:lvlText w:val="•"/>
      <w:lvlJc w:val="left"/>
      <w:pPr>
        <w:ind w:left="1425" w:hanging="360"/>
      </w:pPr>
      <w:rPr>
        <w:rFonts w:hint="default"/>
      </w:rPr>
    </w:lvl>
    <w:lvl w:ilvl="2" w:tplc="F08E08F0">
      <w:numFmt w:val="bullet"/>
      <w:lvlText w:val="•"/>
      <w:lvlJc w:val="left"/>
      <w:pPr>
        <w:ind w:left="2390" w:hanging="360"/>
      </w:pPr>
      <w:rPr>
        <w:rFonts w:hint="default"/>
      </w:rPr>
    </w:lvl>
    <w:lvl w:ilvl="3" w:tplc="44B4208E">
      <w:numFmt w:val="bullet"/>
      <w:lvlText w:val="•"/>
      <w:lvlJc w:val="left"/>
      <w:pPr>
        <w:ind w:left="3355" w:hanging="360"/>
      </w:pPr>
      <w:rPr>
        <w:rFonts w:hint="default"/>
      </w:rPr>
    </w:lvl>
    <w:lvl w:ilvl="4" w:tplc="2B024CB2">
      <w:numFmt w:val="bullet"/>
      <w:lvlText w:val="•"/>
      <w:lvlJc w:val="left"/>
      <w:pPr>
        <w:ind w:left="4320" w:hanging="360"/>
      </w:pPr>
      <w:rPr>
        <w:rFonts w:hint="default"/>
      </w:rPr>
    </w:lvl>
    <w:lvl w:ilvl="5" w:tplc="AAFC2B68">
      <w:numFmt w:val="bullet"/>
      <w:lvlText w:val="•"/>
      <w:lvlJc w:val="left"/>
      <w:pPr>
        <w:ind w:left="5286" w:hanging="360"/>
      </w:pPr>
      <w:rPr>
        <w:rFonts w:hint="default"/>
      </w:rPr>
    </w:lvl>
    <w:lvl w:ilvl="6" w:tplc="8E9425BC">
      <w:numFmt w:val="bullet"/>
      <w:lvlText w:val="•"/>
      <w:lvlJc w:val="left"/>
      <w:pPr>
        <w:ind w:left="6251" w:hanging="360"/>
      </w:pPr>
      <w:rPr>
        <w:rFonts w:hint="default"/>
      </w:rPr>
    </w:lvl>
    <w:lvl w:ilvl="7" w:tplc="1108C6EC">
      <w:numFmt w:val="bullet"/>
      <w:lvlText w:val="•"/>
      <w:lvlJc w:val="left"/>
      <w:pPr>
        <w:ind w:left="7216" w:hanging="360"/>
      </w:pPr>
      <w:rPr>
        <w:rFonts w:hint="default"/>
      </w:rPr>
    </w:lvl>
    <w:lvl w:ilvl="8" w:tplc="D8EEE452">
      <w:numFmt w:val="bullet"/>
      <w:lvlText w:val="•"/>
      <w:lvlJc w:val="left"/>
      <w:pPr>
        <w:ind w:left="8181" w:hanging="360"/>
      </w:pPr>
      <w:rPr>
        <w:rFonts w:hint="default"/>
      </w:rPr>
    </w:lvl>
  </w:abstractNum>
  <w:abstractNum w:abstractNumId="102" w15:restartNumberingAfterBreak="0">
    <w:nsid w:val="659A1FDC"/>
    <w:multiLevelType w:val="hybridMultilevel"/>
    <w:tmpl w:val="D78475E6"/>
    <w:lvl w:ilvl="0" w:tplc="60667D28">
      <w:numFmt w:val="bullet"/>
      <w:lvlText w:val=""/>
      <w:lvlJc w:val="left"/>
      <w:pPr>
        <w:ind w:left="427" w:hanging="317"/>
      </w:pPr>
      <w:rPr>
        <w:rFonts w:ascii="Symbol" w:eastAsia="Symbol" w:hAnsi="Symbol" w:cs="Symbol" w:hint="default"/>
        <w:w w:val="103"/>
        <w:sz w:val="19"/>
        <w:szCs w:val="19"/>
      </w:rPr>
    </w:lvl>
    <w:lvl w:ilvl="1" w:tplc="EC5293C8">
      <w:numFmt w:val="bullet"/>
      <w:lvlText w:val="•"/>
      <w:lvlJc w:val="left"/>
      <w:pPr>
        <w:ind w:left="1330" w:hanging="317"/>
      </w:pPr>
      <w:rPr>
        <w:rFonts w:hint="default"/>
      </w:rPr>
    </w:lvl>
    <w:lvl w:ilvl="2" w:tplc="C874854A">
      <w:numFmt w:val="bullet"/>
      <w:lvlText w:val="•"/>
      <w:lvlJc w:val="left"/>
      <w:pPr>
        <w:ind w:left="2241" w:hanging="317"/>
      </w:pPr>
      <w:rPr>
        <w:rFonts w:hint="default"/>
      </w:rPr>
    </w:lvl>
    <w:lvl w:ilvl="3" w:tplc="F086CA22">
      <w:numFmt w:val="bullet"/>
      <w:lvlText w:val="•"/>
      <w:lvlJc w:val="left"/>
      <w:pPr>
        <w:ind w:left="3152" w:hanging="317"/>
      </w:pPr>
      <w:rPr>
        <w:rFonts w:hint="default"/>
      </w:rPr>
    </w:lvl>
    <w:lvl w:ilvl="4" w:tplc="1EB68E2E">
      <w:numFmt w:val="bullet"/>
      <w:lvlText w:val="•"/>
      <w:lvlJc w:val="left"/>
      <w:pPr>
        <w:ind w:left="4062" w:hanging="317"/>
      </w:pPr>
      <w:rPr>
        <w:rFonts w:hint="default"/>
      </w:rPr>
    </w:lvl>
    <w:lvl w:ilvl="5" w:tplc="0930D894">
      <w:numFmt w:val="bullet"/>
      <w:lvlText w:val="•"/>
      <w:lvlJc w:val="left"/>
      <w:pPr>
        <w:ind w:left="4973" w:hanging="317"/>
      </w:pPr>
      <w:rPr>
        <w:rFonts w:hint="default"/>
      </w:rPr>
    </w:lvl>
    <w:lvl w:ilvl="6" w:tplc="48460A9A">
      <w:numFmt w:val="bullet"/>
      <w:lvlText w:val="•"/>
      <w:lvlJc w:val="left"/>
      <w:pPr>
        <w:ind w:left="5884" w:hanging="317"/>
      </w:pPr>
      <w:rPr>
        <w:rFonts w:hint="default"/>
      </w:rPr>
    </w:lvl>
    <w:lvl w:ilvl="7" w:tplc="1D64FF02">
      <w:numFmt w:val="bullet"/>
      <w:lvlText w:val="•"/>
      <w:lvlJc w:val="left"/>
      <w:pPr>
        <w:ind w:left="6794" w:hanging="317"/>
      </w:pPr>
      <w:rPr>
        <w:rFonts w:hint="default"/>
      </w:rPr>
    </w:lvl>
    <w:lvl w:ilvl="8" w:tplc="B24ED120">
      <w:numFmt w:val="bullet"/>
      <w:lvlText w:val="•"/>
      <w:lvlJc w:val="left"/>
      <w:pPr>
        <w:ind w:left="7705" w:hanging="317"/>
      </w:pPr>
      <w:rPr>
        <w:rFonts w:hint="default"/>
      </w:rPr>
    </w:lvl>
  </w:abstractNum>
  <w:abstractNum w:abstractNumId="103" w15:restartNumberingAfterBreak="0">
    <w:nsid w:val="663427BA"/>
    <w:multiLevelType w:val="hybridMultilevel"/>
    <w:tmpl w:val="6AC8114C"/>
    <w:lvl w:ilvl="0" w:tplc="F496A792">
      <w:numFmt w:val="bullet"/>
      <w:lvlText w:val=""/>
      <w:lvlJc w:val="left"/>
      <w:pPr>
        <w:ind w:left="464" w:hanging="360"/>
      </w:pPr>
      <w:rPr>
        <w:rFonts w:ascii="Symbol" w:eastAsia="Symbol" w:hAnsi="Symbol" w:cs="Symbol" w:hint="default"/>
        <w:w w:val="103"/>
        <w:sz w:val="19"/>
        <w:szCs w:val="19"/>
      </w:rPr>
    </w:lvl>
    <w:lvl w:ilvl="1" w:tplc="3182B2FA">
      <w:numFmt w:val="bullet"/>
      <w:lvlText w:val="•"/>
      <w:lvlJc w:val="left"/>
      <w:pPr>
        <w:ind w:left="993" w:hanging="360"/>
      </w:pPr>
      <w:rPr>
        <w:rFonts w:hint="default"/>
      </w:rPr>
    </w:lvl>
    <w:lvl w:ilvl="2" w:tplc="994C6930">
      <w:numFmt w:val="bullet"/>
      <w:lvlText w:val="•"/>
      <w:lvlJc w:val="left"/>
      <w:pPr>
        <w:ind w:left="1526" w:hanging="360"/>
      </w:pPr>
      <w:rPr>
        <w:rFonts w:hint="default"/>
      </w:rPr>
    </w:lvl>
    <w:lvl w:ilvl="3" w:tplc="B2366FCE">
      <w:numFmt w:val="bullet"/>
      <w:lvlText w:val="•"/>
      <w:lvlJc w:val="left"/>
      <w:pPr>
        <w:ind w:left="2059" w:hanging="360"/>
      </w:pPr>
      <w:rPr>
        <w:rFonts w:hint="default"/>
      </w:rPr>
    </w:lvl>
    <w:lvl w:ilvl="4" w:tplc="C1149BE6">
      <w:numFmt w:val="bullet"/>
      <w:lvlText w:val="•"/>
      <w:lvlJc w:val="left"/>
      <w:pPr>
        <w:ind w:left="2593" w:hanging="360"/>
      </w:pPr>
      <w:rPr>
        <w:rFonts w:hint="default"/>
      </w:rPr>
    </w:lvl>
    <w:lvl w:ilvl="5" w:tplc="5134BC14">
      <w:numFmt w:val="bullet"/>
      <w:lvlText w:val="•"/>
      <w:lvlJc w:val="left"/>
      <w:pPr>
        <w:ind w:left="3126" w:hanging="360"/>
      </w:pPr>
      <w:rPr>
        <w:rFonts w:hint="default"/>
      </w:rPr>
    </w:lvl>
    <w:lvl w:ilvl="6" w:tplc="FEC8EEFC">
      <w:numFmt w:val="bullet"/>
      <w:lvlText w:val="•"/>
      <w:lvlJc w:val="left"/>
      <w:pPr>
        <w:ind w:left="3659" w:hanging="360"/>
      </w:pPr>
      <w:rPr>
        <w:rFonts w:hint="default"/>
      </w:rPr>
    </w:lvl>
    <w:lvl w:ilvl="7" w:tplc="F2DC7EC6">
      <w:numFmt w:val="bullet"/>
      <w:lvlText w:val="•"/>
      <w:lvlJc w:val="left"/>
      <w:pPr>
        <w:ind w:left="4193" w:hanging="360"/>
      </w:pPr>
      <w:rPr>
        <w:rFonts w:hint="default"/>
      </w:rPr>
    </w:lvl>
    <w:lvl w:ilvl="8" w:tplc="04E2C082">
      <w:numFmt w:val="bullet"/>
      <w:lvlText w:val="•"/>
      <w:lvlJc w:val="left"/>
      <w:pPr>
        <w:ind w:left="4726" w:hanging="360"/>
      </w:pPr>
      <w:rPr>
        <w:rFonts w:hint="default"/>
      </w:rPr>
    </w:lvl>
  </w:abstractNum>
  <w:abstractNum w:abstractNumId="104" w15:restartNumberingAfterBreak="0">
    <w:nsid w:val="6649579A"/>
    <w:multiLevelType w:val="hybridMultilevel"/>
    <w:tmpl w:val="E8E43A7C"/>
    <w:lvl w:ilvl="0" w:tplc="0910FC42">
      <w:numFmt w:val="bullet"/>
      <w:lvlText w:val=""/>
      <w:lvlJc w:val="left"/>
      <w:pPr>
        <w:ind w:left="651" w:hanging="357"/>
      </w:pPr>
      <w:rPr>
        <w:rFonts w:ascii="Symbol" w:eastAsia="Symbol" w:hAnsi="Symbol" w:cs="Symbol" w:hint="default"/>
        <w:w w:val="103"/>
        <w:sz w:val="19"/>
        <w:szCs w:val="19"/>
      </w:rPr>
    </w:lvl>
    <w:lvl w:ilvl="1" w:tplc="13A06700">
      <w:numFmt w:val="bullet"/>
      <w:lvlText w:val="•"/>
      <w:lvlJc w:val="left"/>
      <w:pPr>
        <w:ind w:left="1134" w:hanging="357"/>
      </w:pPr>
      <w:rPr>
        <w:rFonts w:hint="default"/>
      </w:rPr>
    </w:lvl>
    <w:lvl w:ilvl="2" w:tplc="E7148BCE">
      <w:numFmt w:val="bullet"/>
      <w:lvlText w:val="•"/>
      <w:lvlJc w:val="left"/>
      <w:pPr>
        <w:ind w:left="1609" w:hanging="357"/>
      </w:pPr>
      <w:rPr>
        <w:rFonts w:hint="default"/>
      </w:rPr>
    </w:lvl>
    <w:lvl w:ilvl="3" w:tplc="C0806F40">
      <w:numFmt w:val="bullet"/>
      <w:lvlText w:val="•"/>
      <w:lvlJc w:val="left"/>
      <w:pPr>
        <w:ind w:left="2084" w:hanging="357"/>
      </w:pPr>
      <w:rPr>
        <w:rFonts w:hint="default"/>
      </w:rPr>
    </w:lvl>
    <w:lvl w:ilvl="4" w:tplc="4EDCD50E">
      <w:numFmt w:val="bullet"/>
      <w:lvlText w:val="•"/>
      <w:lvlJc w:val="left"/>
      <w:pPr>
        <w:ind w:left="2558" w:hanging="357"/>
      </w:pPr>
      <w:rPr>
        <w:rFonts w:hint="default"/>
      </w:rPr>
    </w:lvl>
    <w:lvl w:ilvl="5" w:tplc="1EA60E04">
      <w:numFmt w:val="bullet"/>
      <w:lvlText w:val="•"/>
      <w:lvlJc w:val="left"/>
      <w:pPr>
        <w:ind w:left="3033" w:hanging="357"/>
      </w:pPr>
      <w:rPr>
        <w:rFonts w:hint="default"/>
      </w:rPr>
    </w:lvl>
    <w:lvl w:ilvl="6" w:tplc="150858BE">
      <w:numFmt w:val="bullet"/>
      <w:lvlText w:val="•"/>
      <w:lvlJc w:val="left"/>
      <w:pPr>
        <w:ind w:left="3508" w:hanging="357"/>
      </w:pPr>
      <w:rPr>
        <w:rFonts w:hint="default"/>
      </w:rPr>
    </w:lvl>
    <w:lvl w:ilvl="7" w:tplc="F1640B1A">
      <w:numFmt w:val="bullet"/>
      <w:lvlText w:val="•"/>
      <w:lvlJc w:val="left"/>
      <w:pPr>
        <w:ind w:left="3982" w:hanging="357"/>
      </w:pPr>
      <w:rPr>
        <w:rFonts w:hint="default"/>
      </w:rPr>
    </w:lvl>
    <w:lvl w:ilvl="8" w:tplc="35542BE6">
      <w:numFmt w:val="bullet"/>
      <w:lvlText w:val="•"/>
      <w:lvlJc w:val="left"/>
      <w:pPr>
        <w:ind w:left="4457" w:hanging="357"/>
      </w:pPr>
      <w:rPr>
        <w:rFonts w:hint="default"/>
      </w:rPr>
    </w:lvl>
  </w:abstractNum>
  <w:abstractNum w:abstractNumId="105" w15:restartNumberingAfterBreak="0">
    <w:nsid w:val="68EE2F2B"/>
    <w:multiLevelType w:val="hybridMultilevel"/>
    <w:tmpl w:val="80827BD6"/>
    <w:lvl w:ilvl="0" w:tplc="463A8F74">
      <w:numFmt w:val="bullet"/>
      <w:lvlText w:val=""/>
      <w:lvlJc w:val="left"/>
      <w:pPr>
        <w:ind w:left="427" w:hanging="317"/>
      </w:pPr>
      <w:rPr>
        <w:rFonts w:ascii="Symbol" w:eastAsia="Symbol" w:hAnsi="Symbol" w:cs="Symbol" w:hint="default"/>
        <w:w w:val="103"/>
        <w:sz w:val="19"/>
        <w:szCs w:val="19"/>
      </w:rPr>
    </w:lvl>
    <w:lvl w:ilvl="1" w:tplc="CB8C7588">
      <w:numFmt w:val="bullet"/>
      <w:lvlText w:val="•"/>
      <w:lvlJc w:val="left"/>
      <w:pPr>
        <w:ind w:left="1330" w:hanging="317"/>
      </w:pPr>
      <w:rPr>
        <w:rFonts w:hint="default"/>
      </w:rPr>
    </w:lvl>
    <w:lvl w:ilvl="2" w:tplc="6A42D062">
      <w:numFmt w:val="bullet"/>
      <w:lvlText w:val="•"/>
      <w:lvlJc w:val="left"/>
      <w:pPr>
        <w:ind w:left="2241" w:hanging="317"/>
      </w:pPr>
      <w:rPr>
        <w:rFonts w:hint="default"/>
      </w:rPr>
    </w:lvl>
    <w:lvl w:ilvl="3" w:tplc="E87A38E6">
      <w:numFmt w:val="bullet"/>
      <w:lvlText w:val="•"/>
      <w:lvlJc w:val="left"/>
      <w:pPr>
        <w:ind w:left="3152" w:hanging="317"/>
      </w:pPr>
      <w:rPr>
        <w:rFonts w:hint="default"/>
      </w:rPr>
    </w:lvl>
    <w:lvl w:ilvl="4" w:tplc="5764F4F0">
      <w:numFmt w:val="bullet"/>
      <w:lvlText w:val="•"/>
      <w:lvlJc w:val="left"/>
      <w:pPr>
        <w:ind w:left="4062" w:hanging="317"/>
      </w:pPr>
      <w:rPr>
        <w:rFonts w:hint="default"/>
      </w:rPr>
    </w:lvl>
    <w:lvl w:ilvl="5" w:tplc="4CE2CAFC">
      <w:numFmt w:val="bullet"/>
      <w:lvlText w:val="•"/>
      <w:lvlJc w:val="left"/>
      <w:pPr>
        <w:ind w:left="4973" w:hanging="317"/>
      </w:pPr>
      <w:rPr>
        <w:rFonts w:hint="default"/>
      </w:rPr>
    </w:lvl>
    <w:lvl w:ilvl="6" w:tplc="E306FB44">
      <w:numFmt w:val="bullet"/>
      <w:lvlText w:val="•"/>
      <w:lvlJc w:val="left"/>
      <w:pPr>
        <w:ind w:left="5884" w:hanging="317"/>
      </w:pPr>
      <w:rPr>
        <w:rFonts w:hint="default"/>
      </w:rPr>
    </w:lvl>
    <w:lvl w:ilvl="7" w:tplc="FD80C32E">
      <w:numFmt w:val="bullet"/>
      <w:lvlText w:val="•"/>
      <w:lvlJc w:val="left"/>
      <w:pPr>
        <w:ind w:left="6794" w:hanging="317"/>
      </w:pPr>
      <w:rPr>
        <w:rFonts w:hint="default"/>
      </w:rPr>
    </w:lvl>
    <w:lvl w:ilvl="8" w:tplc="6B32D88A">
      <w:numFmt w:val="bullet"/>
      <w:lvlText w:val="•"/>
      <w:lvlJc w:val="left"/>
      <w:pPr>
        <w:ind w:left="7705" w:hanging="317"/>
      </w:pPr>
      <w:rPr>
        <w:rFonts w:hint="default"/>
      </w:rPr>
    </w:lvl>
  </w:abstractNum>
  <w:abstractNum w:abstractNumId="106" w15:restartNumberingAfterBreak="0">
    <w:nsid w:val="68F7203D"/>
    <w:multiLevelType w:val="hybridMultilevel"/>
    <w:tmpl w:val="034CD8DA"/>
    <w:lvl w:ilvl="0" w:tplc="D2E424CC">
      <w:numFmt w:val="bullet"/>
      <w:lvlText w:val=""/>
      <w:lvlJc w:val="left"/>
      <w:pPr>
        <w:ind w:left="470" w:hanging="360"/>
      </w:pPr>
      <w:rPr>
        <w:rFonts w:ascii="Symbol" w:eastAsia="Symbol" w:hAnsi="Symbol" w:cs="Symbol" w:hint="default"/>
        <w:w w:val="103"/>
        <w:sz w:val="19"/>
        <w:szCs w:val="19"/>
      </w:rPr>
    </w:lvl>
    <w:lvl w:ilvl="1" w:tplc="048A641A">
      <w:numFmt w:val="bullet"/>
      <w:lvlText w:val="•"/>
      <w:lvlJc w:val="left"/>
      <w:pPr>
        <w:ind w:left="1384" w:hanging="360"/>
      </w:pPr>
      <w:rPr>
        <w:rFonts w:hint="default"/>
      </w:rPr>
    </w:lvl>
    <w:lvl w:ilvl="2" w:tplc="A01CC08A">
      <w:numFmt w:val="bullet"/>
      <w:lvlText w:val="•"/>
      <w:lvlJc w:val="left"/>
      <w:pPr>
        <w:ind w:left="2289" w:hanging="360"/>
      </w:pPr>
      <w:rPr>
        <w:rFonts w:hint="default"/>
      </w:rPr>
    </w:lvl>
    <w:lvl w:ilvl="3" w:tplc="060E8A28">
      <w:numFmt w:val="bullet"/>
      <w:lvlText w:val="•"/>
      <w:lvlJc w:val="left"/>
      <w:pPr>
        <w:ind w:left="3194" w:hanging="360"/>
      </w:pPr>
      <w:rPr>
        <w:rFonts w:hint="default"/>
      </w:rPr>
    </w:lvl>
    <w:lvl w:ilvl="4" w:tplc="873EFE16">
      <w:numFmt w:val="bullet"/>
      <w:lvlText w:val="•"/>
      <w:lvlJc w:val="left"/>
      <w:pPr>
        <w:ind w:left="4098" w:hanging="360"/>
      </w:pPr>
      <w:rPr>
        <w:rFonts w:hint="default"/>
      </w:rPr>
    </w:lvl>
    <w:lvl w:ilvl="5" w:tplc="26D63662">
      <w:numFmt w:val="bullet"/>
      <w:lvlText w:val="•"/>
      <w:lvlJc w:val="left"/>
      <w:pPr>
        <w:ind w:left="5003" w:hanging="360"/>
      </w:pPr>
      <w:rPr>
        <w:rFonts w:hint="default"/>
      </w:rPr>
    </w:lvl>
    <w:lvl w:ilvl="6" w:tplc="C5C48E58">
      <w:numFmt w:val="bullet"/>
      <w:lvlText w:val="•"/>
      <w:lvlJc w:val="left"/>
      <w:pPr>
        <w:ind w:left="5908" w:hanging="360"/>
      </w:pPr>
      <w:rPr>
        <w:rFonts w:hint="default"/>
      </w:rPr>
    </w:lvl>
    <w:lvl w:ilvl="7" w:tplc="3FA880A6">
      <w:numFmt w:val="bullet"/>
      <w:lvlText w:val="•"/>
      <w:lvlJc w:val="left"/>
      <w:pPr>
        <w:ind w:left="6812" w:hanging="360"/>
      </w:pPr>
      <w:rPr>
        <w:rFonts w:hint="default"/>
      </w:rPr>
    </w:lvl>
    <w:lvl w:ilvl="8" w:tplc="E9B696E4">
      <w:numFmt w:val="bullet"/>
      <w:lvlText w:val="•"/>
      <w:lvlJc w:val="left"/>
      <w:pPr>
        <w:ind w:left="7717" w:hanging="360"/>
      </w:pPr>
      <w:rPr>
        <w:rFonts w:hint="default"/>
      </w:rPr>
    </w:lvl>
  </w:abstractNum>
  <w:abstractNum w:abstractNumId="107" w15:restartNumberingAfterBreak="0">
    <w:nsid w:val="69C31A61"/>
    <w:multiLevelType w:val="hybridMultilevel"/>
    <w:tmpl w:val="648253B6"/>
    <w:lvl w:ilvl="0" w:tplc="FF34F148">
      <w:numFmt w:val="bullet"/>
      <w:lvlText w:val=""/>
      <w:lvlJc w:val="left"/>
      <w:pPr>
        <w:ind w:left="470" w:hanging="360"/>
      </w:pPr>
      <w:rPr>
        <w:rFonts w:ascii="Symbol" w:eastAsia="Symbol" w:hAnsi="Symbol" w:cs="Symbol" w:hint="default"/>
        <w:w w:val="103"/>
        <w:sz w:val="19"/>
        <w:szCs w:val="19"/>
      </w:rPr>
    </w:lvl>
    <w:lvl w:ilvl="1" w:tplc="00BCA510">
      <w:numFmt w:val="bullet"/>
      <w:lvlText w:val="•"/>
      <w:lvlJc w:val="left"/>
      <w:pPr>
        <w:ind w:left="1366" w:hanging="360"/>
      </w:pPr>
      <w:rPr>
        <w:rFonts w:hint="default"/>
      </w:rPr>
    </w:lvl>
    <w:lvl w:ilvl="2" w:tplc="E72E5F20">
      <w:numFmt w:val="bullet"/>
      <w:lvlText w:val="•"/>
      <w:lvlJc w:val="left"/>
      <w:pPr>
        <w:ind w:left="2273" w:hanging="360"/>
      </w:pPr>
      <w:rPr>
        <w:rFonts w:hint="default"/>
      </w:rPr>
    </w:lvl>
    <w:lvl w:ilvl="3" w:tplc="B5701AFE">
      <w:numFmt w:val="bullet"/>
      <w:lvlText w:val="•"/>
      <w:lvlJc w:val="left"/>
      <w:pPr>
        <w:ind w:left="3180" w:hanging="360"/>
      </w:pPr>
      <w:rPr>
        <w:rFonts w:hint="default"/>
      </w:rPr>
    </w:lvl>
    <w:lvl w:ilvl="4" w:tplc="F0661F06">
      <w:numFmt w:val="bullet"/>
      <w:lvlText w:val="•"/>
      <w:lvlJc w:val="left"/>
      <w:pPr>
        <w:ind w:left="4086" w:hanging="360"/>
      </w:pPr>
      <w:rPr>
        <w:rFonts w:hint="default"/>
      </w:rPr>
    </w:lvl>
    <w:lvl w:ilvl="5" w:tplc="8466DCC0">
      <w:numFmt w:val="bullet"/>
      <w:lvlText w:val="•"/>
      <w:lvlJc w:val="left"/>
      <w:pPr>
        <w:ind w:left="4993" w:hanging="360"/>
      </w:pPr>
      <w:rPr>
        <w:rFonts w:hint="default"/>
      </w:rPr>
    </w:lvl>
    <w:lvl w:ilvl="6" w:tplc="3726280C">
      <w:numFmt w:val="bullet"/>
      <w:lvlText w:val="•"/>
      <w:lvlJc w:val="left"/>
      <w:pPr>
        <w:ind w:left="5900" w:hanging="360"/>
      </w:pPr>
      <w:rPr>
        <w:rFonts w:hint="default"/>
      </w:rPr>
    </w:lvl>
    <w:lvl w:ilvl="7" w:tplc="D3BEAEC8">
      <w:numFmt w:val="bullet"/>
      <w:lvlText w:val="•"/>
      <w:lvlJc w:val="left"/>
      <w:pPr>
        <w:ind w:left="6806" w:hanging="360"/>
      </w:pPr>
      <w:rPr>
        <w:rFonts w:hint="default"/>
      </w:rPr>
    </w:lvl>
    <w:lvl w:ilvl="8" w:tplc="E3E67D7A">
      <w:numFmt w:val="bullet"/>
      <w:lvlText w:val="•"/>
      <w:lvlJc w:val="left"/>
      <w:pPr>
        <w:ind w:left="7713" w:hanging="360"/>
      </w:pPr>
      <w:rPr>
        <w:rFonts w:hint="default"/>
      </w:rPr>
    </w:lvl>
  </w:abstractNum>
  <w:abstractNum w:abstractNumId="108" w15:restartNumberingAfterBreak="0">
    <w:nsid w:val="6AB74031"/>
    <w:multiLevelType w:val="hybridMultilevel"/>
    <w:tmpl w:val="C74A100E"/>
    <w:lvl w:ilvl="0" w:tplc="291C65A4">
      <w:numFmt w:val="bullet"/>
      <w:lvlText w:val=""/>
      <w:lvlJc w:val="left"/>
      <w:pPr>
        <w:ind w:left="470" w:hanging="360"/>
      </w:pPr>
      <w:rPr>
        <w:rFonts w:ascii="Symbol" w:eastAsia="Symbol" w:hAnsi="Symbol" w:cs="Symbol" w:hint="default"/>
        <w:w w:val="103"/>
        <w:sz w:val="19"/>
        <w:szCs w:val="19"/>
      </w:rPr>
    </w:lvl>
    <w:lvl w:ilvl="1" w:tplc="9B546840">
      <w:numFmt w:val="bullet"/>
      <w:lvlText w:val="•"/>
      <w:lvlJc w:val="left"/>
      <w:pPr>
        <w:ind w:left="1384" w:hanging="360"/>
      </w:pPr>
      <w:rPr>
        <w:rFonts w:hint="default"/>
      </w:rPr>
    </w:lvl>
    <w:lvl w:ilvl="2" w:tplc="E828FFF6">
      <w:numFmt w:val="bullet"/>
      <w:lvlText w:val="•"/>
      <w:lvlJc w:val="left"/>
      <w:pPr>
        <w:ind w:left="2289" w:hanging="360"/>
      </w:pPr>
      <w:rPr>
        <w:rFonts w:hint="default"/>
      </w:rPr>
    </w:lvl>
    <w:lvl w:ilvl="3" w:tplc="399699EE">
      <w:numFmt w:val="bullet"/>
      <w:lvlText w:val="•"/>
      <w:lvlJc w:val="left"/>
      <w:pPr>
        <w:ind w:left="3194" w:hanging="360"/>
      </w:pPr>
      <w:rPr>
        <w:rFonts w:hint="default"/>
      </w:rPr>
    </w:lvl>
    <w:lvl w:ilvl="4" w:tplc="ECF4F49E">
      <w:numFmt w:val="bullet"/>
      <w:lvlText w:val="•"/>
      <w:lvlJc w:val="left"/>
      <w:pPr>
        <w:ind w:left="4098" w:hanging="360"/>
      </w:pPr>
      <w:rPr>
        <w:rFonts w:hint="default"/>
      </w:rPr>
    </w:lvl>
    <w:lvl w:ilvl="5" w:tplc="D56AECE0">
      <w:numFmt w:val="bullet"/>
      <w:lvlText w:val="•"/>
      <w:lvlJc w:val="left"/>
      <w:pPr>
        <w:ind w:left="5003" w:hanging="360"/>
      </w:pPr>
      <w:rPr>
        <w:rFonts w:hint="default"/>
      </w:rPr>
    </w:lvl>
    <w:lvl w:ilvl="6" w:tplc="16AE7E48">
      <w:numFmt w:val="bullet"/>
      <w:lvlText w:val="•"/>
      <w:lvlJc w:val="left"/>
      <w:pPr>
        <w:ind w:left="5908" w:hanging="360"/>
      </w:pPr>
      <w:rPr>
        <w:rFonts w:hint="default"/>
      </w:rPr>
    </w:lvl>
    <w:lvl w:ilvl="7" w:tplc="F0429BC6">
      <w:numFmt w:val="bullet"/>
      <w:lvlText w:val="•"/>
      <w:lvlJc w:val="left"/>
      <w:pPr>
        <w:ind w:left="6812" w:hanging="360"/>
      </w:pPr>
      <w:rPr>
        <w:rFonts w:hint="default"/>
      </w:rPr>
    </w:lvl>
    <w:lvl w:ilvl="8" w:tplc="79DAFC08">
      <w:numFmt w:val="bullet"/>
      <w:lvlText w:val="•"/>
      <w:lvlJc w:val="left"/>
      <w:pPr>
        <w:ind w:left="7717" w:hanging="360"/>
      </w:pPr>
      <w:rPr>
        <w:rFonts w:hint="default"/>
      </w:rPr>
    </w:lvl>
  </w:abstractNum>
  <w:abstractNum w:abstractNumId="109" w15:restartNumberingAfterBreak="0">
    <w:nsid w:val="6BBE2D83"/>
    <w:multiLevelType w:val="hybridMultilevel"/>
    <w:tmpl w:val="6686B9D6"/>
    <w:lvl w:ilvl="0" w:tplc="D9702954">
      <w:numFmt w:val="bullet"/>
      <w:lvlText w:val=""/>
      <w:lvlJc w:val="left"/>
      <w:pPr>
        <w:ind w:left="427" w:hanging="317"/>
      </w:pPr>
      <w:rPr>
        <w:rFonts w:ascii="Symbol" w:eastAsia="Symbol" w:hAnsi="Symbol" w:cs="Symbol" w:hint="default"/>
        <w:w w:val="103"/>
        <w:sz w:val="19"/>
        <w:szCs w:val="19"/>
      </w:rPr>
    </w:lvl>
    <w:lvl w:ilvl="1" w:tplc="F9E2F7A0">
      <w:numFmt w:val="bullet"/>
      <w:lvlText w:val="•"/>
      <w:lvlJc w:val="left"/>
      <w:pPr>
        <w:ind w:left="1330" w:hanging="317"/>
      </w:pPr>
      <w:rPr>
        <w:rFonts w:hint="default"/>
      </w:rPr>
    </w:lvl>
    <w:lvl w:ilvl="2" w:tplc="45261F18">
      <w:numFmt w:val="bullet"/>
      <w:lvlText w:val="•"/>
      <w:lvlJc w:val="left"/>
      <w:pPr>
        <w:ind w:left="2241" w:hanging="317"/>
      </w:pPr>
      <w:rPr>
        <w:rFonts w:hint="default"/>
      </w:rPr>
    </w:lvl>
    <w:lvl w:ilvl="3" w:tplc="3BDCC388">
      <w:numFmt w:val="bullet"/>
      <w:lvlText w:val="•"/>
      <w:lvlJc w:val="left"/>
      <w:pPr>
        <w:ind w:left="3152" w:hanging="317"/>
      </w:pPr>
      <w:rPr>
        <w:rFonts w:hint="default"/>
      </w:rPr>
    </w:lvl>
    <w:lvl w:ilvl="4" w:tplc="D186942E">
      <w:numFmt w:val="bullet"/>
      <w:lvlText w:val="•"/>
      <w:lvlJc w:val="left"/>
      <w:pPr>
        <w:ind w:left="4062" w:hanging="317"/>
      </w:pPr>
      <w:rPr>
        <w:rFonts w:hint="default"/>
      </w:rPr>
    </w:lvl>
    <w:lvl w:ilvl="5" w:tplc="36A0E488">
      <w:numFmt w:val="bullet"/>
      <w:lvlText w:val="•"/>
      <w:lvlJc w:val="left"/>
      <w:pPr>
        <w:ind w:left="4973" w:hanging="317"/>
      </w:pPr>
      <w:rPr>
        <w:rFonts w:hint="default"/>
      </w:rPr>
    </w:lvl>
    <w:lvl w:ilvl="6" w:tplc="E25097DA">
      <w:numFmt w:val="bullet"/>
      <w:lvlText w:val="•"/>
      <w:lvlJc w:val="left"/>
      <w:pPr>
        <w:ind w:left="5884" w:hanging="317"/>
      </w:pPr>
      <w:rPr>
        <w:rFonts w:hint="default"/>
      </w:rPr>
    </w:lvl>
    <w:lvl w:ilvl="7" w:tplc="10725198">
      <w:numFmt w:val="bullet"/>
      <w:lvlText w:val="•"/>
      <w:lvlJc w:val="left"/>
      <w:pPr>
        <w:ind w:left="6794" w:hanging="317"/>
      </w:pPr>
      <w:rPr>
        <w:rFonts w:hint="default"/>
      </w:rPr>
    </w:lvl>
    <w:lvl w:ilvl="8" w:tplc="A0148A38">
      <w:numFmt w:val="bullet"/>
      <w:lvlText w:val="•"/>
      <w:lvlJc w:val="left"/>
      <w:pPr>
        <w:ind w:left="7705" w:hanging="317"/>
      </w:pPr>
      <w:rPr>
        <w:rFonts w:hint="default"/>
      </w:rPr>
    </w:lvl>
  </w:abstractNum>
  <w:abstractNum w:abstractNumId="110" w15:restartNumberingAfterBreak="0">
    <w:nsid w:val="6CE6735D"/>
    <w:multiLevelType w:val="hybridMultilevel"/>
    <w:tmpl w:val="06320AFE"/>
    <w:lvl w:ilvl="0" w:tplc="089833EA">
      <w:numFmt w:val="bullet"/>
      <w:lvlText w:val=""/>
      <w:lvlJc w:val="left"/>
      <w:pPr>
        <w:ind w:left="654" w:hanging="360"/>
      </w:pPr>
      <w:rPr>
        <w:rFonts w:ascii="Symbol" w:eastAsia="Symbol" w:hAnsi="Symbol" w:cs="Symbol" w:hint="default"/>
        <w:w w:val="103"/>
        <w:sz w:val="19"/>
        <w:szCs w:val="19"/>
      </w:rPr>
    </w:lvl>
    <w:lvl w:ilvl="1" w:tplc="E580FC58">
      <w:numFmt w:val="bullet"/>
      <w:lvlText w:val="•"/>
      <w:lvlJc w:val="left"/>
      <w:pPr>
        <w:ind w:left="1134" w:hanging="360"/>
      </w:pPr>
      <w:rPr>
        <w:rFonts w:hint="default"/>
      </w:rPr>
    </w:lvl>
    <w:lvl w:ilvl="2" w:tplc="6520D60C">
      <w:numFmt w:val="bullet"/>
      <w:lvlText w:val="•"/>
      <w:lvlJc w:val="left"/>
      <w:pPr>
        <w:ind w:left="1609" w:hanging="360"/>
      </w:pPr>
      <w:rPr>
        <w:rFonts w:hint="default"/>
      </w:rPr>
    </w:lvl>
    <w:lvl w:ilvl="3" w:tplc="3A1812D4">
      <w:numFmt w:val="bullet"/>
      <w:lvlText w:val="•"/>
      <w:lvlJc w:val="left"/>
      <w:pPr>
        <w:ind w:left="2084" w:hanging="360"/>
      </w:pPr>
      <w:rPr>
        <w:rFonts w:hint="default"/>
      </w:rPr>
    </w:lvl>
    <w:lvl w:ilvl="4" w:tplc="8C341EC4">
      <w:numFmt w:val="bullet"/>
      <w:lvlText w:val="•"/>
      <w:lvlJc w:val="left"/>
      <w:pPr>
        <w:ind w:left="2558" w:hanging="360"/>
      </w:pPr>
      <w:rPr>
        <w:rFonts w:hint="default"/>
      </w:rPr>
    </w:lvl>
    <w:lvl w:ilvl="5" w:tplc="B72CB188">
      <w:numFmt w:val="bullet"/>
      <w:lvlText w:val="•"/>
      <w:lvlJc w:val="left"/>
      <w:pPr>
        <w:ind w:left="3033" w:hanging="360"/>
      </w:pPr>
      <w:rPr>
        <w:rFonts w:hint="default"/>
      </w:rPr>
    </w:lvl>
    <w:lvl w:ilvl="6" w:tplc="24A89116">
      <w:numFmt w:val="bullet"/>
      <w:lvlText w:val="•"/>
      <w:lvlJc w:val="left"/>
      <w:pPr>
        <w:ind w:left="3508" w:hanging="360"/>
      </w:pPr>
      <w:rPr>
        <w:rFonts w:hint="default"/>
      </w:rPr>
    </w:lvl>
    <w:lvl w:ilvl="7" w:tplc="A2A88A5C">
      <w:numFmt w:val="bullet"/>
      <w:lvlText w:val="•"/>
      <w:lvlJc w:val="left"/>
      <w:pPr>
        <w:ind w:left="3982" w:hanging="360"/>
      </w:pPr>
      <w:rPr>
        <w:rFonts w:hint="default"/>
      </w:rPr>
    </w:lvl>
    <w:lvl w:ilvl="8" w:tplc="876258DC">
      <w:numFmt w:val="bullet"/>
      <w:lvlText w:val="•"/>
      <w:lvlJc w:val="left"/>
      <w:pPr>
        <w:ind w:left="4457" w:hanging="360"/>
      </w:pPr>
      <w:rPr>
        <w:rFonts w:hint="default"/>
      </w:rPr>
    </w:lvl>
  </w:abstractNum>
  <w:abstractNum w:abstractNumId="111" w15:restartNumberingAfterBreak="0">
    <w:nsid w:val="6D0818AE"/>
    <w:multiLevelType w:val="hybridMultilevel"/>
    <w:tmpl w:val="1D464DFC"/>
    <w:lvl w:ilvl="0" w:tplc="32869590">
      <w:numFmt w:val="bullet"/>
      <w:lvlText w:val=""/>
      <w:lvlJc w:val="left"/>
      <w:pPr>
        <w:ind w:left="427" w:hanging="317"/>
      </w:pPr>
      <w:rPr>
        <w:rFonts w:ascii="Symbol" w:eastAsia="Symbol" w:hAnsi="Symbol" w:cs="Symbol" w:hint="default"/>
        <w:w w:val="103"/>
        <w:sz w:val="19"/>
        <w:szCs w:val="19"/>
      </w:rPr>
    </w:lvl>
    <w:lvl w:ilvl="1" w:tplc="55DE9A68">
      <w:numFmt w:val="bullet"/>
      <w:lvlText w:val="•"/>
      <w:lvlJc w:val="left"/>
      <w:pPr>
        <w:ind w:left="1330" w:hanging="317"/>
      </w:pPr>
      <w:rPr>
        <w:rFonts w:hint="default"/>
      </w:rPr>
    </w:lvl>
    <w:lvl w:ilvl="2" w:tplc="FA9253CA">
      <w:numFmt w:val="bullet"/>
      <w:lvlText w:val="•"/>
      <w:lvlJc w:val="left"/>
      <w:pPr>
        <w:ind w:left="2241" w:hanging="317"/>
      </w:pPr>
      <w:rPr>
        <w:rFonts w:hint="default"/>
      </w:rPr>
    </w:lvl>
    <w:lvl w:ilvl="3" w:tplc="C3A08820">
      <w:numFmt w:val="bullet"/>
      <w:lvlText w:val="•"/>
      <w:lvlJc w:val="left"/>
      <w:pPr>
        <w:ind w:left="3152" w:hanging="317"/>
      </w:pPr>
      <w:rPr>
        <w:rFonts w:hint="default"/>
      </w:rPr>
    </w:lvl>
    <w:lvl w:ilvl="4" w:tplc="933CC97C">
      <w:numFmt w:val="bullet"/>
      <w:lvlText w:val="•"/>
      <w:lvlJc w:val="left"/>
      <w:pPr>
        <w:ind w:left="4062" w:hanging="317"/>
      </w:pPr>
      <w:rPr>
        <w:rFonts w:hint="default"/>
      </w:rPr>
    </w:lvl>
    <w:lvl w:ilvl="5" w:tplc="4B068A5A">
      <w:numFmt w:val="bullet"/>
      <w:lvlText w:val="•"/>
      <w:lvlJc w:val="left"/>
      <w:pPr>
        <w:ind w:left="4973" w:hanging="317"/>
      </w:pPr>
      <w:rPr>
        <w:rFonts w:hint="default"/>
      </w:rPr>
    </w:lvl>
    <w:lvl w:ilvl="6" w:tplc="29282A62">
      <w:numFmt w:val="bullet"/>
      <w:lvlText w:val="•"/>
      <w:lvlJc w:val="left"/>
      <w:pPr>
        <w:ind w:left="5884" w:hanging="317"/>
      </w:pPr>
      <w:rPr>
        <w:rFonts w:hint="default"/>
      </w:rPr>
    </w:lvl>
    <w:lvl w:ilvl="7" w:tplc="5C8617E0">
      <w:numFmt w:val="bullet"/>
      <w:lvlText w:val="•"/>
      <w:lvlJc w:val="left"/>
      <w:pPr>
        <w:ind w:left="6794" w:hanging="317"/>
      </w:pPr>
      <w:rPr>
        <w:rFonts w:hint="default"/>
      </w:rPr>
    </w:lvl>
    <w:lvl w:ilvl="8" w:tplc="46DCFBE0">
      <w:numFmt w:val="bullet"/>
      <w:lvlText w:val="•"/>
      <w:lvlJc w:val="left"/>
      <w:pPr>
        <w:ind w:left="7705" w:hanging="317"/>
      </w:pPr>
      <w:rPr>
        <w:rFonts w:hint="default"/>
      </w:rPr>
    </w:lvl>
  </w:abstractNum>
  <w:abstractNum w:abstractNumId="112" w15:restartNumberingAfterBreak="0">
    <w:nsid w:val="6FDF130B"/>
    <w:multiLevelType w:val="hybridMultilevel"/>
    <w:tmpl w:val="7390D3E6"/>
    <w:lvl w:ilvl="0" w:tplc="CF466D7E">
      <w:numFmt w:val="bullet"/>
      <w:lvlText w:val=""/>
      <w:lvlJc w:val="left"/>
      <w:pPr>
        <w:ind w:left="462" w:hanging="360"/>
      </w:pPr>
      <w:rPr>
        <w:rFonts w:ascii="Symbol" w:eastAsia="Symbol" w:hAnsi="Symbol" w:cs="Symbol" w:hint="default"/>
        <w:w w:val="103"/>
        <w:sz w:val="19"/>
        <w:szCs w:val="19"/>
      </w:rPr>
    </w:lvl>
    <w:lvl w:ilvl="1" w:tplc="16EE0E5A">
      <w:numFmt w:val="bullet"/>
      <w:lvlText w:val="•"/>
      <w:lvlJc w:val="left"/>
      <w:pPr>
        <w:ind w:left="1425" w:hanging="360"/>
      </w:pPr>
      <w:rPr>
        <w:rFonts w:hint="default"/>
      </w:rPr>
    </w:lvl>
    <w:lvl w:ilvl="2" w:tplc="0AD876E8">
      <w:numFmt w:val="bullet"/>
      <w:lvlText w:val="•"/>
      <w:lvlJc w:val="left"/>
      <w:pPr>
        <w:ind w:left="2390" w:hanging="360"/>
      </w:pPr>
      <w:rPr>
        <w:rFonts w:hint="default"/>
      </w:rPr>
    </w:lvl>
    <w:lvl w:ilvl="3" w:tplc="4008FC38">
      <w:numFmt w:val="bullet"/>
      <w:lvlText w:val="•"/>
      <w:lvlJc w:val="left"/>
      <w:pPr>
        <w:ind w:left="3355" w:hanging="360"/>
      </w:pPr>
      <w:rPr>
        <w:rFonts w:hint="default"/>
      </w:rPr>
    </w:lvl>
    <w:lvl w:ilvl="4" w:tplc="968846A0">
      <w:numFmt w:val="bullet"/>
      <w:lvlText w:val="•"/>
      <w:lvlJc w:val="left"/>
      <w:pPr>
        <w:ind w:left="4320" w:hanging="360"/>
      </w:pPr>
      <w:rPr>
        <w:rFonts w:hint="default"/>
      </w:rPr>
    </w:lvl>
    <w:lvl w:ilvl="5" w:tplc="E38632A8">
      <w:numFmt w:val="bullet"/>
      <w:lvlText w:val="•"/>
      <w:lvlJc w:val="left"/>
      <w:pPr>
        <w:ind w:left="5286" w:hanging="360"/>
      </w:pPr>
      <w:rPr>
        <w:rFonts w:hint="default"/>
      </w:rPr>
    </w:lvl>
    <w:lvl w:ilvl="6" w:tplc="CFE2B4FE">
      <w:numFmt w:val="bullet"/>
      <w:lvlText w:val="•"/>
      <w:lvlJc w:val="left"/>
      <w:pPr>
        <w:ind w:left="6251" w:hanging="360"/>
      </w:pPr>
      <w:rPr>
        <w:rFonts w:hint="default"/>
      </w:rPr>
    </w:lvl>
    <w:lvl w:ilvl="7" w:tplc="096E2BCA">
      <w:numFmt w:val="bullet"/>
      <w:lvlText w:val="•"/>
      <w:lvlJc w:val="left"/>
      <w:pPr>
        <w:ind w:left="7216" w:hanging="360"/>
      </w:pPr>
      <w:rPr>
        <w:rFonts w:hint="default"/>
      </w:rPr>
    </w:lvl>
    <w:lvl w:ilvl="8" w:tplc="66900162">
      <w:numFmt w:val="bullet"/>
      <w:lvlText w:val="•"/>
      <w:lvlJc w:val="left"/>
      <w:pPr>
        <w:ind w:left="8181" w:hanging="360"/>
      </w:pPr>
      <w:rPr>
        <w:rFonts w:hint="default"/>
      </w:rPr>
    </w:lvl>
  </w:abstractNum>
  <w:abstractNum w:abstractNumId="113" w15:restartNumberingAfterBreak="0">
    <w:nsid w:val="702E543B"/>
    <w:multiLevelType w:val="hybridMultilevel"/>
    <w:tmpl w:val="49CC7DBE"/>
    <w:lvl w:ilvl="0" w:tplc="5142B2C6">
      <w:numFmt w:val="bullet"/>
      <w:lvlText w:val=""/>
      <w:lvlJc w:val="left"/>
      <w:pPr>
        <w:ind w:left="470" w:hanging="360"/>
      </w:pPr>
      <w:rPr>
        <w:rFonts w:ascii="Symbol" w:eastAsia="Symbol" w:hAnsi="Symbol" w:cs="Symbol" w:hint="default"/>
        <w:w w:val="103"/>
        <w:sz w:val="19"/>
        <w:szCs w:val="19"/>
      </w:rPr>
    </w:lvl>
    <w:lvl w:ilvl="1" w:tplc="0C9E476E">
      <w:numFmt w:val="bullet"/>
      <w:lvlText w:val="•"/>
      <w:lvlJc w:val="left"/>
      <w:pPr>
        <w:ind w:left="1384" w:hanging="360"/>
      </w:pPr>
      <w:rPr>
        <w:rFonts w:hint="default"/>
      </w:rPr>
    </w:lvl>
    <w:lvl w:ilvl="2" w:tplc="DF10F6FA">
      <w:numFmt w:val="bullet"/>
      <w:lvlText w:val="•"/>
      <w:lvlJc w:val="left"/>
      <w:pPr>
        <w:ind w:left="2289" w:hanging="360"/>
      </w:pPr>
      <w:rPr>
        <w:rFonts w:hint="default"/>
      </w:rPr>
    </w:lvl>
    <w:lvl w:ilvl="3" w:tplc="7DBACA50">
      <w:numFmt w:val="bullet"/>
      <w:lvlText w:val="•"/>
      <w:lvlJc w:val="left"/>
      <w:pPr>
        <w:ind w:left="3194" w:hanging="360"/>
      </w:pPr>
      <w:rPr>
        <w:rFonts w:hint="default"/>
      </w:rPr>
    </w:lvl>
    <w:lvl w:ilvl="4" w:tplc="DB000E60">
      <w:numFmt w:val="bullet"/>
      <w:lvlText w:val="•"/>
      <w:lvlJc w:val="left"/>
      <w:pPr>
        <w:ind w:left="4098" w:hanging="360"/>
      </w:pPr>
      <w:rPr>
        <w:rFonts w:hint="default"/>
      </w:rPr>
    </w:lvl>
    <w:lvl w:ilvl="5" w:tplc="F558E730">
      <w:numFmt w:val="bullet"/>
      <w:lvlText w:val="•"/>
      <w:lvlJc w:val="left"/>
      <w:pPr>
        <w:ind w:left="5003" w:hanging="360"/>
      </w:pPr>
      <w:rPr>
        <w:rFonts w:hint="default"/>
      </w:rPr>
    </w:lvl>
    <w:lvl w:ilvl="6" w:tplc="9AB81C22">
      <w:numFmt w:val="bullet"/>
      <w:lvlText w:val="•"/>
      <w:lvlJc w:val="left"/>
      <w:pPr>
        <w:ind w:left="5908" w:hanging="360"/>
      </w:pPr>
      <w:rPr>
        <w:rFonts w:hint="default"/>
      </w:rPr>
    </w:lvl>
    <w:lvl w:ilvl="7" w:tplc="C3CCF226">
      <w:numFmt w:val="bullet"/>
      <w:lvlText w:val="•"/>
      <w:lvlJc w:val="left"/>
      <w:pPr>
        <w:ind w:left="6812" w:hanging="360"/>
      </w:pPr>
      <w:rPr>
        <w:rFonts w:hint="default"/>
      </w:rPr>
    </w:lvl>
    <w:lvl w:ilvl="8" w:tplc="301E5148">
      <w:numFmt w:val="bullet"/>
      <w:lvlText w:val="•"/>
      <w:lvlJc w:val="left"/>
      <w:pPr>
        <w:ind w:left="7717" w:hanging="360"/>
      </w:pPr>
      <w:rPr>
        <w:rFonts w:hint="default"/>
      </w:rPr>
    </w:lvl>
  </w:abstractNum>
  <w:abstractNum w:abstractNumId="114" w15:restartNumberingAfterBreak="0">
    <w:nsid w:val="71372C0B"/>
    <w:multiLevelType w:val="hybridMultilevel"/>
    <w:tmpl w:val="CBDE7DA0"/>
    <w:lvl w:ilvl="0" w:tplc="ED104706">
      <w:numFmt w:val="bullet"/>
      <w:lvlText w:val=""/>
      <w:lvlJc w:val="left"/>
      <w:pPr>
        <w:ind w:left="467" w:hanging="357"/>
      </w:pPr>
      <w:rPr>
        <w:rFonts w:ascii="Symbol" w:eastAsia="Symbol" w:hAnsi="Symbol" w:cs="Symbol" w:hint="default"/>
        <w:w w:val="103"/>
        <w:sz w:val="19"/>
        <w:szCs w:val="19"/>
      </w:rPr>
    </w:lvl>
    <w:lvl w:ilvl="1" w:tplc="07860B56">
      <w:numFmt w:val="bullet"/>
      <w:lvlText w:val="•"/>
      <w:lvlJc w:val="left"/>
      <w:pPr>
        <w:ind w:left="849" w:hanging="357"/>
      </w:pPr>
      <w:rPr>
        <w:rFonts w:hint="default"/>
      </w:rPr>
    </w:lvl>
    <w:lvl w:ilvl="2" w:tplc="4FFE35D6">
      <w:numFmt w:val="bullet"/>
      <w:lvlText w:val="•"/>
      <w:lvlJc w:val="left"/>
      <w:pPr>
        <w:ind w:left="1239" w:hanging="357"/>
      </w:pPr>
      <w:rPr>
        <w:rFonts w:hint="default"/>
      </w:rPr>
    </w:lvl>
    <w:lvl w:ilvl="3" w:tplc="9B1AE53C">
      <w:numFmt w:val="bullet"/>
      <w:lvlText w:val="•"/>
      <w:lvlJc w:val="left"/>
      <w:pPr>
        <w:ind w:left="1628" w:hanging="357"/>
      </w:pPr>
      <w:rPr>
        <w:rFonts w:hint="default"/>
      </w:rPr>
    </w:lvl>
    <w:lvl w:ilvl="4" w:tplc="C11842C4">
      <w:numFmt w:val="bullet"/>
      <w:lvlText w:val="•"/>
      <w:lvlJc w:val="left"/>
      <w:pPr>
        <w:ind w:left="2018" w:hanging="357"/>
      </w:pPr>
      <w:rPr>
        <w:rFonts w:hint="default"/>
      </w:rPr>
    </w:lvl>
    <w:lvl w:ilvl="5" w:tplc="D724345E">
      <w:numFmt w:val="bullet"/>
      <w:lvlText w:val="•"/>
      <w:lvlJc w:val="left"/>
      <w:pPr>
        <w:ind w:left="2408" w:hanging="357"/>
      </w:pPr>
      <w:rPr>
        <w:rFonts w:hint="default"/>
      </w:rPr>
    </w:lvl>
    <w:lvl w:ilvl="6" w:tplc="865632C2">
      <w:numFmt w:val="bullet"/>
      <w:lvlText w:val="•"/>
      <w:lvlJc w:val="left"/>
      <w:pPr>
        <w:ind w:left="2797" w:hanging="357"/>
      </w:pPr>
      <w:rPr>
        <w:rFonts w:hint="default"/>
      </w:rPr>
    </w:lvl>
    <w:lvl w:ilvl="7" w:tplc="BBC4EE4E">
      <w:numFmt w:val="bullet"/>
      <w:lvlText w:val="•"/>
      <w:lvlJc w:val="left"/>
      <w:pPr>
        <w:ind w:left="3187" w:hanging="357"/>
      </w:pPr>
      <w:rPr>
        <w:rFonts w:hint="default"/>
      </w:rPr>
    </w:lvl>
    <w:lvl w:ilvl="8" w:tplc="C452F4D2">
      <w:numFmt w:val="bullet"/>
      <w:lvlText w:val="•"/>
      <w:lvlJc w:val="left"/>
      <w:pPr>
        <w:ind w:left="3576" w:hanging="357"/>
      </w:pPr>
      <w:rPr>
        <w:rFonts w:hint="default"/>
      </w:rPr>
    </w:lvl>
  </w:abstractNum>
  <w:abstractNum w:abstractNumId="115" w15:restartNumberingAfterBreak="0">
    <w:nsid w:val="753D7D59"/>
    <w:multiLevelType w:val="hybridMultilevel"/>
    <w:tmpl w:val="3EAE226A"/>
    <w:lvl w:ilvl="0" w:tplc="AC04B7A8">
      <w:numFmt w:val="bullet"/>
      <w:lvlText w:val=""/>
      <w:lvlJc w:val="left"/>
      <w:pPr>
        <w:ind w:left="470" w:hanging="360"/>
      </w:pPr>
      <w:rPr>
        <w:rFonts w:ascii="Symbol" w:eastAsia="Symbol" w:hAnsi="Symbol" w:cs="Symbol" w:hint="default"/>
        <w:w w:val="103"/>
        <w:sz w:val="19"/>
        <w:szCs w:val="19"/>
      </w:rPr>
    </w:lvl>
    <w:lvl w:ilvl="1" w:tplc="5FF6FDA6">
      <w:numFmt w:val="bullet"/>
      <w:lvlText w:val="•"/>
      <w:lvlJc w:val="left"/>
      <w:pPr>
        <w:ind w:left="1366" w:hanging="360"/>
      </w:pPr>
      <w:rPr>
        <w:rFonts w:hint="default"/>
      </w:rPr>
    </w:lvl>
    <w:lvl w:ilvl="2" w:tplc="785A7E58">
      <w:numFmt w:val="bullet"/>
      <w:lvlText w:val="•"/>
      <w:lvlJc w:val="left"/>
      <w:pPr>
        <w:ind w:left="2273" w:hanging="360"/>
      </w:pPr>
      <w:rPr>
        <w:rFonts w:hint="default"/>
      </w:rPr>
    </w:lvl>
    <w:lvl w:ilvl="3" w:tplc="74963D44">
      <w:numFmt w:val="bullet"/>
      <w:lvlText w:val="•"/>
      <w:lvlJc w:val="left"/>
      <w:pPr>
        <w:ind w:left="3180" w:hanging="360"/>
      </w:pPr>
      <w:rPr>
        <w:rFonts w:hint="default"/>
      </w:rPr>
    </w:lvl>
    <w:lvl w:ilvl="4" w:tplc="C5189B90">
      <w:numFmt w:val="bullet"/>
      <w:lvlText w:val="•"/>
      <w:lvlJc w:val="left"/>
      <w:pPr>
        <w:ind w:left="4086" w:hanging="360"/>
      </w:pPr>
      <w:rPr>
        <w:rFonts w:hint="default"/>
      </w:rPr>
    </w:lvl>
    <w:lvl w:ilvl="5" w:tplc="70167D08">
      <w:numFmt w:val="bullet"/>
      <w:lvlText w:val="•"/>
      <w:lvlJc w:val="left"/>
      <w:pPr>
        <w:ind w:left="4993" w:hanging="360"/>
      </w:pPr>
      <w:rPr>
        <w:rFonts w:hint="default"/>
      </w:rPr>
    </w:lvl>
    <w:lvl w:ilvl="6" w:tplc="3A588CAE">
      <w:numFmt w:val="bullet"/>
      <w:lvlText w:val="•"/>
      <w:lvlJc w:val="left"/>
      <w:pPr>
        <w:ind w:left="5900" w:hanging="360"/>
      </w:pPr>
      <w:rPr>
        <w:rFonts w:hint="default"/>
      </w:rPr>
    </w:lvl>
    <w:lvl w:ilvl="7" w:tplc="670A43EA">
      <w:numFmt w:val="bullet"/>
      <w:lvlText w:val="•"/>
      <w:lvlJc w:val="left"/>
      <w:pPr>
        <w:ind w:left="6806" w:hanging="360"/>
      </w:pPr>
      <w:rPr>
        <w:rFonts w:hint="default"/>
      </w:rPr>
    </w:lvl>
    <w:lvl w:ilvl="8" w:tplc="F62816FC">
      <w:numFmt w:val="bullet"/>
      <w:lvlText w:val="•"/>
      <w:lvlJc w:val="left"/>
      <w:pPr>
        <w:ind w:left="7713" w:hanging="360"/>
      </w:pPr>
      <w:rPr>
        <w:rFonts w:hint="default"/>
      </w:rPr>
    </w:lvl>
  </w:abstractNum>
  <w:abstractNum w:abstractNumId="116" w15:restartNumberingAfterBreak="0">
    <w:nsid w:val="756C0D9D"/>
    <w:multiLevelType w:val="hybridMultilevel"/>
    <w:tmpl w:val="E5F20BEC"/>
    <w:lvl w:ilvl="0" w:tplc="DD5CAD7A">
      <w:numFmt w:val="bullet"/>
      <w:lvlText w:val=""/>
      <w:lvlJc w:val="left"/>
      <w:pPr>
        <w:ind w:left="465" w:hanging="360"/>
      </w:pPr>
      <w:rPr>
        <w:rFonts w:ascii="Symbol" w:eastAsia="Symbol" w:hAnsi="Symbol" w:cs="Symbol" w:hint="default"/>
        <w:w w:val="103"/>
        <w:sz w:val="19"/>
        <w:szCs w:val="19"/>
      </w:rPr>
    </w:lvl>
    <w:lvl w:ilvl="1" w:tplc="D00C15E8">
      <w:numFmt w:val="bullet"/>
      <w:lvlText w:val="•"/>
      <w:lvlJc w:val="left"/>
      <w:pPr>
        <w:ind w:left="639" w:hanging="360"/>
      </w:pPr>
      <w:rPr>
        <w:rFonts w:hint="default"/>
      </w:rPr>
    </w:lvl>
    <w:lvl w:ilvl="2" w:tplc="B17EA78E">
      <w:numFmt w:val="bullet"/>
      <w:lvlText w:val="•"/>
      <w:lvlJc w:val="left"/>
      <w:pPr>
        <w:ind w:left="818" w:hanging="360"/>
      </w:pPr>
      <w:rPr>
        <w:rFonts w:hint="default"/>
      </w:rPr>
    </w:lvl>
    <w:lvl w:ilvl="3" w:tplc="8C1CAE3C">
      <w:numFmt w:val="bullet"/>
      <w:lvlText w:val="•"/>
      <w:lvlJc w:val="left"/>
      <w:pPr>
        <w:ind w:left="997" w:hanging="360"/>
      </w:pPr>
      <w:rPr>
        <w:rFonts w:hint="default"/>
      </w:rPr>
    </w:lvl>
    <w:lvl w:ilvl="4" w:tplc="A094C3CA">
      <w:numFmt w:val="bullet"/>
      <w:lvlText w:val="•"/>
      <w:lvlJc w:val="left"/>
      <w:pPr>
        <w:ind w:left="1176" w:hanging="360"/>
      </w:pPr>
      <w:rPr>
        <w:rFonts w:hint="default"/>
      </w:rPr>
    </w:lvl>
    <w:lvl w:ilvl="5" w:tplc="AD4840F2">
      <w:numFmt w:val="bullet"/>
      <w:lvlText w:val="•"/>
      <w:lvlJc w:val="left"/>
      <w:pPr>
        <w:ind w:left="1355" w:hanging="360"/>
      </w:pPr>
      <w:rPr>
        <w:rFonts w:hint="default"/>
      </w:rPr>
    </w:lvl>
    <w:lvl w:ilvl="6" w:tplc="F48662C2">
      <w:numFmt w:val="bullet"/>
      <w:lvlText w:val="•"/>
      <w:lvlJc w:val="left"/>
      <w:pPr>
        <w:ind w:left="1534" w:hanging="360"/>
      </w:pPr>
      <w:rPr>
        <w:rFonts w:hint="default"/>
      </w:rPr>
    </w:lvl>
    <w:lvl w:ilvl="7" w:tplc="1E08622E">
      <w:numFmt w:val="bullet"/>
      <w:lvlText w:val="•"/>
      <w:lvlJc w:val="left"/>
      <w:pPr>
        <w:ind w:left="1713" w:hanging="360"/>
      </w:pPr>
      <w:rPr>
        <w:rFonts w:hint="default"/>
      </w:rPr>
    </w:lvl>
    <w:lvl w:ilvl="8" w:tplc="F690A83C">
      <w:numFmt w:val="bullet"/>
      <w:lvlText w:val="•"/>
      <w:lvlJc w:val="left"/>
      <w:pPr>
        <w:ind w:left="1892" w:hanging="360"/>
      </w:pPr>
      <w:rPr>
        <w:rFonts w:hint="default"/>
      </w:rPr>
    </w:lvl>
  </w:abstractNum>
  <w:abstractNum w:abstractNumId="117" w15:restartNumberingAfterBreak="0">
    <w:nsid w:val="7591153B"/>
    <w:multiLevelType w:val="hybridMultilevel"/>
    <w:tmpl w:val="46AE171C"/>
    <w:lvl w:ilvl="0" w:tplc="CE3A23BA">
      <w:numFmt w:val="bullet"/>
      <w:lvlText w:val=""/>
      <w:lvlJc w:val="left"/>
      <w:pPr>
        <w:ind w:left="470" w:hanging="360"/>
      </w:pPr>
      <w:rPr>
        <w:rFonts w:ascii="Symbol" w:eastAsia="Symbol" w:hAnsi="Symbol" w:cs="Symbol" w:hint="default"/>
        <w:w w:val="103"/>
        <w:sz w:val="19"/>
        <w:szCs w:val="19"/>
      </w:rPr>
    </w:lvl>
    <w:lvl w:ilvl="1" w:tplc="032CEE62">
      <w:numFmt w:val="bullet"/>
      <w:lvlText w:val="•"/>
      <w:lvlJc w:val="left"/>
      <w:pPr>
        <w:ind w:left="1366" w:hanging="360"/>
      </w:pPr>
      <w:rPr>
        <w:rFonts w:hint="default"/>
      </w:rPr>
    </w:lvl>
    <w:lvl w:ilvl="2" w:tplc="EA6A6E76">
      <w:numFmt w:val="bullet"/>
      <w:lvlText w:val="•"/>
      <w:lvlJc w:val="left"/>
      <w:pPr>
        <w:ind w:left="2273" w:hanging="360"/>
      </w:pPr>
      <w:rPr>
        <w:rFonts w:hint="default"/>
      </w:rPr>
    </w:lvl>
    <w:lvl w:ilvl="3" w:tplc="15B291E6">
      <w:numFmt w:val="bullet"/>
      <w:lvlText w:val="•"/>
      <w:lvlJc w:val="left"/>
      <w:pPr>
        <w:ind w:left="3180" w:hanging="360"/>
      </w:pPr>
      <w:rPr>
        <w:rFonts w:hint="default"/>
      </w:rPr>
    </w:lvl>
    <w:lvl w:ilvl="4" w:tplc="CCD0BE6E">
      <w:numFmt w:val="bullet"/>
      <w:lvlText w:val="•"/>
      <w:lvlJc w:val="left"/>
      <w:pPr>
        <w:ind w:left="4086" w:hanging="360"/>
      </w:pPr>
      <w:rPr>
        <w:rFonts w:hint="default"/>
      </w:rPr>
    </w:lvl>
    <w:lvl w:ilvl="5" w:tplc="113A5F6A">
      <w:numFmt w:val="bullet"/>
      <w:lvlText w:val="•"/>
      <w:lvlJc w:val="left"/>
      <w:pPr>
        <w:ind w:left="4993" w:hanging="360"/>
      </w:pPr>
      <w:rPr>
        <w:rFonts w:hint="default"/>
      </w:rPr>
    </w:lvl>
    <w:lvl w:ilvl="6" w:tplc="F2BA5D0C">
      <w:numFmt w:val="bullet"/>
      <w:lvlText w:val="•"/>
      <w:lvlJc w:val="left"/>
      <w:pPr>
        <w:ind w:left="5900" w:hanging="360"/>
      </w:pPr>
      <w:rPr>
        <w:rFonts w:hint="default"/>
      </w:rPr>
    </w:lvl>
    <w:lvl w:ilvl="7" w:tplc="0048363C">
      <w:numFmt w:val="bullet"/>
      <w:lvlText w:val="•"/>
      <w:lvlJc w:val="left"/>
      <w:pPr>
        <w:ind w:left="6806" w:hanging="360"/>
      </w:pPr>
      <w:rPr>
        <w:rFonts w:hint="default"/>
      </w:rPr>
    </w:lvl>
    <w:lvl w:ilvl="8" w:tplc="F3FA45FA">
      <w:numFmt w:val="bullet"/>
      <w:lvlText w:val="•"/>
      <w:lvlJc w:val="left"/>
      <w:pPr>
        <w:ind w:left="7713" w:hanging="360"/>
      </w:pPr>
      <w:rPr>
        <w:rFonts w:hint="default"/>
      </w:rPr>
    </w:lvl>
  </w:abstractNum>
  <w:abstractNum w:abstractNumId="118" w15:restartNumberingAfterBreak="0">
    <w:nsid w:val="776A6DAB"/>
    <w:multiLevelType w:val="hybridMultilevel"/>
    <w:tmpl w:val="F3FA5612"/>
    <w:lvl w:ilvl="0" w:tplc="506A74E2">
      <w:numFmt w:val="bullet"/>
      <w:lvlText w:val=""/>
      <w:lvlJc w:val="left"/>
      <w:pPr>
        <w:ind w:left="465" w:hanging="360"/>
      </w:pPr>
      <w:rPr>
        <w:rFonts w:ascii="Symbol" w:eastAsia="Symbol" w:hAnsi="Symbol" w:cs="Symbol" w:hint="default"/>
        <w:w w:val="103"/>
        <w:sz w:val="19"/>
        <w:szCs w:val="19"/>
      </w:rPr>
    </w:lvl>
    <w:lvl w:ilvl="1" w:tplc="5E903BCC">
      <w:numFmt w:val="bullet"/>
      <w:lvlText w:val="•"/>
      <w:lvlJc w:val="left"/>
      <w:pPr>
        <w:ind w:left="1425" w:hanging="360"/>
      </w:pPr>
      <w:rPr>
        <w:rFonts w:hint="default"/>
      </w:rPr>
    </w:lvl>
    <w:lvl w:ilvl="2" w:tplc="5FE06C8E">
      <w:numFmt w:val="bullet"/>
      <w:lvlText w:val="•"/>
      <w:lvlJc w:val="left"/>
      <w:pPr>
        <w:ind w:left="2390" w:hanging="360"/>
      </w:pPr>
      <w:rPr>
        <w:rFonts w:hint="default"/>
      </w:rPr>
    </w:lvl>
    <w:lvl w:ilvl="3" w:tplc="098474F4">
      <w:numFmt w:val="bullet"/>
      <w:lvlText w:val="•"/>
      <w:lvlJc w:val="left"/>
      <w:pPr>
        <w:ind w:left="3355" w:hanging="360"/>
      </w:pPr>
      <w:rPr>
        <w:rFonts w:hint="default"/>
      </w:rPr>
    </w:lvl>
    <w:lvl w:ilvl="4" w:tplc="39024E78">
      <w:numFmt w:val="bullet"/>
      <w:lvlText w:val="•"/>
      <w:lvlJc w:val="left"/>
      <w:pPr>
        <w:ind w:left="4320" w:hanging="360"/>
      </w:pPr>
      <w:rPr>
        <w:rFonts w:hint="default"/>
      </w:rPr>
    </w:lvl>
    <w:lvl w:ilvl="5" w:tplc="B4603A38">
      <w:numFmt w:val="bullet"/>
      <w:lvlText w:val="•"/>
      <w:lvlJc w:val="left"/>
      <w:pPr>
        <w:ind w:left="5286" w:hanging="360"/>
      </w:pPr>
      <w:rPr>
        <w:rFonts w:hint="default"/>
      </w:rPr>
    </w:lvl>
    <w:lvl w:ilvl="6" w:tplc="D42C4674">
      <w:numFmt w:val="bullet"/>
      <w:lvlText w:val="•"/>
      <w:lvlJc w:val="left"/>
      <w:pPr>
        <w:ind w:left="6251" w:hanging="360"/>
      </w:pPr>
      <w:rPr>
        <w:rFonts w:hint="default"/>
      </w:rPr>
    </w:lvl>
    <w:lvl w:ilvl="7" w:tplc="1DF0035A">
      <w:numFmt w:val="bullet"/>
      <w:lvlText w:val="•"/>
      <w:lvlJc w:val="left"/>
      <w:pPr>
        <w:ind w:left="7216" w:hanging="360"/>
      </w:pPr>
      <w:rPr>
        <w:rFonts w:hint="default"/>
      </w:rPr>
    </w:lvl>
    <w:lvl w:ilvl="8" w:tplc="FE6058BE">
      <w:numFmt w:val="bullet"/>
      <w:lvlText w:val="•"/>
      <w:lvlJc w:val="left"/>
      <w:pPr>
        <w:ind w:left="8181" w:hanging="360"/>
      </w:pPr>
      <w:rPr>
        <w:rFonts w:hint="default"/>
      </w:rPr>
    </w:lvl>
  </w:abstractNum>
  <w:abstractNum w:abstractNumId="119" w15:restartNumberingAfterBreak="0">
    <w:nsid w:val="78854CE1"/>
    <w:multiLevelType w:val="hybridMultilevel"/>
    <w:tmpl w:val="12C219E6"/>
    <w:lvl w:ilvl="0" w:tplc="F528819E">
      <w:numFmt w:val="bullet"/>
      <w:lvlText w:val=""/>
      <w:lvlJc w:val="left"/>
      <w:pPr>
        <w:ind w:left="470" w:hanging="360"/>
      </w:pPr>
      <w:rPr>
        <w:rFonts w:ascii="Symbol" w:eastAsia="Symbol" w:hAnsi="Symbol" w:cs="Symbol" w:hint="default"/>
        <w:w w:val="103"/>
        <w:sz w:val="19"/>
        <w:szCs w:val="19"/>
      </w:rPr>
    </w:lvl>
    <w:lvl w:ilvl="1" w:tplc="25C07AA2">
      <w:numFmt w:val="bullet"/>
      <w:lvlText w:val="•"/>
      <w:lvlJc w:val="left"/>
      <w:pPr>
        <w:ind w:left="1337" w:hanging="360"/>
      </w:pPr>
      <w:rPr>
        <w:rFonts w:hint="default"/>
      </w:rPr>
    </w:lvl>
    <w:lvl w:ilvl="2" w:tplc="3A9E4E80">
      <w:numFmt w:val="bullet"/>
      <w:lvlText w:val="•"/>
      <w:lvlJc w:val="left"/>
      <w:pPr>
        <w:ind w:left="2194" w:hanging="360"/>
      </w:pPr>
      <w:rPr>
        <w:rFonts w:hint="default"/>
      </w:rPr>
    </w:lvl>
    <w:lvl w:ilvl="3" w:tplc="DAC2FEF6">
      <w:numFmt w:val="bullet"/>
      <w:lvlText w:val="•"/>
      <w:lvlJc w:val="left"/>
      <w:pPr>
        <w:ind w:left="3051" w:hanging="360"/>
      </w:pPr>
      <w:rPr>
        <w:rFonts w:hint="default"/>
      </w:rPr>
    </w:lvl>
    <w:lvl w:ilvl="4" w:tplc="EE247CD6">
      <w:numFmt w:val="bullet"/>
      <w:lvlText w:val="•"/>
      <w:lvlJc w:val="left"/>
      <w:pPr>
        <w:ind w:left="3908" w:hanging="360"/>
      </w:pPr>
      <w:rPr>
        <w:rFonts w:hint="default"/>
      </w:rPr>
    </w:lvl>
    <w:lvl w:ilvl="5" w:tplc="7A3CD538">
      <w:numFmt w:val="bullet"/>
      <w:lvlText w:val="•"/>
      <w:lvlJc w:val="left"/>
      <w:pPr>
        <w:ind w:left="4766" w:hanging="360"/>
      </w:pPr>
      <w:rPr>
        <w:rFonts w:hint="default"/>
      </w:rPr>
    </w:lvl>
    <w:lvl w:ilvl="6" w:tplc="5E36BF52">
      <w:numFmt w:val="bullet"/>
      <w:lvlText w:val="•"/>
      <w:lvlJc w:val="left"/>
      <w:pPr>
        <w:ind w:left="5623" w:hanging="360"/>
      </w:pPr>
      <w:rPr>
        <w:rFonts w:hint="default"/>
      </w:rPr>
    </w:lvl>
    <w:lvl w:ilvl="7" w:tplc="5FE2CE62">
      <w:numFmt w:val="bullet"/>
      <w:lvlText w:val="•"/>
      <w:lvlJc w:val="left"/>
      <w:pPr>
        <w:ind w:left="6480" w:hanging="360"/>
      </w:pPr>
      <w:rPr>
        <w:rFonts w:hint="default"/>
      </w:rPr>
    </w:lvl>
    <w:lvl w:ilvl="8" w:tplc="3C005A14">
      <w:numFmt w:val="bullet"/>
      <w:lvlText w:val="•"/>
      <w:lvlJc w:val="left"/>
      <w:pPr>
        <w:ind w:left="7337" w:hanging="360"/>
      </w:pPr>
      <w:rPr>
        <w:rFonts w:hint="default"/>
      </w:rPr>
    </w:lvl>
  </w:abstractNum>
  <w:abstractNum w:abstractNumId="120" w15:restartNumberingAfterBreak="0">
    <w:nsid w:val="7CEE03E0"/>
    <w:multiLevelType w:val="hybridMultilevel"/>
    <w:tmpl w:val="8BDC09AC"/>
    <w:lvl w:ilvl="0" w:tplc="74A687F0">
      <w:numFmt w:val="bullet"/>
      <w:lvlText w:val=""/>
      <w:lvlJc w:val="left"/>
      <w:pPr>
        <w:ind w:left="467" w:hanging="357"/>
      </w:pPr>
      <w:rPr>
        <w:rFonts w:ascii="Symbol" w:eastAsia="Symbol" w:hAnsi="Symbol" w:cs="Symbol" w:hint="default"/>
        <w:w w:val="103"/>
        <w:sz w:val="19"/>
        <w:szCs w:val="19"/>
      </w:rPr>
    </w:lvl>
    <w:lvl w:ilvl="1" w:tplc="8606140E">
      <w:numFmt w:val="bullet"/>
      <w:lvlText w:val="•"/>
      <w:lvlJc w:val="left"/>
      <w:pPr>
        <w:ind w:left="1366" w:hanging="357"/>
      </w:pPr>
      <w:rPr>
        <w:rFonts w:hint="default"/>
      </w:rPr>
    </w:lvl>
    <w:lvl w:ilvl="2" w:tplc="AA308180">
      <w:numFmt w:val="bullet"/>
      <w:lvlText w:val="•"/>
      <w:lvlJc w:val="left"/>
      <w:pPr>
        <w:ind w:left="2273" w:hanging="357"/>
      </w:pPr>
      <w:rPr>
        <w:rFonts w:hint="default"/>
      </w:rPr>
    </w:lvl>
    <w:lvl w:ilvl="3" w:tplc="9272B0A4">
      <w:numFmt w:val="bullet"/>
      <w:lvlText w:val="•"/>
      <w:lvlJc w:val="left"/>
      <w:pPr>
        <w:ind w:left="3180" w:hanging="357"/>
      </w:pPr>
      <w:rPr>
        <w:rFonts w:hint="default"/>
      </w:rPr>
    </w:lvl>
    <w:lvl w:ilvl="4" w:tplc="29F26E96">
      <w:numFmt w:val="bullet"/>
      <w:lvlText w:val="•"/>
      <w:lvlJc w:val="left"/>
      <w:pPr>
        <w:ind w:left="4086" w:hanging="357"/>
      </w:pPr>
      <w:rPr>
        <w:rFonts w:hint="default"/>
      </w:rPr>
    </w:lvl>
    <w:lvl w:ilvl="5" w:tplc="F0385DF6">
      <w:numFmt w:val="bullet"/>
      <w:lvlText w:val="•"/>
      <w:lvlJc w:val="left"/>
      <w:pPr>
        <w:ind w:left="4993" w:hanging="357"/>
      </w:pPr>
      <w:rPr>
        <w:rFonts w:hint="default"/>
      </w:rPr>
    </w:lvl>
    <w:lvl w:ilvl="6" w:tplc="03F29934">
      <w:numFmt w:val="bullet"/>
      <w:lvlText w:val="•"/>
      <w:lvlJc w:val="left"/>
      <w:pPr>
        <w:ind w:left="5900" w:hanging="357"/>
      </w:pPr>
      <w:rPr>
        <w:rFonts w:hint="default"/>
      </w:rPr>
    </w:lvl>
    <w:lvl w:ilvl="7" w:tplc="071874B4">
      <w:numFmt w:val="bullet"/>
      <w:lvlText w:val="•"/>
      <w:lvlJc w:val="left"/>
      <w:pPr>
        <w:ind w:left="6806" w:hanging="357"/>
      </w:pPr>
      <w:rPr>
        <w:rFonts w:hint="default"/>
      </w:rPr>
    </w:lvl>
    <w:lvl w:ilvl="8" w:tplc="A8EE386C">
      <w:numFmt w:val="bullet"/>
      <w:lvlText w:val="•"/>
      <w:lvlJc w:val="left"/>
      <w:pPr>
        <w:ind w:left="7713" w:hanging="357"/>
      </w:pPr>
      <w:rPr>
        <w:rFonts w:hint="default"/>
      </w:rPr>
    </w:lvl>
  </w:abstractNum>
  <w:num w:numId="1">
    <w:abstractNumId w:val="14"/>
  </w:num>
  <w:num w:numId="2">
    <w:abstractNumId w:val="80"/>
  </w:num>
  <w:num w:numId="3">
    <w:abstractNumId w:val="39"/>
  </w:num>
  <w:num w:numId="4">
    <w:abstractNumId w:val="89"/>
  </w:num>
  <w:num w:numId="5">
    <w:abstractNumId w:val="90"/>
  </w:num>
  <w:num w:numId="6">
    <w:abstractNumId w:val="16"/>
  </w:num>
  <w:num w:numId="7">
    <w:abstractNumId w:val="88"/>
  </w:num>
  <w:num w:numId="8">
    <w:abstractNumId w:val="79"/>
  </w:num>
  <w:num w:numId="9">
    <w:abstractNumId w:val="75"/>
  </w:num>
  <w:num w:numId="10">
    <w:abstractNumId w:val="25"/>
  </w:num>
  <w:num w:numId="11">
    <w:abstractNumId w:val="38"/>
  </w:num>
  <w:num w:numId="12">
    <w:abstractNumId w:val="53"/>
  </w:num>
  <w:num w:numId="13">
    <w:abstractNumId w:val="64"/>
  </w:num>
  <w:num w:numId="14">
    <w:abstractNumId w:val="40"/>
  </w:num>
  <w:num w:numId="15">
    <w:abstractNumId w:val="102"/>
  </w:num>
  <w:num w:numId="16">
    <w:abstractNumId w:val="23"/>
  </w:num>
  <w:num w:numId="17">
    <w:abstractNumId w:val="105"/>
  </w:num>
  <w:num w:numId="18">
    <w:abstractNumId w:val="87"/>
  </w:num>
  <w:num w:numId="19">
    <w:abstractNumId w:val="111"/>
  </w:num>
  <w:num w:numId="20">
    <w:abstractNumId w:val="63"/>
  </w:num>
  <w:num w:numId="21">
    <w:abstractNumId w:val="11"/>
  </w:num>
  <w:num w:numId="22">
    <w:abstractNumId w:val="42"/>
  </w:num>
  <w:num w:numId="23">
    <w:abstractNumId w:val="54"/>
  </w:num>
  <w:num w:numId="24">
    <w:abstractNumId w:val="18"/>
  </w:num>
  <w:num w:numId="25">
    <w:abstractNumId w:val="109"/>
  </w:num>
  <w:num w:numId="26">
    <w:abstractNumId w:val="115"/>
  </w:num>
  <w:num w:numId="27">
    <w:abstractNumId w:val="13"/>
  </w:num>
  <w:num w:numId="28">
    <w:abstractNumId w:val="117"/>
  </w:num>
  <w:num w:numId="29">
    <w:abstractNumId w:val="107"/>
  </w:num>
  <w:num w:numId="30">
    <w:abstractNumId w:val="33"/>
  </w:num>
  <w:num w:numId="31">
    <w:abstractNumId w:val="32"/>
  </w:num>
  <w:num w:numId="32">
    <w:abstractNumId w:val="0"/>
  </w:num>
  <w:num w:numId="33">
    <w:abstractNumId w:val="120"/>
  </w:num>
  <w:num w:numId="34">
    <w:abstractNumId w:val="113"/>
  </w:num>
  <w:num w:numId="35">
    <w:abstractNumId w:val="85"/>
  </w:num>
  <w:num w:numId="36">
    <w:abstractNumId w:val="52"/>
  </w:num>
  <w:num w:numId="37">
    <w:abstractNumId w:val="61"/>
  </w:num>
  <w:num w:numId="38">
    <w:abstractNumId w:val="43"/>
  </w:num>
  <w:num w:numId="39">
    <w:abstractNumId w:val="9"/>
  </w:num>
  <w:num w:numId="40">
    <w:abstractNumId w:val="78"/>
  </w:num>
  <w:num w:numId="41">
    <w:abstractNumId w:val="108"/>
  </w:num>
  <w:num w:numId="42">
    <w:abstractNumId w:val="51"/>
  </w:num>
  <w:num w:numId="43">
    <w:abstractNumId w:val="35"/>
  </w:num>
  <w:num w:numId="44">
    <w:abstractNumId w:val="17"/>
  </w:num>
  <w:num w:numId="45">
    <w:abstractNumId w:val="84"/>
  </w:num>
  <w:num w:numId="46">
    <w:abstractNumId w:val="4"/>
  </w:num>
  <w:num w:numId="47">
    <w:abstractNumId w:val="101"/>
  </w:num>
  <w:num w:numId="48">
    <w:abstractNumId w:val="112"/>
  </w:num>
  <w:num w:numId="49">
    <w:abstractNumId w:val="49"/>
  </w:num>
  <w:num w:numId="50">
    <w:abstractNumId w:val="81"/>
  </w:num>
  <w:num w:numId="51">
    <w:abstractNumId w:val="58"/>
  </w:num>
  <w:num w:numId="52">
    <w:abstractNumId w:val="70"/>
  </w:num>
  <w:num w:numId="53">
    <w:abstractNumId w:val="93"/>
  </w:num>
  <w:num w:numId="54">
    <w:abstractNumId w:val="83"/>
  </w:num>
  <w:num w:numId="55">
    <w:abstractNumId w:val="47"/>
  </w:num>
  <w:num w:numId="56">
    <w:abstractNumId w:val="12"/>
  </w:num>
  <w:num w:numId="57">
    <w:abstractNumId w:val="45"/>
  </w:num>
  <w:num w:numId="58">
    <w:abstractNumId w:val="119"/>
  </w:num>
  <w:num w:numId="59">
    <w:abstractNumId w:val="6"/>
  </w:num>
  <w:num w:numId="60">
    <w:abstractNumId w:val="66"/>
  </w:num>
  <w:num w:numId="61">
    <w:abstractNumId w:val="30"/>
  </w:num>
  <w:num w:numId="62">
    <w:abstractNumId w:val="106"/>
  </w:num>
  <w:num w:numId="63">
    <w:abstractNumId w:val="10"/>
  </w:num>
  <w:num w:numId="64">
    <w:abstractNumId w:val="7"/>
  </w:num>
  <w:num w:numId="65">
    <w:abstractNumId w:val="28"/>
  </w:num>
  <w:num w:numId="66">
    <w:abstractNumId w:val="97"/>
  </w:num>
  <w:num w:numId="67">
    <w:abstractNumId w:val="62"/>
  </w:num>
  <w:num w:numId="68">
    <w:abstractNumId w:val="72"/>
  </w:num>
  <w:num w:numId="69">
    <w:abstractNumId w:val="114"/>
  </w:num>
  <w:num w:numId="70">
    <w:abstractNumId w:val="104"/>
  </w:num>
  <w:num w:numId="71">
    <w:abstractNumId w:val="67"/>
  </w:num>
  <w:num w:numId="72">
    <w:abstractNumId w:val="31"/>
  </w:num>
  <w:num w:numId="73">
    <w:abstractNumId w:val="65"/>
  </w:num>
  <w:num w:numId="74">
    <w:abstractNumId w:val="20"/>
  </w:num>
  <w:num w:numId="75">
    <w:abstractNumId w:val="110"/>
  </w:num>
  <w:num w:numId="76">
    <w:abstractNumId w:val="50"/>
  </w:num>
  <w:num w:numId="77">
    <w:abstractNumId w:val="27"/>
  </w:num>
  <w:num w:numId="78">
    <w:abstractNumId w:val="94"/>
  </w:num>
  <w:num w:numId="79">
    <w:abstractNumId w:val="2"/>
  </w:num>
  <w:num w:numId="80">
    <w:abstractNumId w:val="82"/>
  </w:num>
  <w:num w:numId="81">
    <w:abstractNumId w:val="77"/>
  </w:num>
  <w:num w:numId="82">
    <w:abstractNumId w:val="99"/>
  </w:num>
  <w:num w:numId="83">
    <w:abstractNumId w:val="95"/>
  </w:num>
  <w:num w:numId="84">
    <w:abstractNumId w:val="19"/>
  </w:num>
  <w:num w:numId="85">
    <w:abstractNumId w:val="98"/>
  </w:num>
  <w:num w:numId="86">
    <w:abstractNumId w:val="22"/>
  </w:num>
  <w:num w:numId="87">
    <w:abstractNumId w:val="26"/>
  </w:num>
  <w:num w:numId="88">
    <w:abstractNumId w:val="48"/>
  </w:num>
  <w:num w:numId="89">
    <w:abstractNumId w:val="8"/>
  </w:num>
  <w:num w:numId="90">
    <w:abstractNumId w:val="116"/>
  </w:num>
  <w:num w:numId="91">
    <w:abstractNumId w:val="71"/>
  </w:num>
  <w:num w:numId="92">
    <w:abstractNumId w:val="15"/>
  </w:num>
  <w:num w:numId="93">
    <w:abstractNumId w:val="56"/>
  </w:num>
  <w:num w:numId="94">
    <w:abstractNumId w:val="86"/>
  </w:num>
  <w:num w:numId="95">
    <w:abstractNumId w:val="60"/>
  </w:num>
  <w:num w:numId="96">
    <w:abstractNumId w:val="73"/>
  </w:num>
  <w:num w:numId="97">
    <w:abstractNumId w:val="41"/>
  </w:num>
  <w:num w:numId="98">
    <w:abstractNumId w:val="37"/>
  </w:num>
  <w:num w:numId="99">
    <w:abstractNumId w:val="46"/>
  </w:num>
  <w:num w:numId="100">
    <w:abstractNumId w:val="36"/>
  </w:num>
  <w:num w:numId="101">
    <w:abstractNumId w:val="3"/>
  </w:num>
  <w:num w:numId="102">
    <w:abstractNumId w:val="24"/>
  </w:num>
  <w:num w:numId="103">
    <w:abstractNumId w:val="91"/>
  </w:num>
  <w:num w:numId="104">
    <w:abstractNumId w:val="68"/>
  </w:num>
  <w:num w:numId="105">
    <w:abstractNumId w:val="69"/>
  </w:num>
  <w:num w:numId="106">
    <w:abstractNumId w:val="59"/>
  </w:num>
  <w:num w:numId="107">
    <w:abstractNumId w:val="21"/>
  </w:num>
  <w:num w:numId="108">
    <w:abstractNumId w:val="118"/>
  </w:num>
  <w:num w:numId="109">
    <w:abstractNumId w:val="100"/>
  </w:num>
  <w:num w:numId="110">
    <w:abstractNumId w:val="55"/>
  </w:num>
  <w:num w:numId="111">
    <w:abstractNumId w:val="96"/>
  </w:num>
  <w:num w:numId="112">
    <w:abstractNumId w:val="44"/>
  </w:num>
  <w:num w:numId="113">
    <w:abstractNumId w:val="103"/>
  </w:num>
  <w:num w:numId="114">
    <w:abstractNumId w:val="92"/>
  </w:num>
  <w:num w:numId="115">
    <w:abstractNumId w:val="57"/>
  </w:num>
  <w:num w:numId="116">
    <w:abstractNumId w:val="34"/>
  </w:num>
  <w:num w:numId="117">
    <w:abstractNumId w:val="29"/>
  </w:num>
  <w:num w:numId="118">
    <w:abstractNumId w:val="1"/>
  </w:num>
  <w:num w:numId="119">
    <w:abstractNumId w:val="76"/>
  </w:num>
  <w:num w:numId="120">
    <w:abstractNumId w:val="5"/>
  </w:num>
  <w:num w:numId="121">
    <w:abstractNumId w:val="7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74"/>
    <w:rsid w:val="00003172"/>
    <w:rsid w:val="0000456A"/>
    <w:rsid w:val="000222C5"/>
    <w:rsid w:val="00056E40"/>
    <w:rsid w:val="00096242"/>
    <w:rsid w:val="000D4CBF"/>
    <w:rsid w:val="00120474"/>
    <w:rsid w:val="001464D6"/>
    <w:rsid w:val="00153B84"/>
    <w:rsid w:val="001776B1"/>
    <w:rsid w:val="001B4922"/>
    <w:rsid w:val="001C1C10"/>
    <w:rsid w:val="001F2413"/>
    <w:rsid w:val="001F3EC3"/>
    <w:rsid w:val="00273AD6"/>
    <w:rsid w:val="002B53B4"/>
    <w:rsid w:val="002F4C97"/>
    <w:rsid w:val="00357978"/>
    <w:rsid w:val="003641CB"/>
    <w:rsid w:val="00372553"/>
    <w:rsid w:val="00382FFF"/>
    <w:rsid w:val="003A0312"/>
    <w:rsid w:val="003A2A88"/>
    <w:rsid w:val="003A76FB"/>
    <w:rsid w:val="003C4965"/>
    <w:rsid w:val="003E12A9"/>
    <w:rsid w:val="004764E1"/>
    <w:rsid w:val="0049783C"/>
    <w:rsid w:val="004C4054"/>
    <w:rsid w:val="004E7E6E"/>
    <w:rsid w:val="00532F7B"/>
    <w:rsid w:val="00572C98"/>
    <w:rsid w:val="0057592A"/>
    <w:rsid w:val="005828A0"/>
    <w:rsid w:val="005C750B"/>
    <w:rsid w:val="005D5E3C"/>
    <w:rsid w:val="005F63E8"/>
    <w:rsid w:val="00600DDF"/>
    <w:rsid w:val="00617170"/>
    <w:rsid w:val="0062110B"/>
    <w:rsid w:val="00625DA1"/>
    <w:rsid w:val="006512AB"/>
    <w:rsid w:val="00673B69"/>
    <w:rsid w:val="0067640D"/>
    <w:rsid w:val="006826F8"/>
    <w:rsid w:val="006C65F3"/>
    <w:rsid w:val="006D3892"/>
    <w:rsid w:val="006F7F69"/>
    <w:rsid w:val="0073749F"/>
    <w:rsid w:val="0079797F"/>
    <w:rsid w:val="007B6AA8"/>
    <w:rsid w:val="007C672B"/>
    <w:rsid w:val="007D375B"/>
    <w:rsid w:val="008241DC"/>
    <w:rsid w:val="00843B92"/>
    <w:rsid w:val="008A2AEB"/>
    <w:rsid w:val="008B572B"/>
    <w:rsid w:val="0096260D"/>
    <w:rsid w:val="00966F78"/>
    <w:rsid w:val="009825CE"/>
    <w:rsid w:val="009836EA"/>
    <w:rsid w:val="009877F0"/>
    <w:rsid w:val="009936D7"/>
    <w:rsid w:val="00996C3C"/>
    <w:rsid w:val="009D5249"/>
    <w:rsid w:val="00A27FC8"/>
    <w:rsid w:val="00A75F8E"/>
    <w:rsid w:val="00A85C4E"/>
    <w:rsid w:val="00A90D0D"/>
    <w:rsid w:val="00AA01B4"/>
    <w:rsid w:val="00AD3101"/>
    <w:rsid w:val="00AF524E"/>
    <w:rsid w:val="00B0036C"/>
    <w:rsid w:val="00B024B4"/>
    <w:rsid w:val="00B210DA"/>
    <w:rsid w:val="00B522BE"/>
    <w:rsid w:val="00B54764"/>
    <w:rsid w:val="00B5754A"/>
    <w:rsid w:val="00B60585"/>
    <w:rsid w:val="00B81692"/>
    <w:rsid w:val="00B96281"/>
    <w:rsid w:val="00BB7C73"/>
    <w:rsid w:val="00BE352D"/>
    <w:rsid w:val="00BF081E"/>
    <w:rsid w:val="00C2380F"/>
    <w:rsid w:val="00C30E23"/>
    <w:rsid w:val="00C42BC5"/>
    <w:rsid w:val="00C56186"/>
    <w:rsid w:val="00C71666"/>
    <w:rsid w:val="00CB629F"/>
    <w:rsid w:val="00CB6BD6"/>
    <w:rsid w:val="00CE4F28"/>
    <w:rsid w:val="00D5413A"/>
    <w:rsid w:val="00D66902"/>
    <w:rsid w:val="00D94DDF"/>
    <w:rsid w:val="00E00A38"/>
    <w:rsid w:val="00E949C8"/>
    <w:rsid w:val="00EA1F74"/>
    <w:rsid w:val="00EB67B0"/>
    <w:rsid w:val="00EE7B87"/>
    <w:rsid w:val="00EF5512"/>
    <w:rsid w:val="00F46753"/>
    <w:rsid w:val="00F514CE"/>
    <w:rsid w:val="00F56D3F"/>
    <w:rsid w:val="00F757E8"/>
    <w:rsid w:val="00FA1EF3"/>
    <w:rsid w:val="00FA1F07"/>
    <w:rsid w:val="00FA24E4"/>
    <w:rsid w:val="00FA5D6D"/>
    <w:rsid w:val="00FA7F66"/>
    <w:rsid w:val="00FC1CE8"/>
    <w:rsid w:val="00FC44E3"/>
    <w:rsid w:val="00FC699A"/>
    <w:rsid w:val="00FE1CC3"/>
    <w:rsid w:val="00FF36D2"/>
    <w:rsid w:val="00FF50D9"/>
    <w:rsid w:val="00FF66C4"/>
    <w:rsid w:val="00FF7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5D5E3C"/>
    <w:pPr>
      <w:spacing w:before="90"/>
      <w:ind w:left="733"/>
      <w:outlineLvl w:val="0"/>
    </w:pPr>
    <w:rPr>
      <w:b/>
      <w:bCs/>
      <w:color w:val="44546A"/>
      <w:sz w:val="28"/>
      <w:szCs w:val="28"/>
    </w:rPr>
  </w:style>
  <w:style w:type="paragraph" w:styleId="Heading2">
    <w:name w:val="heading 2"/>
    <w:basedOn w:val="Normal"/>
    <w:uiPriority w:val="1"/>
    <w:qFormat/>
    <w:pPr>
      <w:spacing w:before="91"/>
      <w:ind w:left="733"/>
      <w:outlineLvl w:val="1"/>
    </w:pPr>
    <w:rPr>
      <w:b/>
      <w:bCs/>
      <w:sz w:val="26"/>
      <w:szCs w:val="26"/>
    </w:rPr>
  </w:style>
  <w:style w:type="paragraph" w:styleId="Heading3">
    <w:name w:val="heading 3"/>
    <w:basedOn w:val="Normal"/>
    <w:uiPriority w:val="1"/>
    <w:qFormat/>
    <w:rsid w:val="0049783C"/>
    <w:pPr>
      <w:ind w:left="733"/>
      <w:outlineLvl w:val="2"/>
    </w:pPr>
    <w:rPr>
      <w:b/>
      <w:bCs/>
      <w:color w:val="264378"/>
      <w:sz w:val="24"/>
      <w:szCs w:val="24"/>
    </w:rPr>
  </w:style>
  <w:style w:type="paragraph" w:styleId="Heading4">
    <w:name w:val="heading 4"/>
    <w:basedOn w:val="Normal"/>
    <w:uiPriority w:val="1"/>
    <w:qFormat/>
    <w:pPr>
      <w:ind w:left="733"/>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3"/>
      <w:ind w:left="733"/>
    </w:pPr>
    <w:rPr>
      <w:rFonts w:ascii="Calibri" w:eastAsia="Calibri" w:hAnsi="Calibri" w:cs="Calibri"/>
      <w:b/>
      <w:bCs/>
      <w:sz w:val="24"/>
      <w:szCs w:val="24"/>
    </w:rPr>
  </w:style>
  <w:style w:type="paragraph" w:styleId="TOC2">
    <w:name w:val="toc 2"/>
    <w:basedOn w:val="Normal"/>
    <w:uiPriority w:val="1"/>
    <w:qFormat/>
    <w:pPr>
      <w:spacing w:before="51"/>
      <w:ind w:left="953"/>
    </w:pPr>
    <w:rPr>
      <w:b/>
      <w:bCs/>
      <w:sz w:val="21"/>
      <w:szCs w:val="21"/>
    </w:rPr>
  </w:style>
  <w:style w:type="paragraph" w:styleId="TOC3">
    <w:name w:val="toc 3"/>
    <w:basedOn w:val="Normal"/>
    <w:uiPriority w:val="1"/>
    <w:qFormat/>
    <w:pPr>
      <w:spacing w:before="51"/>
      <w:ind w:left="1173"/>
    </w:pPr>
    <w:rPr>
      <w:sz w:val="21"/>
      <w:szCs w:val="21"/>
    </w:rPr>
  </w:style>
  <w:style w:type="paragraph" w:styleId="TOC4">
    <w:name w:val="toc 4"/>
    <w:basedOn w:val="Normal"/>
    <w:uiPriority w:val="1"/>
    <w:qFormat/>
    <w:pPr>
      <w:spacing w:before="46"/>
      <w:ind w:left="1393"/>
    </w:pPr>
    <w:rPr>
      <w:sz w:val="19"/>
      <w:szCs w:val="19"/>
    </w:rPr>
  </w:style>
  <w:style w:type="paragraph" w:styleId="BodyText">
    <w:name w:val="Body Text"/>
    <w:basedOn w:val="Normal"/>
    <w:link w:val="BodyTextChar"/>
    <w:uiPriority w:val="1"/>
    <w:qFormat/>
    <w:rsid w:val="00625DA1"/>
    <w:pPr>
      <w:tabs>
        <w:tab w:val="left" w:pos="1134"/>
      </w:tabs>
      <w:spacing w:before="199" w:line="360" w:lineRule="auto"/>
      <w:ind w:left="733" w:right="1180"/>
    </w:pPr>
    <w:rPr>
      <w:w w:val="105"/>
      <w:sz w:val="24"/>
      <w:szCs w:val="24"/>
    </w:rPr>
  </w:style>
  <w:style w:type="paragraph" w:styleId="ListParagraph">
    <w:name w:val="List Paragraph"/>
    <w:basedOn w:val="Normal"/>
    <w:uiPriority w:val="1"/>
    <w:qFormat/>
    <w:pPr>
      <w:ind w:left="1515"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1CE8"/>
    <w:pPr>
      <w:tabs>
        <w:tab w:val="center" w:pos="4513"/>
        <w:tab w:val="right" w:pos="9026"/>
      </w:tabs>
    </w:pPr>
  </w:style>
  <w:style w:type="character" w:customStyle="1" w:styleId="HeaderChar">
    <w:name w:val="Header Char"/>
    <w:basedOn w:val="DefaultParagraphFont"/>
    <w:link w:val="Header"/>
    <w:uiPriority w:val="99"/>
    <w:rsid w:val="00FC1CE8"/>
    <w:rPr>
      <w:rFonts w:ascii="Arial" w:eastAsia="Arial" w:hAnsi="Arial" w:cs="Arial"/>
    </w:rPr>
  </w:style>
  <w:style w:type="paragraph" w:styleId="Footer">
    <w:name w:val="footer"/>
    <w:basedOn w:val="Normal"/>
    <w:link w:val="FooterChar"/>
    <w:uiPriority w:val="99"/>
    <w:unhideWhenUsed/>
    <w:rsid w:val="00FC1CE8"/>
    <w:pPr>
      <w:tabs>
        <w:tab w:val="center" w:pos="4513"/>
        <w:tab w:val="right" w:pos="9026"/>
      </w:tabs>
    </w:pPr>
  </w:style>
  <w:style w:type="character" w:customStyle="1" w:styleId="FooterChar">
    <w:name w:val="Footer Char"/>
    <w:basedOn w:val="DefaultParagraphFont"/>
    <w:link w:val="Footer"/>
    <w:uiPriority w:val="99"/>
    <w:rsid w:val="00FC1CE8"/>
    <w:rPr>
      <w:rFonts w:ascii="Arial" w:eastAsia="Arial" w:hAnsi="Arial" w:cs="Arial"/>
    </w:rPr>
  </w:style>
  <w:style w:type="paragraph" w:customStyle="1" w:styleId="Body">
    <w:name w:val="Body"/>
    <w:basedOn w:val="BodyText"/>
    <w:link w:val="BodyChar"/>
    <w:uiPriority w:val="1"/>
    <w:rsid w:val="00625DA1"/>
  </w:style>
  <w:style w:type="paragraph" w:styleId="NoSpacing">
    <w:name w:val="No Spacing"/>
    <w:uiPriority w:val="1"/>
    <w:qFormat/>
    <w:rsid w:val="007C672B"/>
    <w:rPr>
      <w:rFonts w:ascii="Arial" w:eastAsia="Arial" w:hAnsi="Arial" w:cs="Arial"/>
    </w:rPr>
  </w:style>
  <w:style w:type="character" w:customStyle="1" w:styleId="BodyTextChar">
    <w:name w:val="Body Text Char"/>
    <w:basedOn w:val="DefaultParagraphFont"/>
    <w:link w:val="BodyText"/>
    <w:uiPriority w:val="1"/>
    <w:rsid w:val="00625DA1"/>
    <w:rPr>
      <w:rFonts w:ascii="Arial" w:eastAsia="Arial" w:hAnsi="Arial" w:cs="Arial"/>
      <w:w w:val="105"/>
      <w:sz w:val="24"/>
      <w:szCs w:val="24"/>
    </w:rPr>
  </w:style>
  <w:style w:type="character" w:customStyle="1" w:styleId="BodyChar">
    <w:name w:val="Body Char"/>
    <w:basedOn w:val="BodyTextChar"/>
    <w:link w:val="Body"/>
    <w:uiPriority w:val="1"/>
    <w:rsid w:val="00625DA1"/>
    <w:rPr>
      <w:rFonts w:ascii="Arial" w:eastAsia="Arial" w:hAnsi="Arial" w:cs="Arial"/>
      <w:w w:val="105"/>
      <w:sz w:val="24"/>
      <w:szCs w:val="24"/>
    </w:rPr>
  </w:style>
  <w:style w:type="character" w:styleId="Hyperlink">
    <w:name w:val="Hyperlink"/>
    <w:basedOn w:val="DefaultParagraphFont"/>
    <w:uiPriority w:val="99"/>
    <w:unhideWhenUsed/>
    <w:rsid w:val="00EF5512"/>
    <w:rPr>
      <w:color w:val="0000FF" w:themeColor="hyperlink"/>
      <w:u w:val="single"/>
    </w:rPr>
  </w:style>
  <w:style w:type="table" w:styleId="TableGrid">
    <w:name w:val="Table Grid"/>
    <w:basedOn w:val="TableNormal"/>
    <w:uiPriority w:val="39"/>
    <w:rsid w:val="0014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725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2A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alomon@unsw.edu.au" TargetMode="External"/><Relationship Id="rId13" Type="http://schemas.openxmlformats.org/officeDocument/2006/relationships/footer" Target="footer1.xml"/><Relationship Id="rId18" Type="http://schemas.openxmlformats.org/officeDocument/2006/relationships/hyperlink" Target="http://www.ombo.nsw.gov.au/what-we-do/our-work/community-services/reviewable-death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bs.gov.au/ausstats/abs%40.nsf/Lookup/by%20Subject/3303.0~2017~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abs.gov.au/ausstats/abs%40.nsf/Lookup/by%20Subject/3303.0~201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refworld.org/docid/45f973632.html"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cec.health.nsw.gov.au/patient-safety-programs/adult-patient-" TargetMode="External"/><Relationship Id="rId10" Type="http://schemas.openxmlformats.org/officeDocument/2006/relationships/image" Target="media/image2.png"/><Relationship Id="rId19" Type="http://schemas.openxmlformats.org/officeDocument/2006/relationships/hyperlink" Target="http://www.coroners.justice.nsw.gov.au/Pages/coroner_role/coroners_role.aspx" TargetMode="External"/><Relationship Id="rId4" Type="http://schemas.openxmlformats.org/officeDocument/2006/relationships/webSettings" Target="webSettings.xml"/><Relationship Id="rId9" Type="http://schemas.openxmlformats.org/officeDocument/2006/relationships/hyperlink" Target="mailto:j.trollor@unsw.edu.au" TargetMode="External"/><Relationship Id="rId14" Type="http://schemas.openxmlformats.org/officeDocument/2006/relationships/footer" Target="footer2.xml"/><Relationship Id="rId22" Type="http://schemas.openxmlformats.org/officeDocument/2006/relationships/hyperlink" Target="http://www.cwt.org.uk/wp-content/uploads/2014/07/LD-TM.pdf"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30282</Words>
  <Characters>172610</Characters>
  <Application>Microsoft Office Word</Application>
  <DocSecurity>0</DocSecurity>
  <Lines>1438</Lines>
  <Paragraphs>404</Paragraphs>
  <ScaleCrop>false</ScaleCrop>
  <Company/>
  <LinksUpToDate>false</LinksUpToDate>
  <CharactersWithSpaces>202488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2020-02-24T05:18:00Z</dcterms:created>
  <dcterms:modified xsi:type="dcterms:W3CDTF">2020-02-24T05:18:00Z</dcterms:modified>
</cp:coreProperties>
</file>